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三亚市海棠区2024年第</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二</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省级</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财政衔接推进乡村振兴补助资金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333333"/>
          <w:spacing w:val="0"/>
          <w:sz w:val="44"/>
          <w:szCs w:val="44"/>
          <w:shd w:val="clear" w:fill="FFFFFF"/>
          <w:lang w:eastAsia="zh-CN"/>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（直达资金）安排方案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880"/>
        <w:jc w:val="both"/>
        <w:textAlignment w:val="auto"/>
        <w:outlineLvl w:val="9"/>
        <w:rPr>
          <w:rFonts w:hint="default" w:ascii="Calibri" w:hAnsi="Calibri" w:cs="Calibri"/>
          <w:i w:val="0"/>
          <w:caps w:val="0"/>
          <w:color w:val="333333"/>
          <w:spacing w:val="0"/>
          <w:sz w:val="21"/>
          <w:szCs w:val="21"/>
        </w:rPr>
      </w:pPr>
      <w:r>
        <w:rPr>
          <w:rFonts w:hint="default" w:ascii="Calibri" w:hAnsi="Calibri" w:cs="Calibri"/>
          <w:i w:val="0"/>
          <w:caps w:val="0"/>
          <w:color w:val="333333"/>
          <w:spacing w:val="0"/>
          <w:sz w:val="21"/>
          <w:szCs w:val="21"/>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Calibri" w:hAnsi="Calibri" w:cs="Calibri"/>
          <w:i w:val="0"/>
          <w:caps w:val="0"/>
          <w:color w:val="333333"/>
          <w:spacing w:val="0"/>
          <w:sz w:val="21"/>
          <w:szCs w:val="21"/>
        </w:rPr>
      </w:pPr>
      <w:r>
        <w:rPr>
          <w:rFonts w:ascii="仿宋_GB2312" w:hAnsi="Times New Roman" w:eastAsia="仿宋_GB2312" w:cs="仿宋_GB2312"/>
          <w:i w:val="0"/>
          <w:caps w:val="0"/>
          <w:color w:val="333333"/>
          <w:spacing w:val="0"/>
          <w:sz w:val="32"/>
          <w:szCs w:val="32"/>
          <w:shd w:val="clear" w:fill="FFFFFF"/>
        </w:rPr>
        <w:t>为深入贯彻落实中央和省、市关于巩固拓展脱贫攻坚成果同乡村振兴有效衔接的决策部署，进一步加大财政</w:t>
      </w:r>
      <w:r>
        <w:rPr>
          <w:rFonts w:hint="eastAsia" w:ascii="仿宋_GB2312" w:hAnsi="仿宋" w:eastAsia="仿宋_GB2312" w:cs="仿宋_GB2312"/>
          <w:i w:val="0"/>
          <w:caps w:val="0"/>
          <w:color w:val="333333"/>
          <w:spacing w:val="0"/>
          <w:sz w:val="32"/>
          <w:szCs w:val="32"/>
          <w:shd w:val="clear" w:fill="FFFFFF"/>
        </w:rPr>
        <w:t>衔接</w:t>
      </w:r>
      <w:r>
        <w:rPr>
          <w:rFonts w:hint="eastAsia" w:ascii="仿宋_GB2312" w:hAnsi="Times New Roman" w:eastAsia="仿宋_GB2312" w:cs="仿宋_GB2312"/>
          <w:i w:val="0"/>
          <w:caps w:val="0"/>
          <w:color w:val="333333"/>
          <w:spacing w:val="0"/>
          <w:sz w:val="32"/>
          <w:szCs w:val="32"/>
          <w:shd w:val="clear" w:fill="FFFFFF"/>
        </w:rPr>
        <w:t>资金支持力度，持续</w:t>
      </w:r>
      <w:r>
        <w:rPr>
          <w:rFonts w:hint="eastAsia" w:ascii="仿宋_GB2312" w:hAnsi="Times New Roman" w:eastAsia="仿宋_GB2312" w:cs="仿宋_GB2312"/>
          <w:i w:val="0"/>
          <w:caps w:val="0"/>
          <w:color w:val="333333"/>
          <w:spacing w:val="0"/>
          <w:sz w:val="32"/>
          <w:szCs w:val="32"/>
          <w:shd w:val="clear" w:fill="FFFFFF"/>
          <w:lang w:val="en-US" w:eastAsia="zh-CN"/>
        </w:rPr>
        <w:t>巩固现有脱贫成果，全面推进乡村振兴</w:t>
      </w:r>
      <w:r>
        <w:rPr>
          <w:rFonts w:hint="eastAsia" w:ascii="仿宋_GB2312" w:hAnsi="Times New Roman" w:eastAsia="仿宋_GB2312" w:cs="仿宋_GB2312"/>
          <w:i w:val="0"/>
          <w:caps w:val="0"/>
          <w:color w:val="333333"/>
          <w:spacing w:val="0"/>
          <w:sz w:val="32"/>
          <w:szCs w:val="32"/>
          <w:shd w:val="clear" w:fill="FFFFFF"/>
        </w:rPr>
        <w:t>。根据</w:t>
      </w:r>
      <w:r>
        <w:rPr>
          <w:rFonts w:hint="eastAsia" w:ascii="仿宋_GB2312" w:hAnsi="Times New Roman" w:eastAsia="仿宋_GB2312" w:cs="仿宋_GB2312"/>
          <w:i w:val="0"/>
          <w:caps w:val="0"/>
          <w:color w:val="333333"/>
          <w:spacing w:val="0"/>
          <w:sz w:val="32"/>
          <w:szCs w:val="32"/>
          <w:shd w:val="clear" w:fill="FFFFFF"/>
          <w:lang w:val="en-US" w:eastAsia="zh-CN"/>
        </w:rPr>
        <w:t>有关</w:t>
      </w:r>
      <w:r>
        <w:rPr>
          <w:rFonts w:hint="eastAsia" w:ascii="仿宋_GB2312" w:hAnsi="Times New Roman" w:eastAsia="仿宋_GB2312" w:cs="仿宋_GB2312"/>
          <w:i w:val="0"/>
          <w:caps w:val="0"/>
          <w:color w:val="333333"/>
          <w:spacing w:val="0"/>
          <w:sz w:val="32"/>
          <w:szCs w:val="32"/>
          <w:shd w:val="clear" w:fill="FFFFFF"/>
        </w:rPr>
        <w:t>文件精神，</w:t>
      </w:r>
      <w:r>
        <w:rPr>
          <w:rFonts w:hint="eastAsia" w:ascii="仿宋_GB2312" w:hAnsi="Times New Roman" w:eastAsia="仿宋_GB2312" w:cs="仿宋_GB2312"/>
          <w:i w:val="0"/>
          <w:caps w:val="0"/>
          <w:color w:val="333333"/>
          <w:spacing w:val="0"/>
          <w:sz w:val="32"/>
          <w:szCs w:val="32"/>
          <w:shd w:val="clear" w:fill="FFFFFF"/>
          <w:lang w:val="en-US" w:eastAsia="zh-CN"/>
        </w:rPr>
        <w:t>结合我区实际，制定如下方案。</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黑体" w:hAnsi="宋体" w:eastAsia="黑体" w:cs="黑体"/>
          <w:i w:val="0"/>
          <w:caps w:val="0"/>
          <w:color w:val="333333"/>
          <w:spacing w:val="0"/>
          <w:sz w:val="32"/>
          <w:szCs w:val="32"/>
          <w:shd w:val="clear" w:fill="FFFFFF"/>
          <w:lang w:val="en-US" w:eastAsia="zh-CN"/>
        </w:rPr>
      </w:pPr>
      <w:r>
        <w:rPr>
          <w:rFonts w:hint="eastAsia" w:ascii="黑体" w:hAnsi="宋体" w:eastAsia="黑体" w:cs="黑体"/>
          <w:i w:val="0"/>
          <w:caps w:val="0"/>
          <w:color w:val="333333"/>
          <w:spacing w:val="0"/>
          <w:sz w:val="32"/>
          <w:szCs w:val="32"/>
          <w:shd w:val="clear" w:fill="FFFFFF"/>
        </w:rPr>
        <w:t>资金</w:t>
      </w:r>
      <w:r>
        <w:rPr>
          <w:rFonts w:hint="eastAsia" w:ascii="黑体" w:hAnsi="宋体" w:eastAsia="黑体" w:cs="黑体"/>
          <w:i w:val="0"/>
          <w:caps w:val="0"/>
          <w:color w:val="333333"/>
          <w:spacing w:val="0"/>
          <w:sz w:val="32"/>
          <w:szCs w:val="32"/>
          <w:shd w:val="clear" w:fill="FFFFFF"/>
          <w:lang w:val="en-US" w:eastAsia="zh-CN"/>
        </w:rPr>
        <w:t>使用原则和方向</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Times New Roman" w:eastAsia="仿宋_GB2312" w:cs="仿宋_GB2312"/>
          <w:i w:val="0"/>
          <w:caps w:val="0"/>
          <w:color w:val="333333"/>
          <w:spacing w:val="0"/>
          <w:sz w:val="32"/>
          <w:szCs w:val="32"/>
          <w:shd w:val="clear" w:fill="FFFFFF"/>
          <w:lang w:val="en-US" w:eastAsia="zh-CN"/>
        </w:rPr>
        <w:t>坚持依法依规原则，严格按照</w:t>
      </w:r>
      <w:r>
        <w:rPr>
          <w:rFonts w:hint="eastAsia" w:ascii="仿宋_GB2312" w:hAnsi="Times New Roman" w:eastAsia="仿宋_GB2312" w:cs="仿宋_GB2312"/>
          <w:i w:val="0"/>
          <w:caps w:val="0"/>
          <w:color w:val="333333"/>
          <w:spacing w:val="0"/>
          <w:sz w:val="32"/>
          <w:szCs w:val="32"/>
          <w:shd w:val="clear" w:fill="FFFFFF"/>
        </w:rPr>
        <w:t>《海南省财政衔接推进乡村振兴补助资金管理办法》(琼财农规〔2021〕10号)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《关于加强衔接推进乡村振兴补助资金使用管理的实施意见》(琼财农〔2022〕370号)、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海南省财政厅等关于＜海南省财政衔接推进乡村振兴补助资金管理办法＞有关事项的补充通知</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琼财农规</w:t>
      </w:r>
      <w:r>
        <w:rPr>
          <w:rFonts w:hint="eastAsia" w:ascii="仿宋_GB2312" w:hAnsi="Times New Roman" w:eastAsia="仿宋_GB2312" w:cs="仿宋_GB2312"/>
          <w:i w:val="0"/>
          <w:caps w:val="0"/>
          <w:color w:val="333333"/>
          <w:spacing w:val="0"/>
          <w:sz w:val="32"/>
          <w:szCs w:val="32"/>
          <w:shd w:val="clear" w:fill="FFFFFF"/>
        </w:rPr>
        <w:t>〔202</w:t>
      </w:r>
      <w:r>
        <w:rPr>
          <w:rFonts w:hint="eastAsia" w:ascii="仿宋_GB2312" w:hAnsi="Times New Roman" w:eastAsia="仿宋_GB2312" w:cs="仿宋_GB2312"/>
          <w:i w:val="0"/>
          <w:caps w:val="0"/>
          <w:color w:val="333333"/>
          <w:spacing w:val="0"/>
          <w:sz w:val="32"/>
          <w:szCs w:val="32"/>
          <w:shd w:val="clear" w:fill="FFFFFF"/>
          <w:lang w:val="en-US" w:eastAsia="zh-CN"/>
        </w:rPr>
        <w:t>3</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6</w:t>
      </w:r>
      <w:r>
        <w:rPr>
          <w:rFonts w:hint="eastAsia" w:ascii="仿宋_GB2312" w:hAnsi="Times New Roman" w:eastAsia="仿宋_GB2312" w:cs="仿宋_GB2312"/>
          <w:i w:val="0"/>
          <w:caps w:val="0"/>
          <w:color w:val="333333"/>
          <w:spacing w:val="0"/>
          <w:sz w:val="32"/>
          <w:szCs w:val="32"/>
          <w:shd w:val="clear" w:fill="FFFFFF"/>
        </w:rPr>
        <w:t xml:space="preserve"> 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海南省财政厅等关于进一步加强乡村振兴组织化产业帮扶项目资金管理工作的通知</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琼财农</w:t>
      </w:r>
      <w:r>
        <w:rPr>
          <w:rFonts w:hint="eastAsia" w:ascii="仿宋_GB2312" w:hAnsi="Times New Roman" w:eastAsia="仿宋_GB2312" w:cs="仿宋_GB2312"/>
          <w:i w:val="0"/>
          <w:caps w:val="0"/>
          <w:color w:val="333333"/>
          <w:spacing w:val="0"/>
          <w:sz w:val="32"/>
          <w:szCs w:val="32"/>
          <w:shd w:val="clear" w:fill="FFFFFF"/>
        </w:rPr>
        <w:t>〔202</w:t>
      </w:r>
      <w:r>
        <w:rPr>
          <w:rFonts w:hint="eastAsia" w:ascii="仿宋_GB2312" w:hAnsi="Times New Roman" w:eastAsia="仿宋_GB2312" w:cs="仿宋_GB2312"/>
          <w:i w:val="0"/>
          <w:caps w:val="0"/>
          <w:color w:val="333333"/>
          <w:spacing w:val="0"/>
          <w:sz w:val="32"/>
          <w:szCs w:val="32"/>
          <w:shd w:val="clear" w:fill="FFFFFF"/>
          <w:lang w:val="en-US" w:eastAsia="zh-CN"/>
        </w:rPr>
        <w:t>3</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238</w:t>
      </w:r>
      <w:r>
        <w:rPr>
          <w:rFonts w:hint="eastAsia" w:ascii="仿宋_GB2312" w:hAnsi="Times New Roman" w:eastAsia="仿宋_GB2312" w:cs="仿宋_GB2312"/>
          <w:i w:val="0"/>
          <w:caps w:val="0"/>
          <w:color w:val="333333"/>
          <w:spacing w:val="0"/>
          <w:sz w:val="32"/>
          <w:szCs w:val="32"/>
          <w:shd w:val="clear" w:fill="FFFFFF"/>
        </w:rPr>
        <w:t xml:space="preserve"> 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《三亚市财政衔接推进乡村振兴补助资金管理办法》(三财〔2021〕1131 号)、《三亚市加强衔接推进乡村振兴补助资金使用管理的实施意见》(三财〔2022〕543号)</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三亚市财政局等关于＜三亚市市财政衔接推进乡村振兴补助资金管理办法＞有关事项的补充通知</w:t>
      </w:r>
      <w:r>
        <w:rPr>
          <w:rFonts w:hint="eastAsia" w:ascii="仿宋_GB2312" w:hAnsi="Times New Roman" w:eastAsia="仿宋_GB2312" w:cs="仿宋_GB2312"/>
          <w:i w:val="0"/>
          <w:caps w:val="0"/>
          <w:color w:val="333333"/>
          <w:spacing w:val="0"/>
          <w:sz w:val="32"/>
          <w:szCs w:val="32"/>
          <w:shd w:val="clear" w:fill="FFFFFF"/>
          <w:lang w:eastAsia="zh-CN"/>
        </w:rPr>
        <w:t>》</w:t>
      </w:r>
      <w:r>
        <w:rPr>
          <w:rFonts w:hint="eastAsia" w:ascii="仿宋_GB2312" w:hAnsi="Times New Roman" w:eastAsia="仿宋_GB2312" w:cs="仿宋_GB2312"/>
          <w:i w:val="0"/>
          <w:caps w:val="0"/>
          <w:color w:val="333333"/>
          <w:spacing w:val="0"/>
          <w:sz w:val="32"/>
          <w:szCs w:val="32"/>
          <w:shd w:val="clear" w:fill="FFFFFF"/>
        </w:rPr>
        <w:t>(三财〔202</w:t>
      </w:r>
      <w:r>
        <w:rPr>
          <w:rFonts w:hint="eastAsia" w:ascii="仿宋_GB2312" w:hAnsi="Times New Roman" w:eastAsia="仿宋_GB2312" w:cs="仿宋_GB2312"/>
          <w:i w:val="0"/>
          <w:caps w:val="0"/>
          <w:color w:val="333333"/>
          <w:spacing w:val="0"/>
          <w:sz w:val="32"/>
          <w:szCs w:val="32"/>
          <w:shd w:val="clear" w:fill="FFFFFF"/>
          <w:lang w:val="en-US" w:eastAsia="zh-CN"/>
        </w:rPr>
        <w:t>3</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724</w:t>
      </w:r>
      <w:r>
        <w:rPr>
          <w:rFonts w:hint="eastAsia" w:ascii="仿宋_GB2312" w:hAnsi="Times New Roman" w:eastAsia="仿宋_GB2312" w:cs="仿宋_GB2312"/>
          <w:i w:val="0"/>
          <w:caps w:val="0"/>
          <w:color w:val="333333"/>
          <w:spacing w:val="0"/>
          <w:sz w:val="32"/>
          <w:szCs w:val="32"/>
          <w:shd w:val="clear" w:fill="FFFFFF"/>
        </w:rPr>
        <w:t>号)等</w:t>
      </w:r>
      <w:r>
        <w:rPr>
          <w:rFonts w:hint="eastAsia" w:ascii="仿宋_GB2312" w:hAnsi="Times New Roman" w:eastAsia="仿宋_GB2312" w:cs="仿宋_GB2312"/>
          <w:i w:val="0"/>
          <w:caps w:val="0"/>
          <w:color w:val="333333"/>
          <w:spacing w:val="0"/>
          <w:sz w:val="32"/>
          <w:szCs w:val="32"/>
          <w:shd w:val="clear" w:fill="FFFFFF"/>
          <w:lang w:val="en-US" w:eastAsia="zh-CN"/>
        </w:rPr>
        <w:t>有关文件精神</w:t>
      </w:r>
      <w:r>
        <w:rPr>
          <w:rFonts w:hint="eastAsia" w:ascii="仿宋_GB2312" w:hAnsi="Times New Roman" w:eastAsia="仿宋_GB2312" w:cs="仿宋_GB2312"/>
          <w:i w:val="0"/>
          <w:caps w:val="0"/>
          <w:color w:val="333333"/>
          <w:spacing w:val="0"/>
          <w:sz w:val="32"/>
          <w:szCs w:val="32"/>
          <w:shd w:val="clear" w:fill="FFFFFF"/>
        </w:rPr>
        <w:t>，</w:t>
      </w:r>
      <w:r>
        <w:rPr>
          <w:rFonts w:hint="eastAsia" w:ascii="仿宋_GB2312" w:hAnsi="Times New Roman" w:eastAsia="仿宋_GB2312" w:cs="仿宋_GB2312"/>
          <w:i w:val="0"/>
          <w:caps w:val="0"/>
          <w:color w:val="333333"/>
          <w:spacing w:val="0"/>
          <w:sz w:val="32"/>
          <w:szCs w:val="32"/>
          <w:shd w:val="clear" w:fill="FFFFFF"/>
          <w:lang w:val="en-US" w:eastAsia="zh-CN"/>
        </w:rPr>
        <w:t>坚持</w:t>
      </w:r>
      <w:r>
        <w:rPr>
          <w:rFonts w:hint="eastAsia" w:ascii="仿宋_GB2312" w:hAnsi="Times New Roman" w:eastAsia="仿宋_GB2312" w:cs="仿宋_GB2312"/>
          <w:b w:val="0"/>
          <w:i w:val="0"/>
          <w:caps w:val="0"/>
          <w:color w:val="333333"/>
          <w:spacing w:val="0"/>
          <w:sz w:val="32"/>
          <w:szCs w:val="32"/>
          <w:shd w:val="clear" w:fill="FFFFFF"/>
        </w:rPr>
        <w:t>衔接资金安排应优先支持产业发展，确保 202</w:t>
      </w:r>
      <w:r>
        <w:rPr>
          <w:rFonts w:hint="eastAsia" w:ascii="仿宋_GB2312" w:hAnsi="Times New Roman" w:eastAsia="仿宋_GB2312" w:cs="仿宋_GB2312"/>
          <w:b w:val="0"/>
          <w:i w:val="0"/>
          <w:caps w:val="0"/>
          <w:color w:val="333333"/>
          <w:spacing w:val="0"/>
          <w:sz w:val="32"/>
          <w:szCs w:val="32"/>
          <w:shd w:val="clear" w:fill="FFFFFF"/>
          <w:lang w:val="en-US" w:eastAsia="zh-CN"/>
        </w:rPr>
        <w:t>4</w:t>
      </w:r>
      <w:r>
        <w:rPr>
          <w:rFonts w:hint="eastAsia" w:ascii="仿宋_GB2312" w:hAnsi="Times New Roman" w:eastAsia="仿宋_GB2312" w:cs="仿宋_GB2312"/>
          <w:b w:val="0"/>
          <w:i w:val="0"/>
          <w:caps w:val="0"/>
          <w:color w:val="333333"/>
          <w:spacing w:val="0"/>
          <w:sz w:val="32"/>
          <w:szCs w:val="32"/>
          <w:shd w:val="clear" w:fill="FFFFFF"/>
        </w:rPr>
        <w:t>年中央财政衔接资金用于产业发展的资金规模占比原则上不得低于资金总规模的 6</w:t>
      </w:r>
      <w:r>
        <w:rPr>
          <w:rFonts w:hint="eastAsia" w:ascii="仿宋_GB2312" w:hAnsi="Times New Roman" w:eastAsia="仿宋_GB2312" w:cs="仿宋_GB2312"/>
          <w:b w:val="0"/>
          <w:i w:val="0"/>
          <w:caps w:val="0"/>
          <w:color w:val="333333"/>
          <w:spacing w:val="0"/>
          <w:sz w:val="32"/>
          <w:szCs w:val="32"/>
          <w:shd w:val="clear" w:fill="FFFFFF"/>
          <w:lang w:val="en-US" w:eastAsia="zh-CN"/>
        </w:rPr>
        <w:t>5</w:t>
      </w:r>
      <w:r>
        <w:rPr>
          <w:rFonts w:hint="eastAsia" w:ascii="仿宋_GB2312" w:hAnsi="Times New Roman" w:eastAsia="仿宋_GB2312" w:cs="仿宋_GB2312"/>
          <w:b w:val="0"/>
          <w:i w:val="0"/>
          <w:caps w:val="0"/>
          <w:color w:val="333333"/>
          <w:spacing w:val="0"/>
          <w:sz w:val="32"/>
          <w:szCs w:val="32"/>
          <w:shd w:val="clear" w:fill="FFFFFF"/>
        </w:rPr>
        <w:t>%，且不得低于202</w:t>
      </w:r>
      <w:r>
        <w:rPr>
          <w:rFonts w:hint="eastAsia" w:ascii="仿宋_GB2312" w:hAnsi="Times New Roman" w:eastAsia="仿宋_GB2312" w:cs="仿宋_GB2312"/>
          <w:b w:val="0"/>
          <w:i w:val="0"/>
          <w:caps w:val="0"/>
          <w:color w:val="333333"/>
          <w:spacing w:val="0"/>
          <w:sz w:val="32"/>
          <w:szCs w:val="32"/>
          <w:shd w:val="clear" w:fill="FFFFFF"/>
          <w:lang w:val="en-US" w:eastAsia="zh-CN"/>
        </w:rPr>
        <w:t>3</w:t>
      </w:r>
      <w:r>
        <w:rPr>
          <w:rFonts w:hint="eastAsia" w:ascii="仿宋_GB2312" w:hAnsi="Times New Roman" w:eastAsia="仿宋_GB2312" w:cs="仿宋_GB2312"/>
          <w:b w:val="0"/>
          <w:i w:val="0"/>
          <w:caps w:val="0"/>
          <w:color w:val="333333"/>
          <w:spacing w:val="0"/>
          <w:sz w:val="32"/>
          <w:szCs w:val="32"/>
          <w:shd w:val="clear" w:fill="FFFFFF"/>
        </w:rPr>
        <w:t>年用于产业发展资金占比</w:t>
      </w:r>
      <w:r>
        <w:rPr>
          <w:rFonts w:hint="eastAsia" w:ascii="仿宋_GB2312" w:hAnsi="Times New Roman"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sz w:val="32"/>
          <w:szCs w:val="32"/>
        </w:rPr>
        <w:t>中央、省级和市级三级财政衔接资金合计用于产业发展的资金规模占比不低于 55%，且不低于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产业资金</w:t>
      </w:r>
      <w:r>
        <w:rPr>
          <w:rFonts w:hint="eastAsia" w:ascii="仿宋_GB2312" w:hAnsi="仿宋_GB2312" w:eastAsia="仿宋_GB2312" w:cs="仿宋_GB2312"/>
          <w:sz w:val="32"/>
          <w:szCs w:val="32"/>
        </w:rPr>
        <w:t>占比。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default" w:ascii="Calibri" w:hAnsi="Calibri" w:cs="Calibri"/>
          <w:i w:val="0"/>
          <w:caps w:val="0"/>
          <w:color w:val="333333"/>
          <w:spacing w:val="0"/>
          <w:sz w:val="21"/>
          <w:szCs w:val="21"/>
        </w:rPr>
      </w:pPr>
      <w:r>
        <w:rPr>
          <w:rFonts w:hint="eastAsia" w:ascii="黑体" w:hAnsi="宋体" w:eastAsia="黑体" w:cs="黑体"/>
          <w:i w:val="0"/>
          <w:caps w:val="0"/>
          <w:color w:val="333333"/>
          <w:spacing w:val="0"/>
          <w:sz w:val="32"/>
          <w:szCs w:val="32"/>
          <w:shd w:val="clear" w:fill="FFFFFF"/>
          <w:lang w:val="en-US" w:eastAsia="zh-CN"/>
        </w:rPr>
        <w:t>二、资金来源和规模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Times New Roman" w:eastAsia="仿宋_GB2312" w:cs="仿宋_GB2312"/>
          <w:i w:val="0"/>
          <w:caps w:val="0"/>
          <w:color w:val="333333"/>
          <w:spacing w:val="0"/>
          <w:sz w:val="32"/>
          <w:szCs w:val="32"/>
          <w:shd w:val="clear" w:fill="FFFFFF"/>
          <w:lang w:val="en-US" w:eastAsia="zh-CN"/>
        </w:rPr>
        <w:t>根据《关于下达2024年第二批省级财政衔接推进乡村振兴补助资金（直达资金）的通知》（三财农</w:t>
      </w:r>
      <w:r>
        <w:rPr>
          <w:rFonts w:hint="eastAsia" w:ascii="仿宋_GB2312" w:hAnsi="仿宋_GB2312" w:eastAsia="仿宋_GB2312" w:cs="仿宋_GB2312"/>
          <w:i w:val="0"/>
          <w:caps w:val="0"/>
          <w:color w:val="333333"/>
          <w:spacing w:val="0"/>
          <w:sz w:val="32"/>
          <w:szCs w:val="32"/>
          <w:shd w:val="clear" w:fill="FFFFFF"/>
          <w:lang w:val="en-US" w:eastAsia="zh-CN"/>
        </w:rPr>
        <w:t>〔</w:t>
      </w:r>
      <w:r>
        <w:rPr>
          <w:rFonts w:hint="eastAsia" w:ascii="仿宋_GB2312" w:hAnsi="Times New Roman" w:eastAsia="仿宋_GB2312" w:cs="仿宋_GB2312"/>
          <w:i w:val="0"/>
          <w:caps w:val="0"/>
          <w:color w:val="333333"/>
          <w:spacing w:val="0"/>
          <w:sz w:val="32"/>
          <w:szCs w:val="32"/>
          <w:shd w:val="clear" w:fill="FFFFFF"/>
          <w:lang w:val="en-US" w:eastAsia="zh-CN"/>
        </w:rPr>
        <w:t>2024</w:t>
      </w:r>
      <w:r>
        <w:rPr>
          <w:rFonts w:hint="eastAsia" w:ascii="仿宋_GB2312" w:hAnsi="仿宋_GB2312" w:eastAsia="仿宋_GB2312" w:cs="仿宋_GB2312"/>
          <w:i w:val="0"/>
          <w:caps w:val="0"/>
          <w:color w:val="333333"/>
          <w:spacing w:val="0"/>
          <w:sz w:val="32"/>
          <w:szCs w:val="32"/>
          <w:shd w:val="clear" w:fill="FFFFFF"/>
          <w:lang w:val="en-US" w:eastAsia="zh-CN"/>
        </w:rPr>
        <w:t>〕108</w:t>
      </w:r>
      <w:r>
        <w:rPr>
          <w:rFonts w:hint="eastAsia" w:ascii="仿宋_GB2312" w:hAnsi="Times New Roman" w:eastAsia="仿宋_GB2312" w:cs="仿宋_GB2312"/>
          <w:i w:val="0"/>
          <w:caps w:val="0"/>
          <w:color w:val="333333"/>
          <w:spacing w:val="0"/>
          <w:sz w:val="32"/>
          <w:szCs w:val="32"/>
          <w:shd w:val="clear" w:fill="FFFFFF"/>
          <w:lang w:val="en-US" w:eastAsia="zh-CN"/>
        </w:rPr>
        <w:t>号）文件，下达我区2024年省级财政衔接推进乡村振兴补助资金（直达资金）88万元。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黑体" w:hAnsi="宋体" w:eastAsia="黑体" w:cs="黑体"/>
          <w:i w:val="0"/>
          <w:caps w:val="0"/>
          <w:color w:val="333333"/>
          <w:spacing w:val="0"/>
          <w:sz w:val="32"/>
          <w:szCs w:val="32"/>
          <w:shd w:val="clear" w:fill="FFFFFF"/>
          <w:lang w:val="en-US" w:eastAsia="zh-CN"/>
        </w:rPr>
        <w:t>三</w:t>
      </w:r>
      <w:r>
        <w:rPr>
          <w:rFonts w:hint="eastAsia" w:ascii="黑体" w:hAnsi="宋体" w:eastAsia="黑体" w:cs="黑体"/>
          <w:i w:val="0"/>
          <w:caps w:val="0"/>
          <w:color w:val="333333"/>
          <w:spacing w:val="0"/>
          <w:sz w:val="32"/>
          <w:szCs w:val="32"/>
          <w:shd w:val="clear" w:fill="FFFFFF"/>
        </w:rPr>
        <w:t>、资金</w:t>
      </w:r>
      <w:r>
        <w:rPr>
          <w:rFonts w:hint="eastAsia" w:ascii="黑体" w:hAnsi="宋体" w:eastAsia="黑体" w:cs="黑体"/>
          <w:i w:val="0"/>
          <w:caps w:val="0"/>
          <w:color w:val="333333"/>
          <w:spacing w:val="0"/>
          <w:sz w:val="32"/>
          <w:szCs w:val="32"/>
          <w:shd w:val="clear" w:fill="FFFFFF"/>
          <w:lang w:val="en-US" w:eastAsia="zh-CN"/>
        </w:rPr>
        <w:t>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2024年省级财政衔接推进乡村振兴补助资金（直达资金）88万元安排如下：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b w:val="0"/>
          <w:bCs w:val="0"/>
          <w:color w:val="000000" w:themeColor="text1"/>
          <w:kern w:val="1"/>
          <w:sz w:val="32"/>
          <w:szCs w:val="32"/>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产业类项目。安排59万元到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蜈支洲休闲渔船投建</w:t>
      </w:r>
      <w:r>
        <w:rPr>
          <w:rFonts w:hint="eastAsia" w:ascii="仿宋_GB2312" w:hAnsi="仿宋_GB2312" w:eastAsia="仿宋_GB2312" w:cs="仿宋_GB2312"/>
          <w:b w:val="0"/>
          <w:bCs w:val="0"/>
          <w:color w:val="000000" w:themeColor="text1"/>
          <w:kern w:val="1"/>
          <w:sz w:val="32"/>
          <w:szCs w:val="32"/>
          <w14:textFill>
            <w14:solidFill>
              <w14:schemeClr w14:val="tx1"/>
            </w14:solidFill>
          </w14:textFill>
        </w:rPr>
        <w:t>项目</w:t>
      </w:r>
      <w:r>
        <w:rPr>
          <w:rFonts w:hint="eastAsia" w:ascii="仿宋_GB2312" w:hAnsi="仿宋_GB2312" w:eastAsia="仿宋_GB2312" w:cs="仿宋_GB2312"/>
          <w:b w:val="0"/>
          <w:bCs w:val="0"/>
          <w:color w:val="000000" w:themeColor="text1"/>
          <w:kern w:val="1"/>
          <w:sz w:val="32"/>
          <w:szCs w:val="32"/>
          <w:lang w:val="en-US" w:eastAsia="zh-CN"/>
          <w14:textFill>
            <w14:solidFill>
              <w14:schemeClr w14:val="tx1"/>
            </w14:solidFill>
          </w14:textFill>
        </w:rPr>
        <w:t>，项目建设内容为：1、船长38米，船宽7.98米；2、单体3层玻璃钢；3、满载排水200t，航速15kn；4、双机双浆，主机功率735kw*2。项目绩效目标为：1.壮大村集体经济，带动农民增收；2.推动“渔业+”融合发展，大力发展“渔业+旅游”模式创新，实现渔业转型升级；3.提供休闲渔业从业技能培训和就职岗位。项目业主单位为：区农业农村局。</w:t>
      </w:r>
    </w:p>
    <w:p>
      <w:pPr>
        <w:pStyle w:val="2"/>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FF0000"/>
          <w:kern w:val="1"/>
          <w:sz w:val="32"/>
          <w:szCs w:val="32"/>
          <w:lang w:val="en-US" w:eastAsia="zh-CN"/>
        </w:rPr>
        <w:t xml:space="preserve"> </w:t>
      </w:r>
      <w:r>
        <w:rPr>
          <w:rFonts w:hint="eastAsia" w:ascii="仿宋_GB2312" w:hAnsi="仿宋_GB2312" w:eastAsia="仿宋_GB2312" w:cs="仿宋_GB2312"/>
          <w:b w:val="0"/>
          <w:bCs w:val="0"/>
          <w:color w:val="000000" w:themeColor="text1"/>
          <w:kern w:val="1"/>
          <w:sz w:val="32"/>
          <w:szCs w:val="32"/>
          <w:lang w:val="en-US" w:eastAsia="zh-CN"/>
          <w14:textFill>
            <w14:solidFill>
              <w14:schemeClr w14:val="tx1"/>
            </w14:solidFill>
          </w14:textFill>
        </w:rPr>
        <w:t>（二）乡村建设类项目。安排29万元到海棠区东溪村机耕路太阳能路灯建设工程，项目建设内容为：新建40盏太阳能路灯，覆盖路段约一公里。项目绩效目标为：积极改善农民生产、生活条件，方便出行，保障夜间出行安全，美化亮化乡村。项目业主为：区住房和城乡建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黑体" w:hAnsi="宋体" w:eastAsia="黑体" w:cs="黑体"/>
          <w:i w:val="0"/>
          <w:caps w:val="0"/>
          <w:color w:val="333333"/>
          <w:spacing w:val="0"/>
          <w:kern w:val="0"/>
          <w:sz w:val="32"/>
          <w:szCs w:val="32"/>
          <w:shd w:val="clear" w:fill="FFFFFF"/>
          <w:lang w:val="en-US" w:eastAsia="zh-CN" w:bidi="ar"/>
        </w:rPr>
      </w:pPr>
      <w:r>
        <w:rPr>
          <w:rFonts w:hint="eastAsia" w:ascii="黑体" w:hAnsi="宋体" w:eastAsia="黑体" w:cs="黑体"/>
          <w:i w:val="0"/>
          <w:caps w:val="0"/>
          <w:color w:val="333333"/>
          <w:spacing w:val="0"/>
          <w:kern w:val="0"/>
          <w:sz w:val="32"/>
          <w:szCs w:val="32"/>
          <w:shd w:val="clear" w:fill="FFFFFF"/>
          <w:lang w:val="en-US" w:eastAsia="zh-CN" w:bidi="ar"/>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（一）加强组织领导。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项目实施单位要高度重视，切实加强领导，统一思想认识，以高度负责的精神抓好财政衔接推进乡村振兴补助资金使用管理工作，协同推进，切实提高产业项目实施效果和资金使用管理绩效。项目分管领导和项目负责人要尽职履责，全过程做好项目的规划、筛选、实施、验收监督、管理等工作，在确保财政资金使用安全的前提下，加快资金支出进度，确保资金发挥效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（二）严格执行资金项目公告公示制度，按规定对项目立项、实施、验收和资金使用等各环节及时进行公告公示。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建立事前、事中、事后全流程动态监测和区、村两级全覆盖的资金监管机制，确保资金专款专用，在阳光下运行。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（三）落实绩效管理工作。严禁将财政衔接推进乡村振兴补助资金用于巩固拓展脱贫攻坚成果和推进乡村振兴无关的项目。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项目资金实施全过程绩效管理，科学设置绩效目标，做好绩效运行监控和绩效评价。严格执行资金支出通报制度，加强资金监管，确保资金使用规范、安全高效。区财政局、区农业农村局对项目安排和衔接资金使用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附件：三亚市海棠区2024年第二批省级财政衔接推进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乡村振兴补助资金（直达资金）安排表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魏碑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隶书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raditional Arabic">
    <w:altName w:val="Times New Roman"/>
    <w:panose1 w:val="02020603050405020304"/>
    <w:charset w:val="00"/>
    <w:family w:val="auto"/>
    <w:pitch w:val="default"/>
    <w:sig w:usb0="00000000" w:usb1="00000000" w:usb2="00000008" w:usb3="00000000" w:csb0="00000041" w:csb1="2008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decorative"/>
    <w:pitch w:val="default"/>
    <w:sig w:usb0="A00006FF" w:usb1="4000205B" w:usb2="00000010" w:usb3="00000000" w:csb0="2000019F" w:csb1="00000000"/>
  </w:font>
  <w:font w:name="Helvetica">
    <w:altName w:val="Arial"/>
    <w:panose1 w:val="020B0504020202030204"/>
    <w:charset w:val="00"/>
    <w:family w:val="decorative"/>
    <w:pitch w:val="default"/>
    <w:sig w:usb0="00000000" w:usb1="00000000" w:usb2="00000000" w:usb3="00000000" w:csb0="00000093" w:csb1="00000000"/>
  </w:font>
  <w:font w:name="Arial Unicode MS">
    <w:altName w:val="宋体"/>
    <w:panose1 w:val="020B0604020202020204"/>
    <w:charset w:val="86"/>
    <w:family w:val="decorative"/>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roman"/>
    <w:pitch w:val="default"/>
    <w:sig w:usb0="A00006FF" w:usb1="4000205B" w:usb2="00000010" w:usb3="00000000" w:csb0="2000019F" w:csb1="00000000"/>
  </w:font>
  <w:font w:name="Helvetica">
    <w:altName w:val="Arial"/>
    <w:panose1 w:val="020B0504020202030204"/>
    <w:charset w:val="00"/>
    <w:family w:val="roman"/>
    <w:pitch w:val="default"/>
    <w:sig w:usb0="00000000" w:usb1="00000000" w:usb2="00000000" w:usb3="00000000" w:csb0="00000093" w:csb1="00000000"/>
  </w:font>
  <w:font w:name="Arial Unicode MS">
    <w:altName w:val="宋体"/>
    <w:panose1 w:val="020B0604020202020204"/>
    <w:charset w:val="86"/>
    <w:family w:val="roman"/>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modern"/>
    <w:pitch w:val="default"/>
    <w:sig w:usb0="A00006FF" w:usb1="4000205B" w:usb2="00000010" w:usb3="00000000" w:csb0="2000019F" w:csb1="00000000"/>
  </w:font>
  <w:font w:name="Helvetica">
    <w:altName w:val="Arial"/>
    <w:panose1 w:val="020B0504020202030204"/>
    <w:charset w:val="00"/>
    <w:family w:val="modern"/>
    <w:pitch w:val="default"/>
    <w:sig w:usb0="00000000" w:usb1="00000000" w:usb2="00000000" w:usb3="00000000" w:csb0="00000093" w:csb1="00000000"/>
  </w:font>
  <w:font w:name="Arial Unicode MS">
    <w:altName w:val="宋体"/>
    <w:panose1 w:val="020B0604020202020204"/>
    <w:charset w:val="86"/>
    <w:family w:val="modern"/>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新宋体">
    <w:panose1 w:val="02010609030101010101"/>
    <w:charset w:val="86"/>
    <w:family w:val="swiss"/>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4157867">
    <w:nsid w:val="659362AB"/>
    <w:multiLevelType w:val="singleLevel"/>
    <w:tmpl w:val="659362AB"/>
    <w:lvl w:ilvl="0" w:tentative="1">
      <w:start w:val="1"/>
      <w:numFmt w:val="chineseCounting"/>
      <w:suff w:val="nothing"/>
      <w:lvlText w:val="%1、"/>
      <w:lvlJc w:val="left"/>
    </w:lvl>
  </w:abstractNum>
  <w:num w:numId="1">
    <w:abstractNumId w:val="17041578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25EDB"/>
    <w:rsid w:val="008B7CEF"/>
    <w:rsid w:val="008F14BD"/>
    <w:rsid w:val="0098760C"/>
    <w:rsid w:val="011C31B3"/>
    <w:rsid w:val="016D5ABF"/>
    <w:rsid w:val="01EE4650"/>
    <w:rsid w:val="02703ACA"/>
    <w:rsid w:val="02847F5C"/>
    <w:rsid w:val="03BC7FF9"/>
    <w:rsid w:val="042F7C97"/>
    <w:rsid w:val="04E4367B"/>
    <w:rsid w:val="065D12AF"/>
    <w:rsid w:val="0711210A"/>
    <w:rsid w:val="0761365D"/>
    <w:rsid w:val="087958DF"/>
    <w:rsid w:val="096C09E7"/>
    <w:rsid w:val="09D01AB0"/>
    <w:rsid w:val="09F41CF6"/>
    <w:rsid w:val="0B074097"/>
    <w:rsid w:val="0B3D53FD"/>
    <w:rsid w:val="0BBF7FF1"/>
    <w:rsid w:val="0BE05512"/>
    <w:rsid w:val="0C2A5B60"/>
    <w:rsid w:val="0CDF7050"/>
    <w:rsid w:val="0CF141FF"/>
    <w:rsid w:val="0D220B2E"/>
    <w:rsid w:val="0DA25A64"/>
    <w:rsid w:val="0E2768AA"/>
    <w:rsid w:val="0E851A84"/>
    <w:rsid w:val="0F150073"/>
    <w:rsid w:val="0F3660C4"/>
    <w:rsid w:val="0F6863CD"/>
    <w:rsid w:val="0F8F472C"/>
    <w:rsid w:val="0F9F7129"/>
    <w:rsid w:val="0FCE2C3C"/>
    <w:rsid w:val="10003ECC"/>
    <w:rsid w:val="10525EDB"/>
    <w:rsid w:val="109F1834"/>
    <w:rsid w:val="121522AF"/>
    <w:rsid w:val="12520400"/>
    <w:rsid w:val="131537AA"/>
    <w:rsid w:val="14771CD7"/>
    <w:rsid w:val="147733E7"/>
    <w:rsid w:val="15783D0E"/>
    <w:rsid w:val="159160BD"/>
    <w:rsid w:val="15A81D70"/>
    <w:rsid w:val="16805893"/>
    <w:rsid w:val="17060306"/>
    <w:rsid w:val="173333C8"/>
    <w:rsid w:val="1747201F"/>
    <w:rsid w:val="180D5B02"/>
    <w:rsid w:val="18617A47"/>
    <w:rsid w:val="18625F88"/>
    <w:rsid w:val="18CE44AB"/>
    <w:rsid w:val="18FC60AD"/>
    <w:rsid w:val="19162943"/>
    <w:rsid w:val="19A56FCB"/>
    <w:rsid w:val="19B143A0"/>
    <w:rsid w:val="1AC97BDA"/>
    <w:rsid w:val="1AD06F8A"/>
    <w:rsid w:val="1AD9574B"/>
    <w:rsid w:val="1B8E1DA6"/>
    <w:rsid w:val="1C77380C"/>
    <w:rsid w:val="1CC615AC"/>
    <w:rsid w:val="1CE02E8D"/>
    <w:rsid w:val="1D861DA6"/>
    <w:rsid w:val="1E8F2C37"/>
    <w:rsid w:val="1FA93841"/>
    <w:rsid w:val="1FD31AD2"/>
    <w:rsid w:val="204164BC"/>
    <w:rsid w:val="204A6710"/>
    <w:rsid w:val="207B7D4C"/>
    <w:rsid w:val="21C12C06"/>
    <w:rsid w:val="2292400C"/>
    <w:rsid w:val="23F00830"/>
    <w:rsid w:val="240162F8"/>
    <w:rsid w:val="242F44BC"/>
    <w:rsid w:val="24567BDE"/>
    <w:rsid w:val="25163111"/>
    <w:rsid w:val="254B1542"/>
    <w:rsid w:val="25A606A9"/>
    <w:rsid w:val="263904A9"/>
    <w:rsid w:val="263C0C0E"/>
    <w:rsid w:val="26C2333E"/>
    <w:rsid w:val="26ED58FC"/>
    <w:rsid w:val="2734051B"/>
    <w:rsid w:val="27625F1E"/>
    <w:rsid w:val="27F77A09"/>
    <w:rsid w:val="28182874"/>
    <w:rsid w:val="29AA753D"/>
    <w:rsid w:val="29B53A50"/>
    <w:rsid w:val="2A144FA7"/>
    <w:rsid w:val="2A1C12AD"/>
    <w:rsid w:val="2A7E4D74"/>
    <w:rsid w:val="2B5C441A"/>
    <w:rsid w:val="2BBA689A"/>
    <w:rsid w:val="2BE96575"/>
    <w:rsid w:val="2C332043"/>
    <w:rsid w:val="2C3749BE"/>
    <w:rsid w:val="2C91093F"/>
    <w:rsid w:val="2CAD2773"/>
    <w:rsid w:val="2CB34664"/>
    <w:rsid w:val="2CD457EA"/>
    <w:rsid w:val="2D3E734F"/>
    <w:rsid w:val="2D5672E2"/>
    <w:rsid w:val="2D8B2CCB"/>
    <w:rsid w:val="2DA11874"/>
    <w:rsid w:val="2E114DA9"/>
    <w:rsid w:val="2E4D3229"/>
    <w:rsid w:val="2F067FD3"/>
    <w:rsid w:val="2F7E2013"/>
    <w:rsid w:val="2FB824E1"/>
    <w:rsid w:val="2FC15C8E"/>
    <w:rsid w:val="2FE23850"/>
    <w:rsid w:val="303B7EE7"/>
    <w:rsid w:val="30544EE7"/>
    <w:rsid w:val="31141245"/>
    <w:rsid w:val="322A0B56"/>
    <w:rsid w:val="3293795A"/>
    <w:rsid w:val="32D046D8"/>
    <w:rsid w:val="331F0E4B"/>
    <w:rsid w:val="332A080A"/>
    <w:rsid w:val="332A7336"/>
    <w:rsid w:val="337B5667"/>
    <w:rsid w:val="34064C5B"/>
    <w:rsid w:val="344D6226"/>
    <w:rsid w:val="358C3FBB"/>
    <w:rsid w:val="360B14BA"/>
    <w:rsid w:val="372217F9"/>
    <w:rsid w:val="37512258"/>
    <w:rsid w:val="37944F6B"/>
    <w:rsid w:val="37B91E4F"/>
    <w:rsid w:val="37DC73A5"/>
    <w:rsid w:val="38494596"/>
    <w:rsid w:val="384B69F0"/>
    <w:rsid w:val="384E3723"/>
    <w:rsid w:val="386E5991"/>
    <w:rsid w:val="38AD53CB"/>
    <w:rsid w:val="38D3417C"/>
    <w:rsid w:val="39257069"/>
    <w:rsid w:val="39370859"/>
    <w:rsid w:val="395D0F25"/>
    <w:rsid w:val="3A6E5711"/>
    <w:rsid w:val="3AA66D2C"/>
    <w:rsid w:val="3AC7211B"/>
    <w:rsid w:val="3AE85913"/>
    <w:rsid w:val="3B334B1A"/>
    <w:rsid w:val="3B8D7AA5"/>
    <w:rsid w:val="3BDE3532"/>
    <w:rsid w:val="3C03286E"/>
    <w:rsid w:val="3C6F5A12"/>
    <w:rsid w:val="3C9E197B"/>
    <w:rsid w:val="3CA839B4"/>
    <w:rsid w:val="3CDD0AFB"/>
    <w:rsid w:val="3D6E2FD1"/>
    <w:rsid w:val="3D752F61"/>
    <w:rsid w:val="3DBF14D8"/>
    <w:rsid w:val="3DC273F7"/>
    <w:rsid w:val="3DD30759"/>
    <w:rsid w:val="3E975F9B"/>
    <w:rsid w:val="3EAB6F65"/>
    <w:rsid w:val="3EC2316F"/>
    <w:rsid w:val="3F2C1744"/>
    <w:rsid w:val="3F577EE7"/>
    <w:rsid w:val="3FC731E4"/>
    <w:rsid w:val="403E65B2"/>
    <w:rsid w:val="403F6724"/>
    <w:rsid w:val="419A3232"/>
    <w:rsid w:val="45474DA9"/>
    <w:rsid w:val="45C13A19"/>
    <w:rsid w:val="45C3332F"/>
    <w:rsid w:val="46C5254A"/>
    <w:rsid w:val="47A64054"/>
    <w:rsid w:val="47E14D83"/>
    <w:rsid w:val="48251357"/>
    <w:rsid w:val="4AA9211A"/>
    <w:rsid w:val="4AAB469F"/>
    <w:rsid w:val="4B3279D0"/>
    <w:rsid w:val="4BAA122F"/>
    <w:rsid w:val="4DA3593B"/>
    <w:rsid w:val="4DC5684D"/>
    <w:rsid w:val="4E2F57B1"/>
    <w:rsid w:val="4EC57F2B"/>
    <w:rsid w:val="4EE5135C"/>
    <w:rsid w:val="4EF52842"/>
    <w:rsid w:val="4F4A60EB"/>
    <w:rsid w:val="4FB469AB"/>
    <w:rsid w:val="507E33B4"/>
    <w:rsid w:val="509148A2"/>
    <w:rsid w:val="50B40837"/>
    <w:rsid w:val="50C149D1"/>
    <w:rsid w:val="50E476CF"/>
    <w:rsid w:val="51925E9A"/>
    <w:rsid w:val="51D26A10"/>
    <w:rsid w:val="52BA4435"/>
    <w:rsid w:val="53662400"/>
    <w:rsid w:val="53706DFD"/>
    <w:rsid w:val="539312E0"/>
    <w:rsid w:val="54171FB8"/>
    <w:rsid w:val="54540466"/>
    <w:rsid w:val="547E1EAF"/>
    <w:rsid w:val="557C06C3"/>
    <w:rsid w:val="559A6B24"/>
    <w:rsid w:val="562A7420"/>
    <w:rsid w:val="578F625C"/>
    <w:rsid w:val="579705F2"/>
    <w:rsid w:val="58AB64BE"/>
    <w:rsid w:val="58B7506F"/>
    <w:rsid w:val="59C420BE"/>
    <w:rsid w:val="5A101AF9"/>
    <w:rsid w:val="5A8C1E21"/>
    <w:rsid w:val="5ACB1AE2"/>
    <w:rsid w:val="5B094F7C"/>
    <w:rsid w:val="5B0E1B60"/>
    <w:rsid w:val="5B5A21D7"/>
    <w:rsid w:val="5BB00FFB"/>
    <w:rsid w:val="5BB56873"/>
    <w:rsid w:val="5C747089"/>
    <w:rsid w:val="5CB21E0A"/>
    <w:rsid w:val="5E6B3341"/>
    <w:rsid w:val="5FC003A3"/>
    <w:rsid w:val="5FDA68BD"/>
    <w:rsid w:val="602C5363"/>
    <w:rsid w:val="604D1EF7"/>
    <w:rsid w:val="62DA7830"/>
    <w:rsid w:val="638D3378"/>
    <w:rsid w:val="63C774A0"/>
    <w:rsid w:val="63F84B70"/>
    <w:rsid w:val="64404BEF"/>
    <w:rsid w:val="646F5A3C"/>
    <w:rsid w:val="64992D7B"/>
    <w:rsid w:val="659C0AFD"/>
    <w:rsid w:val="65C4574D"/>
    <w:rsid w:val="65EC5C43"/>
    <w:rsid w:val="6657173B"/>
    <w:rsid w:val="66783C0E"/>
    <w:rsid w:val="667D5414"/>
    <w:rsid w:val="66B634D3"/>
    <w:rsid w:val="68B008A8"/>
    <w:rsid w:val="690743C8"/>
    <w:rsid w:val="691335D7"/>
    <w:rsid w:val="6A667B25"/>
    <w:rsid w:val="6AA831F2"/>
    <w:rsid w:val="6AA91C20"/>
    <w:rsid w:val="6BFB405F"/>
    <w:rsid w:val="6C322956"/>
    <w:rsid w:val="6C8E1BE5"/>
    <w:rsid w:val="6CF736A1"/>
    <w:rsid w:val="6D0039DE"/>
    <w:rsid w:val="6E072E0B"/>
    <w:rsid w:val="6E2A6E33"/>
    <w:rsid w:val="6EC078F4"/>
    <w:rsid w:val="6FE04FB5"/>
    <w:rsid w:val="70BA3793"/>
    <w:rsid w:val="711162AC"/>
    <w:rsid w:val="71293EB5"/>
    <w:rsid w:val="713B0B29"/>
    <w:rsid w:val="71ED6F8C"/>
    <w:rsid w:val="71EF5F48"/>
    <w:rsid w:val="71F80197"/>
    <w:rsid w:val="739A1586"/>
    <w:rsid w:val="73E877AC"/>
    <w:rsid w:val="74B44592"/>
    <w:rsid w:val="75493EF1"/>
    <w:rsid w:val="754B4BFF"/>
    <w:rsid w:val="75707D2E"/>
    <w:rsid w:val="759247E8"/>
    <w:rsid w:val="75B171A8"/>
    <w:rsid w:val="76D2709B"/>
    <w:rsid w:val="778E502E"/>
    <w:rsid w:val="77A97B25"/>
    <w:rsid w:val="781A652E"/>
    <w:rsid w:val="78282F76"/>
    <w:rsid w:val="78416601"/>
    <w:rsid w:val="786F1471"/>
    <w:rsid w:val="78E57F82"/>
    <w:rsid w:val="79162FE2"/>
    <w:rsid w:val="794452CF"/>
    <w:rsid w:val="79F91D42"/>
    <w:rsid w:val="79FF537A"/>
    <w:rsid w:val="7A352244"/>
    <w:rsid w:val="7A4249E9"/>
    <w:rsid w:val="7A76757A"/>
    <w:rsid w:val="7B75453D"/>
    <w:rsid w:val="7BBD4F5F"/>
    <w:rsid w:val="7C7F085D"/>
    <w:rsid w:val="7D21107E"/>
    <w:rsid w:val="7DAE0BD5"/>
    <w:rsid w:val="7E627037"/>
    <w:rsid w:val="7E847341"/>
    <w:rsid w:val="7E901C00"/>
    <w:rsid w:val="7EDB4245"/>
    <w:rsid w:val="7FB155C0"/>
    <w:rsid w:val="7FE60B16"/>
    <w:rsid w:val="7FF326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before="151"/>
      <w:ind w:left="111"/>
    </w:pPr>
    <w:rPr>
      <w:rFonts w:hint="eastAsia" w:ascii="宋体" w:hAnsi="宋体" w:eastAsia="等线" w:cs="仿宋_GB2312"/>
      <w:sz w:val="24"/>
      <w:szCs w:val="32"/>
    </w:rPr>
  </w:style>
  <w:style w:type="paragraph" w:styleId="3">
    <w:name w:val="Body Text 2"/>
    <w:basedOn w:val="1"/>
    <w:qFormat/>
    <w:uiPriority w:val="0"/>
    <w:pPr>
      <w:spacing w:after="120" w:line="480" w:lineRule="auto"/>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2023-03-15T03:43:00Z</dcterms:created>
  <dc:creator>乡村振兴局收发员</dc:creator>
  <cp:lastModifiedBy>乡村振兴局收发员</cp:lastModifiedBy>
  <cp:lastPrinted>2024-07-03T02:38:00Z</cp:lastPrinted>
  <dcterms:modified xsi:type="dcterms:W3CDTF">2024-07-17T01:31:52Z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