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right="-82"/>
        <w:jc w:val="center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方正小标宋简体" w:hAnsi="Calibri" w:eastAsia="方正小标宋简体" w:cs="Calibri"/>
          <w:color w:val="222222"/>
          <w:kern w:val="0"/>
          <w:sz w:val="44"/>
          <w:szCs w:val="44"/>
        </w:rPr>
        <w:t>区人民政府决定</w:t>
      </w:r>
      <w:bookmarkStart w:id="0" w:name="_GoBack"/>
      <w:bookmarkEnd w:id="0"/>
      <w:r>
        <w:rPr>
          <w:rFonts w:hint="eastAsia" w:ascii="方正小标宋简体" w:hAnsi="Calibri" w:eastAsia="方正小标宋简体" w:cs="Calibri"/>
          <w:color w:val="222222"/>
          <w:kern w:val="0"/>
          <w:sz w:val="44"/>
          <w:szCs w:val="44"/>
          <w:lang w:eastAsia="zh-CN"/>
        </w:rPr>
        <w:t>限期修改</w:t>
      </w:r>
      <w:r>
        <w:rPr>
          <w:rFonts w:hint="eastAsia" w:ascii="方正小标宋简体" w:hAnsi="Calibri" w:eastAsia="方正小标宋简体" w:cs="Calibri"/>
          <w:color w:val="222222"/>
          <w:kern w:val="0"/>
          <w:sz w:val="44"/>
          <w:szCs w:val="44"/>
        </w:rPr>
        <w:t>的行政规范性文件目录</w:t>
      </w:r>
    </w:p>
    <w:tbl>
      <w:tblPr>
        <w:tblStyle w:val="3"/>
        <w:tblW w:w="14070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9604"/>
        <w:gridCol w:w="352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Calibri"/>
                <w:color w:val="222222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color w:val="222222"/>
                <w:kern w:val="0"/>
                <w:sz w:val="32"/>
                <w:szCs w:val="32"/>
              </w:rPr>
              <w:t>序号</w:t>
            </w:r>
          </w:p>
        </w:tc>
        <w:tc>
          <w:tcPr>
            <w:tcW w:w="9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Calibri"/>
                <w:color w:val="222222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color w:val="222222"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3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Calibri"/>
                <w:color w:val="222222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color w:val="222222"/>
                <w:kern w:val="0"/>
                <w:sz w:val="32"/>
                <w:szCs w:val="32"/>
              </w:rPr>
              <w:t>文号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Calibri"/>
                <w:color w:val="22222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9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关于印发公共场所禁烟控烟管理办法的通知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海棠府〔2017〕22号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222222"/>
                <w:kern w:val="0"/>
                <w:sz w:val="28"/>
                <w:szCs w:val="28"/>
              </w:rPr>
              <w:t>2</w:t>
            </w:r>
          </w:p>
        </w:tc>
        <w:tc>
          <w:tcPr>
            <w:tcW w:w="9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关于印发《三亚市海棠区政府投资项目暂行管理规定》的通知 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海棠府〔2017〕248号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96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海棠湾镇安置工作实施细则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海棠府字〔2013〕187号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222222"/>
                <w:kern w:val="0"/>
                <w:sz w:val="28"/>
                <w:szCs w:val="28"/>
              </w:rPr>
              <w:t>4</w:t>
            </w:r>
          </w:p>
        </w:tc>
        <w:tc>
          <w:tcPr>
            <w:tcW w:w="9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海棠湾镇征地拆迁补偿安置方案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海棠府字〔2012〕214号 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Calibri" w:hAnsi="Calibri" w:eastAsia="宋体" w:cs="Calibri"/>
          <w:color w:val="222222"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6E"/>
    <w:rsid w:val="001F6BAA"/>
    <w:rsid w:val="00911E6E"/>
    <w:rsid w:val="089928AE"/>
    <w:rsid w:val="1581759D"/>
    <w:rsid w:val="1A015FBC"/>
    <w:rsid w:val="24CB54F8"/>
    <w:rsid w:val="498C44A5"/>
    <w:rsid w:val="5AA52D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BE49A-D21B-426E-8165-B91EF0908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489</Characters>
  <Lines>4</Lines>
  <Paragraphs>1</Paragraphs>
  <ScaleCrop>false</ScaleCrop>
  <LinksUpToDate>false</LinksUpToDate>
  <CharactersWithSpaces>573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2021-11-12T04:20:00Z</dcterms:created>
  <dc:creator>登 登</dc:creator>
  <cp:lastModifiedBy>李  强</cp:lastModifiedBy>
  <dcterms:modified xsi:type="dcterms:W3CDTF">2021-11-12T07:43:05Z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