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560" w:lineRule="exact"/>
        <w:jc w:val="center"/>
        <w:outlineLvl w:val="9"/>
        <w:rPr>
          <w:rFonts w:hint="eastAsia" w:ascii="仿宋" w:hAnsi="仿宋" w:eastAsia="仿宋" w:cs="Cambria Math"/>
          <w:b/>
          <w:spacing w:val="20"/>
          <w:sz w:val="44"/>
          <w:szCs w:val="44"/>
        </w:rPr>
      </w:pPr>
      <w:bookmarkStart w:id="0" w:name="_Toc26119"/>
      <w:bookmarkStart w:id="1" w:name="_Toc24895"/>
      <w:bookmarkStart w:id="2" w:name="_Toc19229"/>
      <w:bookmarkStart w:id="3" w:name="_Toc23589"/>
      <w:bookmarkStart w:id="4" w:name="_Toc13284"/>
    </w:p>
    <w:p>
      <w:pPr>
        <w:pStyle w:val="15"/>
        <w:pageBreakBefore w:val="0"/>
        <w:kinsoku/>
        <w:wordWrap/>
        <w:overflowPunct/>
        <w:topLinePunct w:val="0"/>
        <w:autoSpaceDE/>
        <w:autoSpaceDN/>
        <w:bidi w:val="0"/>
        <w:spacing w:line="560" w:lineRule="exact"/>
        <w:rPr>
          <w:rFonts w:hint="eastAsia"/>
        </w:rPr>
      </w:pPr>
    </w:p>
    <w:bookmarkEnd w:id="0"/>
    <w:bookmarkEnd w:id="1"/>
    <w:bookmarkEnd w:id="2"/>
    <w:bookmarkEnd w:id="3"/>
    <w:bookmarkEnd w:id="4"/>
    <w:p>
      <w:pPr>
        <w:pageBreakBefore w:val="0"/>
        <w:kinsoku/>
        <w:wordWrap/>
        <w:overflowPunct/>
        <w:topLinePunct w:val="0"/>
        <w:autoSpaceDE/>
        <w:autoSpaceDN/>
        <w:bidi w:val="0"/>
        <w:spacing w:line="560" w:lineRule="exact"/>
        <w:jc w:val="both"/>
        <w:rPr>
          <w:rFonts w:hint="eastAsia" w:ascii="方正小标宋简体" w:hAnsi="方正小标宋简体" w:eastAsia="方正小标宋简体" w:cs="方正小标宋简体"/>
          <w:b w:val="0"/>
          <w:bCs/>
          <w:spacing w:val="2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u w:val="none"/>
          <w:lang w:eastAsia="zh-CN"/>
        </w:rPr>
      </w:pPr>
      <w:r>
        <w:rPr>
          <w:rFonts w:hint="eastAsia" w:ascii="方正小标宋简体" w:hAnsi="方正小标宋简体" w:eastAsia="方正小标宋简体" w:cs="方正小标宋简体"/>
          <w:b w:val="0"/>
          <w:bCs w:val="0"/>
          <w:color w:val="auto"/>
          <w:sz w:val="44"/>
          <w:szCs w:val="44"/>
          <w:u w:val="none"/>
          <w:lang w:eastAsia="zh-CN"/>
        </w:rPr>
        <w:t>三亚市海棠区林旺国道路段通信缆线迁改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spacing w:val="20"/>
          <w:sz w:val="44"/>
          <w:szCs w:val="44"/>
          <w:lang w:val="en-US" w:eastAsia="zh-CN"/>
        </w:rPr>
      </w:pPr>
      <w:r>
        <w:rPr>
          <w:rFonts w:hint="eastAsia" w:ascii="方正小标宋简体" w:hAnsi="方正小标宋简体" w:eastAsia="方正小标宋简体" w:cs="方正小标宋简体"/>
          <w:b w:val="0"/>
          <w:bCs w:val="0"/>
          <w:color w:val="auto"/>
          <w:sz w:val="44"/>
          <w:szCs w:val="44"/>
          <w:u w:val="none"/>
          <w:lang w:eastAsia="zh-CN"/>
        </w:rPr>
        <w:t>项目“12·14”机械亡人事故</w:t>
      </w:r>
      <w:r>
        <w:rPr>
          <w:rFonts w:hint="eastAsia" w:ascii="方正小标宋简体" w:hAnsi="方正小标宋简体" w:eastAsia="方正小标宋简体" w:cs="方正小标宋简体"/>
          <w:b w:val="0"/>
          <w:bCs/>
          <w:spacing w:val="20"/>
          <w:sz w:val="44"/>
          <w:szCs w:val="44"/>
          <w:lang w:val="en-US" w:eastAsia="zh-CN"/>
        </w:rPr>
        <w:t>调查报告</w:t>
      </w:r>
      <w:bookmarkStart w:id="5" w:name="_Toc16776"/>
      <w:bookmarkStart w:id="6" w:name="_Toc1411"/>
      <w:bookmarkStart w:id="7" w:name="_Toc2512"/>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spacing w:val="20"/>
          <w:sz w:val="44"/>
          <w:szCs w:val="44"/>
        </w:rPr>
      </w:pPr>
      <w:r>
        <w:rPr>
          <w:rFonts w:hint="eastAsia" w:ascii="方正小标宋简体" w:hAnsi="方正小标宋简体" w:eastAsia="方正小标宋简体" w:cs="方正小标宋简体"/>
          <w:b w:val="0"/>
          <w:bCs/>
          <w:spacing w:val="20"/>
          <w:sz w:val="44"/>
          <w:szCs w:val="44"/>
        </w:rPr>
        <w:t>处理工作情况评估报告</w:t>
      </w:r>
      <w:bookmarkEnd w:id="5"/>
      <w:bookmarkEnd w:id="6"/>
      <w:bookmarkEnd w:id="7"/>
    </w:p>
    <w:p>
      <w:pPr>
        <w:pageBreakBefore w:val="0"/>
        <w:kinsoku/>
        <w:wordWrap/>
        <w:overflowPunct/>
        <w:topLinePunct w:val="0"/>
        <w:autoSpaceDE/>
        <w:autoSpaceDN/>
        <w:bidi w:val="0"/>
        <w:spacing w:line="560" w:lineRule="exact"/>
        <w:rPr>
          <w:rFonts w:hint="eastAsia"/>
          <w:b w:val="0"/>
          <w:bCs/>
        </w:rPr>
      </w:pPr>
    </w:p>
    <w:p>
      <w:pPr>
        <w:pageBreakBefore w:val="0"/>
        <w:kinsoku/>
        <w:wordWrap/>
        <w:overflowPunct/>
        <w:topLinePunct w:val="0"/>
        <w:autoSpaceDE/>
        <w:autoSpaceDN/>
        <w:bidi w:val="0"/>
        <w:spacing w:line="560" w:lineRule="exact"/>
        <w:rPr>
          <w:rFonts w:hint="eastAsia"/>
        </w:rPr>
      </w:pPr>
    </w:p>
    <w:p>
      <w:pPr>
        <w:pageBreakBefore w:val="0"/>
        <w:kinsoku/>
        <w:wordWrap/>
        <w:overflowPunct/>
        <w:topLinePunct w:val="0"/>
        <w:autoSpaceDE/>
        <w:autoSpaceDN/>
        <w:bidi w:val="0"/>
        <w:spacing w:line="560" w:lineRule="exact"/>
        <w:rPr>
          <w:rFonts w:hint="eastAsia"/>
        </w:rPr>
      </w:pPr>
    </w:p>
    <w:p>
      <w:pPr>
        <w:pageBreakBefore w:val="0"/>
        <w:kinsoku/>
        <w:wordWrap/>
        <w:overflowPunct/>
        <w:topLinePunct w:val="0"/>
        <w:autoSpaceDE/>
        <w:autoSpaceDN/>
        <w:bidi w:val="0"/>
        <w:spacing w:line="560" w:lineRule="exact"/>
        <w:rPr>
          <w:rFonts w:hint="eastAsia"/>
        </w:rPr>
      </w:pPr>
    </w:p>
    <w:p>
      <w:pPr>
        <w:pageBreakBefore w:val="0"/>
        <w:kinsoku/>
        <w:wordWrap/>
        <w:overflowPunct/>
        <w:topLinePunct w:val="0"/>
        <w:autoSpaceDE/>
        <w:autoSpaceDN/>
        <w:bidi w:val="0"/>
        <w:spacing w:line="560" w:lineRule="exact"/>
        <w:rPr>
          <w:rFonts w:hint="eastAsia"/>
        </w:rPr>
      </w:pPr>
    </w:p>
    <w:p>
      <w:pPr>
        <w:pageBreakBefore w:val="0"/>
        <w:kinsoku/>
        <w:wordWrap/>
        <w:overflowPunct/>
        <w:topLinePunct w:val="0"/>
        <w:autoSpaceDE/>
        <w:autoSpaceDN/>
        <w:bidi w:val="0"/>
        <w:spacing w:line="560" w:lineRule="exact"/>
        <w:rPr>
          <w:rFonts w:hint="eastAsia"/>
        </w:rPr>
      </w:pPr>
    </w:p>
    <w:p>
      <w:pPr>
        <w:pageBreakBefore w:val="0"/>
        <w:kinsoku/>
        <w:wordWrap/>
        <w:overflowPunct/>
        <w:topLinePunct w:val="0"/>
        <w:autoSpaceDE/>
        <w:autoSpaceDN/>
        <w:bidi w:val="0"/>
        <w:spacing w:line="560" w:lineRule="exact"/>
        <w:rPr>
          <w:rFonts w:hint="eastAsia"/>
        </w:rPr>
      </w:pPr>
    </w:p>
    <w:p>
      <w:pPr>
        <w:pageBreakBefore w:val="0"/>
        <w:kinsoku/>
        <w:wordWrap/>
        <w:overflowPunct/>
        <w:topLinePunct w:val="0"/>
        <w:autoSpaceDE/>
        <w:autoSpaceDN/>
        <w:bidi w:val="0"/>
        <w:spacing w:line="560" w:lineRule="exact"/>
        <w:rPr>
          <w:rFonts w:hint="eastAsia"/>
        </w:rPr>
      </w:pPr>
    </w:p>
    <w:p>
      <w:pPr>
        <w:pageBreakBefore w:val="0"/>
        <w:kinsoku/>
        <w:wordWrap/>
        <w:overflowPunct/>
        <w:topLinePunct w:val="0"/>
        <w:autoSpaceDE/>
        <w:autoSpaceDN/>
        <w:bidi w:val="0"/>
        <w:spacing w:line="560" w:lineRule="exact"/>
        <w:rPr>
          <w:rFonts w:hint="eastAsia"/>
        </w:rPr>
      </w:pPr>
    </w:p>
    <w:p>
      <w:pPr>
        <w:pageBreakBefore w:val="0"/>
        <w:kinsoku/>
        <w:wordWrap/>
        <w:overflowPunct/>
        <w:topLinePunct w:val="0"/>
        <w:autoSpaceDE/>
        <w:autoSpaceDN/>
        <w:bidi w:val="0"/>
        <w:spacing w:line="560" w:lineRule="exact"/>
        <w:rPr>
          <w:rFonts w:hint="eastAsia"/>
        </w:rPr>
      </w:pPr>
    </w:p>
    <w:p>
      <w:pPr>
        <w:pageBreakBefore w:val="0"/>
        <w:kinsoku/>
        <w:wordWrap/>
        <w:overflowPunct/>
        <w:topLinePunct w:val="0"/>
        <w:autoSpaceDE/>
        <w:autoSpaceDN/>
        <w:bidi w:val="0"/>
        <w:spacing w:line="560" w:lineRule="exact"/>
        <w:rPr>
          <w:rFonts w:hint="eastAsia"/>
        </w:rPr>
      </w:pPr>
    </w:p>
    <w:p>
      <w:pPr>
        <w:pageBreakBefore w:val="0"/>
        <w:kinsoku/>
        <w:wordWrap/>
        <w:overflowPunct/>
        <w:topLinePunct w:val="0"/>
        <w:autoSpaceDE/>
        <w:autoSpaceDN/>
        <w:bidi w:val="0"/>
        <w:spacing w:line="560" w:lineRule="exact"/>
        <w:rPr>
          <w:rFonts w:hint="eastAsia"/>
        </w:rPr>
      </w:pPr>
    </w:p>
    <w:p>
      <w:pPr>
        <w:pageBreakBefore w:val="0"/>
        <w:kinsoku/>
        <w:wordWrap/>
        <w:overflowPunct/>
        <w:topLinePunct w:val="0"/>
        <w:autoSpaceDE/>
        <w:autoSpaceDN/>
        <w:bidi w:val="0"/>
        <w:spacing w:line="560" w:lineRule="exact"/>
        <w:rPr>
          <w:rFonts w:hint="eastAsia" w:ascii="方正小标宋简体" w:hAnsi="方正小标宋简体" w:eastAsia="方正小标宋简体" w:cs="方正小标宋简体"/>
          <w:b w:val="0"/>
          <w:bCs/>
          <w:sz w:val="40"/>
          <w:szCs w:val="40"/>
        </w:rPr>
      </w:pPr>
    </w:p>
    <w:p>
      <w:pPr>
        <w:pageBreakBefore w:val="0"/>
        <w:kinsoku/>
        <w:wordWrap/>
        <w:overflowPunct/>
        <w:topLinePunct w:val="0"/>
        <w:autoSpaceDE/>
        <w:autoSpaceDN/>
        <w:bidi w:val="0"/>
        <w:spacing w:line="560" w:lineRule="exact"/>
        <w:jc w:val="center"/>
        <w:outlineLvl w:val="0"/>
        <w:rPr>
          <w:rFonts w:hint="eastAsia" w:ascii="仿宋_GB2312" w:hAnsi="仿宋_GB2312" w:eastAsia="仿宋_GB2312" w:cs="仿宋_GB2312"/>
          <w:sz w:val="32"/>
          <w:szCs w:val="32"/>
          <w:lang w:eastAsia="zh-CN"/>
        </w:rPr>
      </w:pPr>
      <w:bookmarkStart w:id="8" w:name="_Toc10374"/>
      <w:bookmarkStart w:id="9" w:name="_Toc11789"/>
      <w:bookmarkStart w:id="10" w:name="_Toc13870"/>
      <w:bookmarkStart w:id="11" w:name="_Toc11251"/>
      <w:r>
        <w:rPr>
          <w:rFonts w:hint="eastAsia" w:ascii="仿宋_GB2312" w:hAnsi="仿宋_GB2312" w:eastAsia="仿宋_GB2312" w:cs="仿宋_GB2312"/>
          <w:sz w:val="32"/>
          <w:szCs w:val="32"/>
          <w:lang w:val="en-US" w:eastAsia="zh-CN"/>
        </w:rPr>
        <w:t>三亚市海棠区</w:t>
      </w:r>
      <w:r>
        <w:rPr>
          <w:rFonts w:hint="eastAsia" w:ascii="仿宋_GB2312" w:hAnsi="仿宋_GB2312" w:eastAsia="仿宋_GB2312" w:cs="仿宋_GB2312"/>
          <w:sz w:val="32"/>
          <w:szCs w:val="32"/>
          <w:lang w:eastAsia="zh-CN"/>
        </w:rPr>
        <w:t>安全生产委员会办公室</w:t>
      </w:r>
      <w:bookmarkEnd w:id="8"/>
      <w:bookmarkEnd w:id="9"/>
      <w:bookmarkEnd w:id="10"/>
      <w:bookmarkEnd w:id="11"/>
    </w:p>
    <w:p>
      <w:pPr>
        <w:pageBreakBefore w:val="0"/>
        <w:kinsoku/>
        <w:wordWrap/>
        <w:overflowPunct/>
        <w:topLinePunct w:val="0"/>
        <w:autoSpaceDE/>
        <w:autoSpaceDN/>
        <w:bidi w:val="0"/>
        <w:spacing w:line="560" w:lineRule="exact"/>
        <w:jc w:val="center"/>
        <w:outlineLvl w:val="0"/>
        <w:rPr>
          <w:rFonts w:hint="eastAsia" w:ascii="仿宋_GB2312" w:hAnsi="仿宋_GB2312" w:eastAsia="仿宋_GB2312" w:cs="仿宋_GB2312"/>
          <w:sz w:val="32"/>
          <w:szCs w:val="32"/>
          <w:lang w:val="en-US" w:eastAsia="zh-CN"/>
        </w:rPr>
        <w:sectPr>
          <w:pgSz w:w="11906" w:h="16838"/>
          <w:pgMar w:top="2098" w:right="1474" w:bottom="1984" w:left="1587" w:header="851" w:footer="1587" w:gutter="0"/>
          <w:pgNumType w:fmt="decimal"/>
          <w:cols w:space="720" w:num="1"/>
          <w:docGrid w:type="lines" w:linePitch="312" w:charSpace="0"/>
        </w:sectPr>
      </w:pPr>
      <w:bookmarkStart w:id="12" w:name="_Toc14272"/>
      <w:bookmarkStart w:id="13" w:name="_Toc13651"/>
      <w:bookmarkStart w:id="14" w:name="_Toc28553"/>
      <w:r>
        <w:rPr>
          <w:rFonts w:hint="eastAsia" w:ascii="仿宋_GB2312" w:hAnsi="宋体" w:eastAsia="仿宋_GB2312" w:cs="仿宋_GB2312"/>
          <w:b w:val="0"/>
          <w:bCs w:val="0"/>
          <w:color w:val="auto"/>
          <w:sz w:val="32"/>
          <w:szCs w:val="32"/>
          <w:lang w:val="en-US" w:eastAsia="zh-CN"/>
        </w:rPr>
        <w:t>2023年12</w:t>
      </w:r>
      <w:r>
        <w:rPr>
          <w:rFonts w:hint="default" w:ascii="仿宋_GB2312" w:hAnsi="宋体" w:eastAsia="仿宋_GB2312" w:cs="仿宋_GB2312"/>
          <w:b w:val="0"/>
          <w:bCs w:val="0"/>
          <w:color w:val="auto"/>
          <w:sz w:val="32"/>
          <w:szCs w:val="32"/>
        </w:rPr>
        <w:t>月</w:t>
      </w:r>
      <w:r>
        <w:rPr>
          <w:rFonts w:hint="eastAsia" w:ascii="仿宋_GB2312" w:hAnsi="宋体" w:eastAsia="仿宋_GB2312" w:cs="仿宋_GB2312"/>
          <w:b w:val="0"/>
          <w:bCs w:val="0"/>
          <w:color w:val="auto"/>
          <w:sz w:val="32"/>
          <w:szCs w:val="32"/>
          <w:lang w:val="en-US" w:eastAsia="zh-CN"/>
        </w:rPr>
        <w:t>29</w:t>
      </w:r>
      <w:r>
        <w:rPr>
          <w:rFonts w:hint="default" w:ascii="仿宋_GB2312" w:hAnsi="宋体" w:eastAsia="仿宋_GB2312" w:cs="仿宋_GB2312"/>
          <w:b w:val="0"/>
          <w:bCs w:val="0"/>
          <w:color w:val="auto"/>
          <w:sz w:val="32"/>
          <w:szCs w:val="32"/>
        </w:rPr>
        <w:t>日</w:t>
      </w:r>
      <w:r>
        <w:rPr>
          <w:rFonts w:hint="eastAsia" w:ascii="仿宋_GB2312" w:hAnsi="仿宋_GB2312" w:eastAsia="仿宋_GB2312" w:cs="仿宋_GB2312"/>
          <w:sz w:val="32"/>
          <w:szCs w:val="32"/>
          <w:lang w:val="en-US" w:eastAsia="zh-CN"/>
        </w:rPr>
        <w:t xml:space="preserve"> </w:t>
      </w:r>
      <w:bookmarkEnd w:id="12"/>
      <w:bookmarkEnd w:id="13"/>
      <w:bookmarkEnd w:id="14"/>
    </w:p>
    <w:sdt>
      <w:sdtPr>
        <w:rPr>
          <w:rFonts w:ascii="宋体" w:hAnsi="宋体" w:eastAsia="宋体" w:cs="Times New Roman"/>
          <w:kern w:val="2"/>
          <w:sz w:val="21"/>
          <w:szCs w:val="24"/>
          <w:lang w:val="en-US" w:eastAsia="zh-CN" w:bidi="ar-SA"/>
        </w:rPr>
        <w:id w:val="147479156"/>
        <w15:color w:val="DBDBDB"/>
      </w:sdtPr>
      <w:sdtEndPr>
        <w:rPr>
          <w:rFonts w:hint="eastAsia" w:ascii="Times New Roman" w:hAnsi="Times New Roman" w:eastAsia="宋体" w:cs="Times New Roman"/>
          <w:b/>
          <w:kern w:val="2"/>
          <w:sz w:val="24"/>
          <w:szCs w:val="24"/>
          <w:lang w:val="en-US" w:eastAsia="zh-CN" w:bidi="ar-SA"/>
        </w:rPr>
      </w:sdtEndPr>
      <w:sdtContent>
        <w:p>
          <w:pPr>
            <w:pageBreakBefore w:val="0"/>
            <w:kinsoku/>
            <w:wordWrap/>
            <w:overflowPunct/>
            <w:topLinePunct w:val="0"/>
            <w:autoSpaceDE/>
            <w:autoSpaceDN/>
            <w:bidi w:val="0"/>
            <w:spacing w:before="0" w:beforeLines="0" w:after="0" w:afterLines="0" w:line="360" w:lineRule="auto"/>
            <w:ind w:left="0" w:leftChars="0" w:right="0" w:rightChars="0" w:firstLine="0" w:firstLineChars="0"/>
            <w:jc w:val="center"/>
          </w:pPr>
          <w:r>
            <w:rPr>
              <w:rFonts w:ascii="宋体" w:hAnsi="宋体" w:eastAsia="宋体"/>
              <w:b/>
              <w:bCs/>
              <w:sz w:val="32"/>
              <w:szCs w:val="32"/>
            </w:rPr>
            <w:t>目</w:t>
          </w:r>
          <w:r>
            <w:rPr>
              <w:rFonts w:hint="eastAsia" w:ascii="宋体" w:hAnsi="宋体" w:eastAsia="宋体"/>
              <w:b/>
              <w:bCs/>
              <w:sz w:val="32"/>
              <w:szCs w:val="32"/>
              <w:lang w:val="en-US" w:eastAsia="zh-CN"/>
            </w:rPr>
            <w:t xml:space="preserve"> </w:t>
          </w:r>
          <w:r>
            <w:rPr>
              <w:rFonts w:ascii="宋体" w:hAnsi="宋体" w:eastAsia="宋体"/>
              <w:b/>
              <w:bCs/>
              <w:sz w:val="32"/>
              <w:szCs w:val="32"/>
            </w:rPr>
            <w:t>录</w:t>
          </w:r>
        </w:p>
        <w:p>
          <w:pPr>
            <w:pStyle w:val="10"/>
            <w:tabs>
              <w:tab w:val="right" w:leader="dot" w:pos="8845"/>
            </w:tabs>
            <w:spacing w:line="360" w:lineRule="auto"/>
            <w:rPr>
              <w:sz w:val="24"/>
              <w:szCs w:val="24"/>
            </w:rPr>
          </w:pPr>
          <w:r>
            <w:rPr>
              <w:rFonts w:hint="eastAsia"/>
              <w:sz w:val="24"/>
              <w:szCs w:val="24"/>
            </w:rPr>
            <w:fldChar w:fldCharType="begin"/>
          </w:r>
          <w:r>
            <w:rPr>
              <w:rFonts w:hint="eastAsia"/>
              <w:sz w:val="24"/>
              <w:szCs w:val="24"/>
            </w:rPr>
            <w:instrText xml:space="preserve">TOC \o "1-2" \h \u </w:instrText>
          </w:r>
          <w:r>
            <w:rPr>
              <w:rFonts w:hint="eastAsia"/>
              <w:sz w:val="24"/>
              <w:szCs w:val="24"/>
            </w:rPr>
            <w:fldChar w:fldCharType="separate"/>
          </w:r>
        </w:p>
        <w:p>
          <w:pPr>
            <w:pStyle w:val="10"/>
            <w:tabs>
              <w:tab w:val="right" w:leader="dot" w:pos="8845"/>
            </w:tabs>
            <w:spacing w:line="360" w:lineRule="auto"/>
            <w:rPr>
              <w:sz w:val="24"/>
              <w:szCs w:val="24"/>
            </w:rPr>
          </w:pPr>
          <w:r>
            <w:rPr>
              <w:rFonts w:hint="eastAsia"/>
              <w:sz w:val="24"/>
              <w:szCs w:val="24"/>
            </w:rPr>
            <w:fldChar w:fldCharType="begin"/>
          </w:r>
          <w:r>
            <w:rPr>
              <w:rFonts w:hint="eastAsia"/>
              <w:sz w:val="24"/>
              <w:szCs w:val="24"/>
            </w:rPr>
            <w:instrText xml:space="preserve"> HYPERLINK \l _Toc7566 </w:instrText>
          </w:r>
          <w:r>
            <w:rPr>
              <w:rFonts w:hint="eastAsia"/>
              <w:sz w:val="24"/>
              <w:szCs w:val="24"/>
            </w:rPr>
            <w:fldChar w:fldCharType="separate"/>
          </w:r>
          <w:r>
            <w:rPr>
              <w:rFonts w:hint="eastAsia" w:ascii="黑体" w:hAnsi="黑体" w:eastAsia="黑体" w:cs="黑体"/>
              <w:bCs/>
              <w:kern w:val="44"/>
              <w:sz w:val="24"/>
              <w:szCs w:val="24"/>
              <w:lang w:val="en-US" w:eastAsia="zh-CN" w:bidi="ar"/>
            </w:rPr>
            <w:t>一、评估工作小组组织及开展工作情况</w:t>
          </w:r>
          <w:r>
            <w:rPr>
              <w:sz w:val="24"/>
              <w:szCs w:val="24"/>
            </w:rPr>
            <w:tab/>
          </w:r>
          <w:r>
            <w:rPr>
              <w:sz w:val="24"/>
              <w:szCs w:val="24"/>
            </w:rPr>
            <w:fldChar w:fldCharType="begin"/>
          </w:r>
          <w:r>
            <w:rPr>
              <w:sz w:val="24"/>
              <w:szCs w:val="24"/>
            </w:rPr>
            <w:instrText xml:space="preserve"> PAGEREF _Toc7566 \h </w:instrText>
          </w:r>
          <w:r>
            <w:rPr>
              <w:sz w:val="24"/>
              <w:szCs w:val="24"/>
            </w:rPr>
            <w:fldChar w:fldCharType="separate"/>
          </w:r>
          <w:r>
            <w:rPr>
              <w:sz w:val="24"/>
              <w:szCs w:val="24"/>
            </w:rPr>
            <w:t>1</w:t>
          </w:r>
          <w:r>
            <w:rPr>
              <w:sz w:val="24"/>
              <w:szCs w:val="24"/>
            </w:rPr>
            <w:fldChar w:fldCharType="end"/>
          </w:r>
          <w:r>
            <w:rPr>
              <w:rFonts w:hint="eastAsia"/>
              <w:sz w:val="24"/>
              <w:szCs w:val="24"/>
            </w:rPr>
            <w:fldChar w:fldCharType="end"/>
          </w:r>
        </w:p>
        <w:p>
          <w:pPr>
            <w:pStyle w:val="11"/>
            <w:tabs>
              <w:tab w:val="right" w:leader="dot" w:pos="8845"/>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_Toc5827 </w:instrText>
          </w:r>
          <w:r>
            <w:rPr>
              <w:rFonts w:hint="eastAsia" w:ascii="宋体" w:hAnsi="宋体" w:eastAsia="宋体" w:cs="宋体"/>
              <w:sz w:val="24"/>
              <w:szCs w:val="24"/>
            </w:rPr>
            <w:fldChar w:fldCharType="separate"/>
          </w:r>
          <w:r>
            <w:rPr>
              <w:rFonts w:hint="eastAsia" w:ascii="宋体" w:hAnsi="宋体" w:eastAsia="宋体" w:cs="宋体"/>
              <w:bCs/>
              <w:sz w:val="24"/>
              <w:szCs w:val="24"/>
              <w:lang w:val="en-US" w:eastAsia="zh-CN"/>
            </w:rPr>
            <w:t>（一）评估工作小组成立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_Toc5827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8845"/>
            </w:tabs>
            <w:spacing w:line="360" w:lineRule="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_Toc5383 </w:instrText>
          </w:r>
          <w:r>
            <w:rPr>
              <w:rFonts w:hint="eastAsia" w:ascii="宋体" w:hAnsi="宋体" w:eastAsia="宋体" w:cs="宋体"/>
              <w:sz w:val="24"/>
              <w:szCs w:val="24"/>
            </w:rPr>
            <w:fldChar w:fldCharType="separate"/>
          </w:r>
          <w:r>
            <w:rPr>
              <w:rFonts w:hint="eastAsia" w:ascii="宋体" w:hAnsi="宋体" w:eastAsia="宋体" w:cs="宋体"/>
              <w:bCs/>
              <w:sz w:val="24"/>
              <w:szCs w:val="24"/>
              <w:lang w:val="en-US" w:eastAsia="zh-CN"/>
            </w:rPr>
            <w:t>（二）评估工作开展情况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_Toc5383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0"/>
            <w:tabs>
              <w:tab w:val="right" w:leader="dot" w:pos="8845"/>
            </w:tabs>
            <w:spacing w:line="360" w:lineRule="auto"/>
            <w:rPr>
              <w:sz w:val="24"/>
              <w:szCs w:val="24"/>
            </w:rPr>
          </w:pPr>
          <w:r>
            <w:rPr>
              <w:rFonts w:hint="eastAsia"/>
              <w:sz w:val="24"/>
              <w:szCs w:val="24"/>
            </w:rPr>
            <w:fldChar w:fldCharType="begin"/>
          </w:r>
          <w:r>
            <w:rPr>
              <w:rFonts w:hint="eastAsia"/>
              <w:sz w:val="24"/>
              <w:szCs w:val="24"/>
            </w:rPr>
            <w:instrText xml:space="preserve"> HYPERLINK \l _Toc25733 </w:instrText>
          </w:r>
          <w:r>
            <w:rPr>
              <w:rFonts w:hint="eastAsia"/>
              <w:sz w:val="24"/>
              <w:szCs w:val="24"/>
            </w:rPr>
            <w:fldChar w:fldCharType="separate"/>
          </w:r>
          <w:r>
            <w:rPr>
              <w:rFonts w:hint="eastAsia" w:ascii="黑体" w:hAnsi="黑体" w:eastAsia="黑体" w:cs="黑体"/>
              <w:bCs/>
              <w:kern w:val="44"/>
              <w:sz w:val="24"/>
              <w:szCs w:val="24"/>
              <w:lang w:val="en-US" w:eastAsia="zh-CN" w:bidi="ar"/>
            </w:rPr>
            <w:t>二、事故基本情况</w:t>
          </w:r>
          <w:r>
            <w:rPr>
              <w:sz w:val="24"/>
              <w:szCs w:val="24"/>
            </w:rPr>
            <w:tab/>
          </w:r>
          <w:r>
            <w:rPr>
              <w:sz w:val="24"/>
              <w:szCs w:val="24"/>
            </w:rPr>
            <w:fldChar w:fldCharType="begin"/>
          </w:r>
          <w:r>
            <w:rPr>
              <w:sz w:val="24"/>
              <w:szCs w:val="24"/>
            </w:rPr>
            <w:instrText xml:space="preserve"> PAGEREF _Toc25733 \h </w:instrText>
          </w:r>
          <w:r>
            <w:rPr>
              <w:sz w:val="24"/>
              <w:szCs w:val="24"/>
            </w:rPr>
            <w:fldChar w:fldCharType="separate"/>
          </w:r>
          <w:r>
            <w:rPr>
              <w:sz w:val="24"/>
              <w:szCs w:val="24"/>
            </w:rPr>
            <w:t>2</w:t>
          </w:r>
          <w:r>
            <w:rPr>
              <w:sz w:val="24"/>
              <w:szCs w:val="24"/>
            </w:rPr>
            <w:fldChar w:fldCharType="end"/>
          </w:r>
          <w:r>
            <w:rPr>
              <w:rFonts w:hint="eastAsia"/>
              <w:sz w:val="24"/>
              <w:szCs w:val="24"/>
            </w:rPr>
            <w:fldChar w:fldCharType="end"/>
          </w:r>
        </w:p>
        <w:p>
          <w:pPr>
            <w:pStyle w:val="10"/>
            <w:tabs>
              <w:tab w:val="right" w:leader="dot" w:pos="8845"/>
            </w:tabs>
            <w:spacing w:line="360" w:lineRule="auto"/>
            <w:rPr>
              <w:sz w:val="24"/>
              <w:szCs w:val="24"/>
            </w:rPr>
          </w:pPr>
          <w:r>
            <w:rPr>
              <w:rFonts w:hint="eastAsia"/>
              <w:sz w:val="24"/>
              <w:szCs w:val="24"/>
            </w:rPr>
            <w:fldChar w:fldCharType="begin"/>
          </w:r>
          <w:r>
            <w:rPr>
              <w:rFonts w:hint="eastAsia"/>
              <w:sz w:val="24"/>
              <w:szCs w:val="24"/>
            </w:rPr>
            <w:instrText xml:space="preserve"> HYPERLINK \l _Toc16214 </w:instrText>
          </w:r>
          <w:r>
            <w:rPr>
              <w:rFonts w:hint="eastAsia"/>
              <w:sz w:val="24"/>
              <w:szCs w:val="24"/>
            </w:rPr>
            <w:fldChar w:fldCharType="separate"/>
          </w:r>
          <w:r>
            <w:rPr>
              <w:rFonts w:hint="eastAsia" w:ascii="黑体" w:hAnsi="黑体" w:eastAsia="黑体" w:cs="黑体"/>
              <w:bCs/>
              <w:kern w:val="44"/>
              <w:sz w:val="24"/>
              <w:szCs w:val="24"/>
              <w:lang w:val="en-US" w:eastAsia="zh-CN" w:bidi="ar"/>
            </w:rPr>
            <w:t>三、事故调查及处理过程</w:t>
          </w:r>
          <w:r>
            <w:rPr>
              <w:sz w:val="24"/>
              <w:szCs w:val="24"/>
            </w:rPr>
            <w:tab/>
          </w:r>
          <w:r>
            <w:rPr>
              <w:sz w:val="24"/>
              <w:szCs w:val="24"/>
            </w:rPr>
            <w:fldChar w:fldCharType="begin"/>
          </w:r>
          <w:r>
            <w:rPr>
              <w:sz w:val="24"/>
              <w:szCs w:val="24"/>
            </w:rPr>
            <w:instrText xml:space="preserve"> PAGEREF _Toc16214 \h </w:instrText>
          </w:r>
          <w:r>
            <w:rPr>
              <w:sz w:val="24"/>
              <w:szCs w:val="24"/>
            </w:rPr>
            <w:fldChar w:fldCharType="separate"/>
          </w:r>
          <w:r>
            <w:rPr>
              <w:sz w:val="24"/>
              <w:szCs w:val="24"/>
            </w:rPr>
            <w:t>3</w:t>
          </w:r>
          <w:r>
            <w:rPr>
              <w:sz w:val="24"/>
              <w:szCs w:val="24"/>
            </w:rPr>
            <w:fldChar w:fldCharType="end"/>
          </w:r>
          <w:r>
            <w:rPr>
              <w:rFonts w:hint="eastAsia"/>
              <w:sz w:val="24"/>
              <w:szCs w:val="24"/>
            </w:rPr>
            <w:fldChar w:fldCharType="end"/>
          </w:r>
        </w:p>
        <w:p>
          <w:pPr>
            <w:pStyle w:val="10"/>
            <w:tabs>
              <w:tab w:val="right" w:leader="dot" w:pos="8845"/>
            </w:tabs>
            <w:spacing w:line="360" w:lineRule="auto"/>
            <w:rPr>
              <w:sz w:val="24"/>
              <w:szCs w:val="24"/>
            </w:rPr>
          </w:pPr>
          <w:r>
            <w:rPr>
              <w:rFonts w:hint="eastAsia"/>
              <w:sz w:val="24"/>
              <w:szCs w:val="24"/>
            </w:rPr>
            <w:fldChar w:fldCharType="begin"/>
          </w:r>
          <w:r>
            <w:rPr>
              <w:rFonts w:hint="eastAsia"/>
              <w:sz w:val="24"/>
              <w:szCs w:val="24"/>
            </w:rPr>
            <w:instrText xml:space="preserve"> HYPERLINK \l _Toc6771 </w:instrText>
          </w:r>
          <w:r>
            <w:rPr>
              <w:rFonts w:hint="eastAsia"/>
              <w:sz w:val="24"/>
              <w:szCs w:val="24"/>
            </w:rPr>
            <w:fldChar w:fldCharType="separate"/>
          </w:r>
          <w:r>
            <w:rPr>
              <w:rFonts w:hint="eastAsia" w:ascii="黑体" w:hAnsi="黑体" w:eastAsia="黑体" w:cs="黑体"/>
              <w:bCs/>
              <w:kern w:val="44"/>
              <w:sz w:val="24"/>
              <w:szCs w:val="24"/>
              <w:lang w:val="en-US" w:eastAsia="zh-CN" w:bidi="ar"/>
            </w:rPr>
            <w:t>四、事故相关责任单位及责任人员责任追究落实情况</w:t>
          </w:r>
          <w:r>
            <w:rPr>
              <w:sz w:val="24"/>
              <w:szCs w:val="24"/>
            </w:rPr>
            <w:tab/>
          </w:r>
          <w:r>
            <w:rPr>
              <w:sz w:val="24"/>
              <w:szCs w:val="24"/>
            </w:rPr>
            <w:fldChar w:fldCharType="begin"/>
          </w:r>
          <w:r>
            <w:rPr>
              <w:sz w:val="24"/>
              <w:szCs w:val="24"/>
            </w:rPr>
            <w:instrText xml:space="preserve"> PAGEREF _Toc6771 \h </w:instrText>
          </w:r>
          <w:r>
            <w:rPr>
              <w:sz w:val="24"/>
              <w:szCs w:val="24"/>
            </w:rPr>
            <w:fldChar w:fldCharType="separate"/>
          </w:r>
          <w:r>
            <w:rPr>
              <w:sz w:val="24"/>
              <w:szCs w:val="24"/>
            </w:rPr>
            <w:t>3</w:t>
          </w:r>
          <w:r>
            <w:rPr>
              <w:sz w:val="24"/>
              <w:szCs w:val="24"/>
            </w:rPr>
            <w:fldChar w:fldCharType="end"/>
          </w:r>
          <w:r>
            <w:rPr>
              <w:rFonts w:hint="eastAsia"/>
              <w:sz w:val="24"/>
              <w:szCs w:val="24"/>
            </w:rPr>
            <w:fldChar w:fldCharType="end"/>
          </w:r>
        </w:p>
        <w:p>
          <w:pPr>
            <w:pStyle w:val="11"/>
            <w:tabs>
              <w:tab w:val="right" w:leader="dot" w:pos="8845"/>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_Toc12319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（一）因在事故中死亡免予或不予追究责任人员：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_Toc12319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8845"/>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_Toc32001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（二）对事故有关责任人员的行政处罚落实情况：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_Toc32001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8845"/>
            </w:tabs>
            <w:spacing w:line="360" w:lineRule="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_Toc9182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（三）对事故有关责任单位的行政处罚落实情况：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_Toc9182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0"/>
            <w:tabs>
              <w:tab w:val="right" w:leader="dot" w:pos="8845"/>
            </w:tabs>
            <w:spacing w:line="360" w:lineRule="auto"/>
            <w:rPr>
              <w:sz w:val="24"/>
              <w:szCs w:val="24"/>
            </w:rPr>
          </w:pPr>
          <w:r>
            <w:rPr>
              <w:rFonts w:hint="eastAsia"/>
              <w:sz w:val="24"/>
              <w:szCs w:val="24"/>
            </w:rPr>
            <w:fldChar w:fldCharType="begin"/>
          </w:r>
          <w:r>
            <w:rPr>
              <w:rFonts w:hint="eastAsia"/>
              <w:sz w:val="24"/>
              <w:szCs w:val="24"/>
            </w:rPr>
            <w:instrText xml:space="preserve"> HYPERLINK \l _Toc8493 </w:instrText>
          </w:r>
          <w:r>
            <w:rPr>
              <w:rFonts w:hint="eastAsia"/>
              <w:sz w:val="24"/>
              <w:szCs w:val="24"/>
            </w:rPr>
            <w:fldChar w:fldCharType="separate"/>
          </w:r>
          <w:r>
            <w:rPr>
              <w:rFonts w:hint="eastAsia" w:ascii="黑体" w:hAnsi="黑体" w:eastAsia="黑体" w:cs="黑体"/>
              <w:bCs/>
              <w:kern w:val="44"/>
              <w:sz w:val="24"/>
              <w:szCs w:val="24"/>
              <w:lang w:val="en-US" w:eastAsia="zh-CN" w:bidi="ar"/>
            </w:rPr>
            <w:t>五、</w:t>
          </w:r>
          <w:r>
            <w:rPr>
              <w:rFonts w:hint="default" w:ascii="黑体" w:hAnsi="黑体" w:eastAsia="黑体" w:cs="黑体"/>
              <w:bCs/>
              <w:kern w:val="44"/>
              <w:sz w:val="24"/>
              <w:szCs w:val="24"/>
              <w:lang w:val="en-US" w:eastAsia="zh-CN" w:bidi="ar"/>
            </w:rPr>
            <w:t>事故防范和整改建议</w:t>
          </w:r>
          <w:r>
            <w:rPr>
              <w:rFonts w:hint="eastAsia" w:ascii="黑体" w:hAnsi="黑体" w:eastAsia="黑体" w:cs="黑体"/>
              <w:bCs/>
              <w:kern w:val="44"/>
              <w:sz w:val="24"/>
              <w:szCs w:val="24"/>
              <w:lang w:val="en-US" w:eastAsia="zh-CN" w:bidi="ar"/>
            </w:rPr>
            <w:t>落实情况调查</w:t>
          </w:r>
          <w:r>
            <w:rPr>
              <w:sz w:val="24"/>
              <w:szCs w:val="24"/>
            </w:rPr>
            <w:tab/>
          </w:r>
          <w:r>
            <w:rPr>
              <w:sz w:val="24"/>
              <w:szCs w:val="24"/>
            </w:rPr>
            <w:fldChar w:fldCharType="begin"/>
          </w:r>
          <w:r>
            <w:rPr>
              <w:sz w:val="24"/>
              <w:szCs w:val="24"/>
            </w:rPr>
            <w:instrText xml:space="preserve"> PAGEREF _Toc8493 \h </w:instrText>
          </w:r>
          <w:r>
            <w:rPr>
              <w:sz w:val="24"/>
              <w:szCs w:val="24"/>
            </w:rPr>
            <w:fldChar w:fldCharType="separate"/>
          </w:r>
          <w:r>
            <w:rPr>
              <w:sz w:val="24"/>
              <w:szCs w:val="24"/>
            </w:rPr>
            <w:t>7</w:t>
          </w:r>
          <w:r>
            <w:rPr>
              <w:sz w:val="24"/>
              <w:szCs w:val="24"/>
            </w:rPr>
            <w:fldChar w:fldCharType="end"/>
          </w:r>
          <w:r>
            <w:rPr>
              <w:rFonts w:hint="eastAsia"/>
              <w:sz w:val="24"/>
              <w:szCs w:val="24"/>
            </w:rPr>
            <w:fldChar w:fldCharType="end"/>
          </w:r>
        </w:p>
        <w:p>
          <w:pPr>
            <w:pStyle w:val="10"/>
            <w:tabs>
              <w:tab w:val="right" w:leader="dot" w:pos="8845"/>
            </w:tabs>
            <w:spacing w:line="360" w:lineRule="auto"/>
            <w:rPr>
              <w:sz w:val="24"/>
              <w:szCs w:val="24"/>
            </w:rPr>
          </w:pPr>
          <w:r>
            <w:rPr>
              <w:rFonts w:hint="eastAsia"/>
              <w:sz w:val="24"/>
              <w:szCs w:val="24"/>
            </w:rPr>
            <w:fldChar w:fldCharType="begin"/>
          </w:r>
          <w:r>
            <w:rPr>
              <w:rFonts w:hint="eastAsia"/>
              <w:sz w:val="24"/>
              <w:szCs w:val="24"/>
            </w:rPr>
            <w:instrText xml:space="preserve"> HYPERLINK \l _Toc28136 </w:instrText>
          </w:r>
          <w:r>
            <w:rPr>
              <w:rFonts w:hint="eastAsia"/>
              <w:sz w:val="24"/>
              <w:szCs w:val="24"/>
            </w:rPr>
            <w:fldChar w:fldCharType="separate"/>
          </w:r>
          <w:r>
            <w:rPr>
              <w:rFonts w:hint="eastAsia" w:ascii="黑体" w:hAnsi="黑体" w:eastAsia="黑体" w:cs="黑体"/>
              <w:bCs/>
              <w:sz w:val="24"/>
              <w:szCs w:val="24"/>
              <w:lang w:val="en-US" w:eastAsia="zh-CN" w:bidi="ar"/>
            </w:rPr>
            <w:t>六、存在的问题及相关工作建议</w:t>
          </w:r>
          <w:r>
            <w:rPr>
              <w:sz w:val="24"/>
              <w:szCs w:val="24"/>
            </w:rPr>
            <w:tab/>
          </w:r>
          <w:r>
            <w:rPr>
              <w:sz w:val="24"/>
              <w:szCs w:val="24"/>
            </w:rPr>
            <w:fldChar w:fldCharType="begin"/>
          </w:r>
          <w:r>
            <w:rPr>
              <w:sz w:val="24"/>
              <w:szCs w:val="24"/>
            </w:rPr>
            <w:instrText xml:space="preserve"> PAGEREF _Toc28136 \h </w:instrText>
          </w:r>
          <w:r>
            <w:rPr>
              <w:sz w:val="24"/>
              <w:szCs w:val="24"/>
            </w:rPr>
            <w:fldChar w:fldCharType="separate"/>
          </w:r>
          <w:r>
            <w:rPr>
              <w:sz w:val="24"/>
              <w:szCs w:val="24"/>
            </w:rPr>
            <w:t>8</w:t>
          </w:r>
          <w:r>
            <w:rPr>
              <w:sz w:val="24"/>
              <w:szCs w:val="24"/>
            </w:rPr>
            <w:fldChar w:fldCharType="end"/>
          </w:r>
          <w:r>
            <w:rPr>
              <w:rFonts w:hint="eastAsia"/>
              <w:sz w:val="24"/>
              <w:szCs w:val="24"/>
            </w:rPr>
            <w:fldChar w:fldCharType="end"/>
          </w:r>
        </w:p>
        <w:p>
          <w:pPr>
            <w:pStyle w:val="10"/>
            <w:tabs>
              <w:tab w:val="right" w:leader="dot" w:pos="8845"/>
            </w:tabs>
            <w:spacing w:line="360" w:lineRule="auto"/>
            <w:rPr>
              <w:sz w:val="24"/>
              <w:szCs w:val="24"/>
            </w:rPr>
          </w:pPr>
          <w:r>
            <w:rPr>
              <w:rFonts w:hint="eastAsia"/>
              <w:sz w:val="24"/>
              <w:szCs w:val="24"/>
            </w:rPr>
            <w:fldChar w:fldCharType="begin"/>
          </w:r>
          <w:r>
            <w:rPr>
              <w:rFonts w:hint="eastAsia"/>
              <w:sz w:val="24"/>
              <w:szCs w:val="24"/>
            </w:rPr>
            <w:instrText xml:space="preserve"> HYPERLINK \l _Toc17429 </w:instrText>
          </w:r>
          <w:r>
            <w:rPr>
              <w:rFonts w:hint="eastAsia"/>
              <w:sz w:val="24"/>
              <w:szCs w:val="24"/>
            </w:rPr>
            <w:fldChar w:fldCharType="separate"/>
          </w:r>
          <w:r>
            <w:rPr>
              <w:rFonts w:hint="eastAsia" w:ascii="黑体" w:hAnsi="黑体" w:eastAsia="黑体" w:cs="黑体"/>
              <w:bCs/>
              <w:sz w:val="24"/>
              <w:szCs w:val="24"/>
              <w:lang w:val="en-US" w:eastAsia="zh-CN" w:bidi="ar"/>
            </w:rPr>
            <w:t>七、总体评估意见</w:t>
          </w:r>
          <w:r>
            <w:rPr>
              <w:sz w:val="24"/>
              <w:szCs w:val="24"/>
            </w:rPr>
            <w:tab/>
          </w:r>
          <w:r>
            <w:rPr>
              <w:sz w:val="24"/>
              <w:szCs w:val="24"/>
            </w:rPr>
            <w:fldChar w:fldCharType="begin"/>
          </w:r>
          <w:r>
            <w:rPr>
              <w:sz w:val="24"/>
              <w:szCs w:val="24"/>
            </w:rPr>
            <w:instrText xml:space="preserve"> PAGEREF _Toc17429 \h </w:instrText>
          </w:r>
          <w:r>
            <w:rPr>
              <w:sz w:val="24"/>
              <w:szCs w:val="24"/>
            </w:rPr>
            <w:fldChar w:fldCharType="separate"/>
          </w:r>
          <w:r>
            <w:rPr>
              <w:sz w:val="24"/>
              <w:szCs w:val="24"/>
            </w:rPr>
            <w:t>9</w:t>
          </w:r>
          <w:r>
            <w:rPr>
              <w:sz w:val="24"/>
              <w:szCs w:val="24"/>
            </w:rPr>
            <w:fldChar w:fldCharType="end"/>
          </w:r>
          <w:r>
            <w:rPr>
              <w:rFonts w:hint="eastAsia"/>
              <w:sz w:val="24"/>
              <w:szCs w:val="24"/>
            </w:rPr>
            <w:fldChar w:fldCharType="end"/>
          </w:r>
        </w:p>
        <w:p>
          <w:pPr>
            <w:pageBreakBefore w:val="0"/>
            <w:kinsoku/>
            <w:wordWrap/>
            <w:overflowPunct/>
            <w:topLinePunct w:val="0"/>
            <w:autoSpaceDE/>
            <w:autoSpaceDN/>
            <w:bidi w:val="0"/>
            <w:spacing w:line="360" w:lineRule="auto"/>
            <w:rPr>
              <w:rFonts w:hint="eastAsia"/>
              <w:sz w:val="24"/>
              <w:szCs w:val="24"/>
            </w:rPr>
          </w:pPr>
          <w:r>
            <w:rPr>
              <w:rFonts w:hint="eastAsia"/>
              <w:sz w:val="24"/>
              <w:szCs w:val="24"/>
            </w:rPr>
            <w:fldChar w:fldCharType="end"/>
          </w:r>
        </w:p>
      </w:sdtContent>
    </w:sdt>
    <w:p>
      <w:pPr>
        <w:pStyle w:val="3"/>
        <w:pageBreakBefore w:val="0"/>
        <w:widowControl/>
        <w:kinsoku/>
        <w:wordWrap/>
        <w:overflowPunct/>
        <w:topLinePunct w:val="0"/>
        <w:autoSpaceDE/>
        <w:autoSpaceDN/>
        <w:bidi w:val="0"/>
        <w:spacing w:before="0" w:after="0" w:line="360" w:lineRule="auto"/>
        <w:jc w:val="both"/>
        <w:outlineLvl w:val="9"/>
        <w:rPr>
          <w:rFonts w:hint="eastAsia" w:ascii="微软雅黑" w:hAnsi="微软雅黑" w:eastAsia="微软雅黑" w:cs="微软雅黑"/>
          <w:b w:val="0"/>
          <w:bCs/>
          <w:w w:val="95"/>
          <w:kern w:val="2"/>
          <w:sz w:val="24"/>
          <w:szCs w:val="24"/>
          <w:lang w:val="en-US" w:eastAsia="zh-CN" w:bidi="ar-SA"/>
        </w:rPr>
        <w:sectPr>
          <w:footerReference r:id="rId3" w:type="default"/>
          <w:pgSz w:w="11906" w:h="16838"/>
          <w:pgMar w:top="2098" w:right="1474" w:bottom="1984" w:left="1587" w:header="851" w:footer="1587" w:gutter="0"/>
          <w:pgNumType w:fmt="upperRoman" w:start="1"/>
          <w:cols w:space="720" w:num="1"/>
          <w:docGrid w:type="lines" w:linePitch="312" w:charSpace="0"/>
        </w:sectPr>
      </w:pPr>
      <w:bookmarkStart w:id="15" w:name="_Toc7005"/>
    </w:p>
    <w:bookmarkEnd w:id="15"/>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u w:val="none"/>
          <w:lang w:eastAsia="zh-CN"/>
        </w:rPr>
      </w:pPr>
      <w:r>
        <w:rPr>
          <w:rFonts w:hint="eastAsia" w:ascii="方正小标宋简体" w:hAnsi="方正小标宋简体" w:eastAsia="方正小标宋简体" w:cs="方正小标宋简体"/>
          <w:b w:val="0"/>
          <w:bCs w:val="0"/>
          <w:color w:val="auto"/>
          <w:sz w:val="44"/>
          <w:szCs w:val="44"/>
          <w:u w:val="none"/>
          <w:lang w:eastAsia="zh-CN"/>
        </w:rPr>
        <w:t>三亚市海棠区林旺国道路段通信缆线迁改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spacing w:val="20"/>
          <w:sz w:val="44"/>
          <w:szCs w:val="44"/>
          <w:lang w:val="en-US" w:eastAsia="zh-CN"/>
        </w:rPr>
      </w:pPr>
      <w:r>
        <w:rPr>
          <w:rFonts w:hint="eastAsia" w:ascii="方正小标宋简体" w:hAnsi="方正小标宋简体" w:eastAsia="方正小标宋简体" w:cs="方正小标宋简体"/>
          <w:b w:val="0"/>
          <w:bCs w:val="0"/>
          <w:color w:val="auto"/>
          <w:sz w:val="44"/>
          <w:szCs w:val="44"/>
          <w:u w:val="none"/>
          <w:lang w:eastAsia="zh-CN"/>
        </w:rPr>
        <w:t>项目“12·14”机械亡人事故</w:t>
      </w:r>
      <w:r>
        <w:rPr>
          <w:rFonts w:hint="eastAsia" w:ascii="方正小标宋简体" w:hAnsi="方正小标宋简体" w:eastAsia="方正小标宋简体" w:cs="方正小标宋简体"/>
          <w:b w:val="0"/>
          <w:bCs/>
          <w:spacing w:val="20"/>
          <w:sz w:val="44"/>
          <w:szCs w:val="44"/>
          <w:lang w:val="en-US" w:eastAsia="zh-CN"/>
        </w:rPr>
        <w:t>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spacing w:val="20"/>
          <w:sz w:val="44"/>
          <w:szCs w:val="44"/>
        </w:rPr>
      </w:pPr>
      <w:r>
        <w:rPr>
          <w:rFonts w:hint="eastAsia" w:ascii="方正小标宋简体" w:hAnsi="方正小标宋简体" w:eastAsia="方正小标宋简体" w:cs="方正小标宋简体"/>
          <w:b w:val="0"/>
          <w:bCs/>
          <w:spacing w:val="20"/>
          <w:sz w:val="44"/>
          <w:szCs w:val="44"/>
        </w:rPr>
        <w:t>处理工作情况评估报告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国务院安委会办公室关于印发&lt;生产安全事故防范和整改措施落实情况评估办法&gt;的通知》(安委办〔2021〕4号)及《海南省安全生产委员会办公室关于印发&lt;海南省生产安全事故防范和整改措施落实情况评估办法&gt;的通知》(琼安委办〔2021〕130号)文件要求，我区高度重视事故调查报告处理工作情况评估工作。</w:t>
      </w:r>
      <w:r>
        <w:rPr>
          <w:rFonts w:hint="default" w:ascii="仿宋_GB2312" w:hAnsi="宋体" w:eastAsia="仿宋_GB2312" w:cs="仿宋_GB2312"/>
          <w:sz w:val="32"/>
          <w:szCs w:val="32"/>
        </w:rPr>
        <w:t>按照“谁调查、谁评估”的原则，</w:t>
      </w:r>
      <w:r>
        <w:rPr>
          <w:rFonts w:hint="default" w:ascii="仿宋_GB2312" w:eastAsia="仿宋_GB2312" w:cs="仿宋_GB2312"/>
          <w:b w:val="0"/>
          <w:bCs w:val="0"/>
          <w:color w:val="auto"/>
          <w:sz w:val="32"/>
          <w:szCs w:val="32"/>
        </w:rPr>
        <w:t>202</w:t>
      </w:r>
      <w:r>
        <w:rPr>
          <w:rFonts w:hint="eastAsia" w:ascii="仿宋_GB2312" w:eastAsia="仿宋_GB2312" w:cs="仿宋_GB2312"/>
          <w:b w:val="0"/>
          <w:bCs w:val="0"/>
          <w:color w:val="auto"/>
          <w:sz w:val="32"/>
          <w:szCs w:val="32"/>
          <w:lang w:val="en-US" w:eastAsia="zh-CN"/>
        </w:rPr>
        <w:t>3</w:t>
      </w:r>
      <w:r>
        <w:rPr>
          <w:rFonts w:hint="default" w:ascii="仿宋_GB2312" w:hAnsi="宋体" w:eastAsia="仿宋_GB2312" w:cs="仿宋_GB2312"/>
          <w:b w:val="0"/>
          <w:bCs w:val="0"/>
          <w:color w:val="auto"/>
          <w:sz w:val="32"/>
          <w:szCs w:val="32"/>
        </w:rPr>
        <w:t>年</w:t>
      </w:r>
      <w:r>
        <w:rPr>
          <w:rFonts w:hint="eastAsia" w:ascii="仿宋_GB2312" w:eastAsia="仿宋_GB2312" w:cs="仿宋_GB2312"/>
          <w:b w:val="0"/>
          <w:bCs w:val="0"/>
          <w:color w:val="auto"/>
          <w:sz w:val="32"/>
          <w:szCs w:val="32"/>
          <w:lang w:val="en-US" w:eastAsia="zh-CN"/>
        </w:rPr>
        <w:t>12</w:t>
      </w:r>
      <w:r>
        <w:rPr>
          <w:rFonts w:hint="default" w:ascii="仿宋_GB2312" w:hAnsi="宋体" w:eastAsia="仿宋_GB2312" w:cs="仿宋_GB2312"/>
          <w:b w:val="0"/>
          <w:bCs w:val="0"/>
          <w:color w:val="auto"/>
          <w:sz w:val="32"/>
          <w:szCs w:val="32"/>
        </w:rPr>
        <w:t>月</w:t>
      </w:r>
      <w:r>
        <w:rPr>
          <w:rFonts w:hint="eastAsia" w:ascii="仿宋_GB2312" w:eastAsia="仿宋_GB2312" w:cs="仿宋_GB2312"/>
          <w:b w:val="0"/>
          <w:bCs w:val="0"/>
          <w:color w:val="auto"/>
          <w:sz w:val="32"/>
          <w:szCs w:val="32"/>
          <w:lang w:val="en-US" w:eastAsia="zh-CN"/>
        </w:rPr>
        <w:t>14</w:t>
      </w:r>
      <w:r>
        <w:rPr>
          <w:rFonts w:hint="default" w:ascii="仿宋_GB2312" w:hAnsi="宋体" w:eastAsia="仿宋_GB2312" w:cs="仿宋_GB2312"/>
          <w:b w:val="0"/>
          <w:bCs w:val="0"/>
          <w:color w:val="auto"/>
          <w:sz w:val="32"/>
          <w:szCs w:val="32"/>
        </w:rPr>
        <w:t>日</w:t>
      </w:r>
      <w:r>
        <w:rPr>
          <w:rFonts w:hint="eastAsia" w:ascii="仿宋_GB2312" w:hAnsi="宋体" w:eastAsia="仿宋_GB2312" w:cs="仿宋_GB2312"/>
          <w:sz w:val="32"/>
          <w:szCs w:val="32"/>
          <w:lang w:val="en-US" w:eastAsia="zh-CN"/>
        </w:rPr>
        <w:t>海棠</w:t>
      </w:r>
      <w:r>
        <w:rPr>
          <w:rFonts w:hint="default" w:ascii="仿宋_GB2312" w:hAnsi="宋体" w:eastAsia="仿宋_GB2312" w:cs="仿宋_GB2312"/>
          <w:sz w:val="32"/>
          <w:szCs w:val="32"/>
        </w:rPr>
        <w:t>区政府</w:t>
      </w:r>
      <w:r>
        <w:rPr>
          <w:rFonts w:hint="eastAsia" w:ascii="仿宋_GB2312" w:hAnsi="宋体" w:eastAsia="仿宋_GB2312" w:cs="仿宋_GB2312"/>
          <w:sz w:val="32"/>
          <w:szCs w:val="32"/>
          <w:lang w:val="en-US" w:eastAsia="zh-CN"/>
        </w:rPr>
        <w:t>授权</w:t>
      </w:r>
      <w:r>
        <w:rPr>
          <w:rFonts w:hint="eastAsia" w:ascii="仿宋_GB2312" w:hAnsi="仿宋_GB2312" w:eastAsia="仿宋_GB2312" w:cs="仿宋_GB2312"/>
          <w:sz w:val="32"/>
          <w:szCs w:val="32"/>
          <w:lang w:val="en-US" w:eastAsia="zh-CN"/>
        </w:rPr>
        <w:t>由区安委办牵头组织成立了“三亚市海棠区林旺国道路段通信缆线迁改项目“12·14”机械亡人事故报告调查处理评估工作领导小组”（以下简称“事故评估组”），在事故评估组全体同志的努力和我区各有关部门、企业和个人的支持配合下，完成了三亚市海棠区林旺国道路段通信缆线迁改项目“12·14”机械亡人事故调查报告中指出的处理建议、事故防范和整改措施落实情况评估工作，并形成事故调查报告处理工作评估报告。据现将工作情况报告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val="en-US" w:eastAsia="zh-CN"/>
        </w:rPr>
      </w:pPr>
      <w:bookmarkStart w:id="16" w:name="_Toc7566"/>
      <w:bookmarkStart w:id="17" w:name="_Toc25055"/>
      <w:r>
        <w:rPr>
          <w:rFonts w:hint="eastAsia" w:ascii="黑体" w:hAnsi="黑体" w:eastAsia="黑体" w:cs="黑体"/>
          <w:sz w:val="32"/>
          <w:szCs w:val="32"/>
          <w:lang w:val="en-US" w:eastAsia="zh-CN"/>
        </w:rPr>
        <w:t>一、评估工作小组组织及开展工作情况</w:t>
      </w:r>
      <w:bookmarkEnd w:id="16"/>
      <w:bookmarkEnd w:id="17"/>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sz w:val="32"/>
          <w:szCs w:val="32"/>
          <w:lang w:val="en-US" w:eastAsia="zh-CN"/>
        </w:rPr>
      </w:pPr>
      <w:bookmarkStart w:id="18" w:name="_Toc23333"/>
      <w:bookmarkStart w:id="19" w:name="_Toc5827"/>
      <w:r>
        <w:rPr>
          <w:rFonts w:hint="eastAsia" w:ascii="楷体" w:hAnsi="楷体" w:eastAsia="楷体" w:cs="楷体"/>
          <w:sz w:val="32"/>
          <w:szCs w:val="32"/>
          <w:lang w:val="en-US" w:eastAsia="zh-CN"/>
        </w:rPr>
        <w:t>（一）评估工作小组成立</w:t>
      </w:r>
      <w:bookmarkEnd w:id="18"/>
      <w:bookmarkEnd w:id="1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sz w:val="32"/>
          <w:szCs w:val="32"/>
          <w:lang w:val="en-US" w:eastAsia="zh-CN"/>
        </w:rPr>
        <w:t>三亚市海棠区林旺国道路段通信缆线迁改项目“12·14”机械亡人事故调查报告处理评估工作领导小组，</w:t>
      </w:r>
      <w:r>
        <w:rPr>
          <w:rFonts w:hint="eastAsia" w:ascii="仿宋_GB2312" w:hAnsi="仿宋_GB2312" w:eastAsia="仿宋_GB2312" w:cs="仿宋_GB2312"/>
          <w:b w:val="0"/>
          <w:bCs w:val="0"/>
          <w:color w:val="auto"/>
          <w:sz w:val="32"/>
          <w:szCs w:val="32"/>
          <w:lang w:val="en-US" w:eastAsia="zh-CN"/>
        </w:rPr>
        <w:t>于2023年12月成立。</w:t>
      </w:r>
      <w:r>
        <w:rPr>
          <w:rFonts w:hint="default" w:ascii="仿宋_GB2312" w:hAnsi="宋体" w:eastAsia="仿宋_GB2312" w:cs="仿宋_GB2312"/>
          <w:b w:val="0"/>
          <w:bCs w:val="0"/>
          <w:color w:val="auto"/>
          <w:sz w:val="32"/>
          <w:szCs w:val="32"/>
        </w:rPr>
        <w:t>事故评估组由区政府办牵头，</w:t>
      </w:r>
      <w:r>
        <w:rPr>
          <w:rFonts w:hint="eastAsia" w:ascii="仿宋_GB2312" w:hAnsi="仿宋_GB2312" w:eastAsia="仿宋_GB2312" w:cs="仿宋_GB2312"/>
          <w:b w:val="0"/>
          <w:bCs w:val="0"/>
          <w:color w:val="auto"/>
          <w:sz w:val="32"/>
          <w:szCs w:val="32"/>
          <w:lang w:val="en-US" w:eastAsia="zh-CN"/>
        </w:rPr>
        <w:t>组长由区安委办主任、区应急管理局长姚辉担任，全面负责事故调查处理评估工作，事故调查组成员包括、区应急局、</w:t>
      </w:r>
      <w:r>
        <w:rPr>
          <w:rFonts w:hint="eastAsia" w:ascii="仿宋_GB2312" w:hAnsi="仿宋_GB2312" w:eastAsia="仿宋_GB2312" w:cs="仿宋_GB2312"/>
          <w:sz w:val="32"/>
          <w:szCs w:val="32"/>
          <w:lang w:eastAsia="zh-CN"/>
        </w:rPr>
        <w:t>区教育局</w:t>
      </w:r>
      <w:r>
        <w:rPr>
          <w:rFonts w:hint="eastAsia" w:ascii="仿宋" w:hAnsi="仿宋" w:eastAsia="仿宋" w:cs="仿宋"/>
          <w:sz w:val="32"/>
          <w:szCs w:val="32"/>
          <w:lang w:eastAsia="zh-CN"/>
        </w:rPr>
        <w:t>、林旺派出所</w:t>
      </w:r>
      <w:r>
        <w:rPr>
          <w:rFonts w:hint="eastAsia" w:ascii="仿宋_GB2312" w:hAnsi="仿宋_GB2312" w:eastAsia="仿宋_GB2312" w:cs="仿宋_GB2312"/>
          <w:b w:val="0"/>
          <w:bCs w:val="0"/>
          <w:color w:val="auto"/>
          <w:sz w:val="32"/>
          <w:szCs w:val="32"/>
          <w:lang w:val="en-US" w:eastAsia="zh-CN"/>
        </w:rPr>
        <w:t>、区人社局、总工会等部门人员。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sz w:val="32"/>
          <w:szCs w:val="32"/>
          <w:lang w:val="en-US" w:eastAsia="zh-CN"/>
        </w:rPr>
      </w:pPr>
      <w:bookmarkStart w:id="20" w:name="_Toc162"/>
      <w:bookmarkStart w:id="21" w:name="_Toc5383"/>
      <w:r>
        <w:rPr>
          <w:rFonts w:hint="eastAsia" w:ascii="楷体" w:hAnsi="楷体" w:eastAsia="楷体" w:cs="楷体"/>
          <w:sz w:val="32"/>
          <w:szCs w:val="32"/>
          <w:lang w:val="en-US" w:eastAsia="zh-CN"/>
        </w:rPr>
        <w:t>（二）评估工作开展情况</w:t>
      </w:r>
      <w:bookmarkEnd w:id="20"/>
      <w:bookmarkEnd w:id="21"/>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事故评估组按照“四不放过”和“系统评估”的原则，依据区政府批复的《</w:t>
      </w:r>
      <w:r>
        <w:rPr>
          <w:rFonts w:hint="eastAsia" w:ascii="仿宋_GB2312" w:hAnsi="仿宋_GB2312" w:eastAsia="仿宋_GB2312" w:cs="仿宋_GB2312"/>
          <w:sz w:val="32"/>
          <w:szCs w:val="32"/>
          <w:lang w:val="en-US" w:eastAsia="zh-CN"/>
        </w:rPr>
        <w:t>三亚市海棠区林旺国道路段通信缆线迁改项目“12·14”机械亡人事故调查报告</w:t>
      </w:r>
      <w:r>
        <w:rPr>
          <w:rFonts w:hint="eastAsia" w:ascii="仿宋_GB2312" w:hAnsi="仿宋_GB2312" w:eastAsia="仿宋_GB2312" w:cs="仿宋_GB2312"/>
          <w:sz w:val="32"/>
          <w:szCs w:val="32"/>
        </w:rPr>
        <w:t>》，通过调阅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事故案卷资料，对接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事故原事故调查组成员了解相关情况，收集有关证据材料，开展现场评估，通过资料审查、座谈问询、查阅文件、现场核查，对责任追究及事故防范措施落实情况逐项开展了检查评估，形成了初步意见。</w:t>
      </w:r>
      <w:r>
        <w:rPr>
          <w:rFonts w:hint="eastAsia" w:ascii="仿宋_GB2312" w:hAnsi="仿宋_GB2312" w:eastAsia="仿宋_GB2312" w:cs="仿宋_GB2312"/>
          <w:sz w:val="32"/>
          <w:szCs w:val="32"/>
          <w:lang w:val="en-US" w:eastAsia="zh-CN"/>
        </w:rPr>
        <w:t>2023年12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日，经事故评估组研究讨论，形成了</w:t>
      </w:r>
      <w:r>
        <w:rPr>
          <w:rFonts w:hint="eastAsia" w:ascii="仿宋_GB2312" w:hAnsi="仿宋_GB2312" w:eastAsia="仿宋_GB2312" w:cs="仿宋_GB2312"/>
          <w:sz w:val="32"/>
          <w:szCs w:val="32"/>
          <w:lang w:val="en-US" w:eastAsia="zh-CN"/>
        </w:rPr>
        <w:t>《三亚市海棠区林旺国道路段通信缆线迁改项目“12·14”机械亡人事故调查报告处理工作情况评估报告》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val="en-US" w:eastAsia="zh-CN"/>
        </w:rPr>
      </w:pPr>
      <w:bookmarkStart w:id="22" w:name="_Toc12588"/>
      <w:bookmarkStart w:id="23" w:name="_Toc25733"/>
      <w:r>
        <w:rPr>
          <w:rFonts w:hint="eastAsia" w:ascii="黑体" w:hAnsi="黑体" w:eastAsia="黑体" w:cs="黑体"/>
          <w:sz w:val="32"/>
          <w:szCs w:val="32"/>
          <w:lang w:val="en-US" w:eastAsia="zh-CN"/>
        </w:rPr>
        <w:t>二、事故基本情况</w:t>
      </w:r>
      <w:bookmarkEnd w:id="22"/>
      <w:bookmarkEnd w:id="23"/>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z w:val="32"/>
          <w:szCs w:val="32"/>
          <w:lang w:val="en-US" w:eastAsia="zh-CN"/>
        </w:rPr>
        <w:t>2022年12月14日11时34分左右，三亚市海棠区林旺国道路段通信缆线改迁项目海棠大道红绿灯口路段发生一起亡人事故，造成1人死亡。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事故发生后，区政府依法成立事故调查组，查明了事故发生的经过、原因、认定事故性质和责任。</w:t>
      </w:r>
      <w:r>
        <w:rPr>
          <w:rFonts w:hint="eastAsia" w:ascii="仿宋_GB2312" w:hAnsi="仿宋_GB2312" w:eastAsia="仿宋_GB2312" w:cs="仿宋_GB2312"/>
          <w:b w:val="0"/>
          <w:bCs w:val="0"/>
          <w:color w:val="auto"/>
          <w:sz w:val="32"/>
          <w:szCs w:val="32"/>
          <w:lang w:val="en-US" w:eastAsia="zh-CN"/>
        </w:rPr>
        <w:t>2023年2月23日</w:t>
      </w:r>
      <w:r>
        <w:rPr>
          <w:rFonts w:hint="eastAsia" w:ascii="仿宋_GB2312" w:hAnsi="仿宋_GB2312" w:eastAsia="仿宋_GB2312" w:cs="仿宋_GB2312"/>
          <w:sz w:val="32"/>
          <w:szCs w:val="32"/>
          <w:lang w:val="en-US" w:eastAsia="zh-CN"/>
        </w:rPr>
        <w:t>完成事故调查，并形成《三亚市海棠区林旺国道路段通信缆线迁改项目“12·14”机械亡人事故调查报告》(以下简称《事故调查报告》)。</w:t>
      </w:r>
      <w:bookmarkStart w:id="24" w:name="bookmark3"/>
    </w:p>
    <w:bookmarkEnd w:id="24"/>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val="en-US" w:eastAsia="zh-CN"/>
        </w:rPr>
      </w:pPr>
      <w:bookmarkStart w:id="25" w:name="_Toc16214"/>
      <w:bookmarkStart w:id="26" w:name="_Toc32194"/>
      <w:r>
        <w:rPr>
          <w:rFonts w:hint="eastAsia" w:ascii="黑体" w:hAnsi="黑体" w:eastAsia="黑体" w:cs="黑体"/>
          <w:sz w:val="32"/>
          <w:szCs w:val="32"/>
          <w:lang w:val="en-US" w:eastAsia="zh-CN"/>
        </w:rPr>
        <w:t>三、事故调查及处理过程</w:t>
      </w:r>
      <w:bookmarkEnd w:id="25"/>
      <w:bookmarkEnd w:id="2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2022年12月20日，事故发生后，事故调查组在海棠</w:t>
      </w:r>
      <w:r>
        <w:rPr>
          <w:rFonts w:hint="eastAsia" w:ascii="仿宋" w:hAnsi="仿宋" w:eastAsia="仿宋" w:cs="仿宋"/>
          <w:b w:val="0"/>
          <w:bCs w:val="0"/>
          <w:sz w:val="32"/>
          <w:szCs w:val="32"/>
          <w:lang w:val="en-US" w:eastAsia="zh-CN"/>
        </w:rPr>
        <w:t>区政府第一会议室（304）</w:t>
      </w:r>
      <w:r>
        <w:rPr>
          <w:rFonts w:hint="eastAsia" w:ascii="仿宋_GB2312" w:hAnsi="仿宋_GB2312" w:eastAsia="仿宋_GB2312" w:cs="仿宋_GB2312"/>
          <w:b w:val="0"/>
          <w:bCs w:val="0"/>
          <w:color w:val="auto"/>
          <w:sz w:val="32"/>
          <w:szCs w:val="32"/>
          <w:lang w:val="en-US" w:eastAsia="zh-CN"/>
        </w:rPr>
        <w:t>召开事故调查会。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2022年12月24日，区政府授权海棠区应急管理局于牵头成立事故调查组，立即开展事故调查。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2023年2月23日，事故调查工作全部完成并形成《事故调查报告》，上报区政府。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sz w:val="32"/>
          <w:szCs w:val="32"/>
          <w:lang w:eastAsia="zh-CN"/>
        </w:rPr>
      </w:pPr>
      <w:r>
        <w:rPr>
          <w:rFonts w:hint="eastAsia" w:ascii="仿宋_GB2312" w:hAnsi="仿宋_GB2312" w:eastAsia="仿宋_GB2312" w:cs="仿宋_GB2312"/>
          <w:b w:val="0"/>
          <w:bCs w:val="0"/>
          <w:color w:val="auto"/>
          <w:sz w:val="32"/>
          <w:szCs w:val="32"/>
          <w:lang w:val="en-US" w:eastAsia="zh-CN"/>
        </w:rPr>
        <w:t>2023年3月1日，</w:t>
      </w:r>
      <w:r>
        <w:rPr>
          <w:rFonts w:hint="default" w:ascii="仿宋_GB2312" w:hAnsi="宋体" w:eastAsia="仿宋_GB2312" w:cs="仿宋_GB2312"/>
          <w:b w:val="0"/>
          <w:bCs w:val="0"/>
          <w:color w:val="auto"/>
          <w:sz w:val="32"/>
          <w:szCs w:val="32"/>
        </w:rPr>
        <w:t>区</w:t>
      </w:r>
      <w:r>
        <w:rPr>
          <w:rFonts w:hint="default" w:ascii="仿宋_GB2312" w:hAnsi="宋体" w:eastAsia="仿宋_GB2312" w:cs="仿宋_GB2312"/>
          <w:sz w:val="32"/>
          <w:szCs w:val="32"/>
        </w:rPr>
        <w:t>政府</w:t>
      </w:r>
      <w:r>
        <w:rPr>
          <w:rFonts w:hint="eastAsia" w:ascii="仿宋_GB2312" w:hAnsi="宋体" w:eastAsia="仿宋_GB2312" w:cs="仿宋_GB2312"/>
          <w:sz w:val="32"/>
          <w:szCs w:val="32"/>
          <w:lang w:val="en-US" w:eastAsia="zh-CN"/>
        </w:rPr>
        <w:t>作出</w:t>
      </w:r>
      <w:r>
        <w:rPr>
          <w:rFonts w:hint="default" w:ascii="仿宋_GB2312" w:hAnsi="宋体" w:eastAsia="仿宋_GB2312" w:cs="仿宋_GB2312"/>
          <w:sz w:val="32"/>
          <w:szCs w:val="32"/>
        </w:rPr>
        <w:t>批复</w:t>
      </w:r>
      <w:r>
        <w:rPr>
          <w:rFonts w:hint="eastAsia" w:ascii="仿宋_GB2312" w:hAnsi="宋体" w:eastAsia="仿宋_GB2312" w:cs="仿宋_GB2312"/>
          <w:sz w:val="32"/>
          <w:szCs w:val="32"/>
          <w:lang w:eastAsia="zh-CN"/>
        </w:rPr>
        <w:t>，</w:t>
      </w:r>
      <w:r>
        <w:rPr>
          <w:rFonts w:hint="default" w:ascii="仿宋_GB2312" w:hAnsi="宋体" w:eastAsia="仿宋_GB2312" w:cs="仿宋_GB2312"/>
          <w:sz w:val="32"/>
          <w:szCs w:val="32"/>
        </w:rPr>
        <w:t>同意</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lang w:val="en-US" w:eastAsia="zh-CN"/>
        </w:rPr>
        <w:t>12</w:t>
      </w:r>
      <w:r>
        <w:rPr>
          <w:rFonts w:hint="default" w:ascii="仿宋_GB2312" w:hAnsi="宋体" w:eastAsia="仿宋_GB2312" w:cs="仿宋_GB2312"/>
          <w:sz w:val="32"/>
          <w:szCs w:val="32"/>
          <w:lang w:val="en-US" w:eastAsia="zh-CN"/>
        </w:rPr>
        <w:t>·</w:t>
      </w:r>
      <w:r>
        <w:rPr>
          <w:rFonts w:hint="eastAsia" w:ascii="仿宋_GB2312" w:hAnsi="宋体" w:eastAsia="仿宋_GB2312" w:cs="仿宋_GB2312"/>
          <w:sz w:val="32"/>
          <w:szCs w:val="32"/>
          <w:lang w:val="en-US" w:eastAsia="zh-CN"/>
        </w:rPr>
        <w:t>14</w:t>
      </w:r>
      <w:r>
        <w:rPr>
          <w:rFonts w:hint="eastAsia" w:ascii="仿宋_GB2312" w:hAnsi="宋体" w:eastAsia="仿宋_GB2312" w:cs="仿宋_GB2312"/>
          <w:sz w:val="32"/>
          <w:szCs w:val="32"/>
          <w:lang w:eastAsia="zh-CN"/>
        </w:rPr>
        <w:t>”</w:t>
      </w:r>
      <w:r>
        <w:rPr>
          <w:rFonts w:hint="default" w:ascii="仿宋_GB2312" w:hAnsi="宋体" w:eastAsia="仿宋_GB2312" w:cs="仿宋_GB2312"/>
          <w:sz w:val="32"/>
          <w:szCs w:val="32"/>
        </w:rPr>
        <w:t>事故调查报告</w:t>
      </w:r>
      <w:r>
        <w:rPr>
          <w:rFonts w:hint="eastAsia" w:ascii="仿宋_GB2312" w:hAnsi="宋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事故调查报告批复同意后，事故各相关部门按照《事故调查报告》中提出的“对事故责任单位和相关责任人的处理建议”</w:t>
      </w:r>
      <w:r>
        <w:rPr>
          <w:rFonts w:hint="default" w:ascii="仿宋_GB2312" w:hAnsi="宋体" w:eastAsia="仿宋_GB2312" w:cs="仿宋_GB2312"/>
          <w:sz w:val="32"/>
          <w:szCs w:val="32"/>
        </w:rPr>
        <w:t>对事故责任人员和责任单位进行了处理</w:t>
      </w:r>
      <w:r>
        <w:rPr>
          <w:rFonts w:hint="eastAsia" w:ascii="仿宋_GB2312" w:hAnsi="宋体" w:eastAsia="仿宋_GB2312" w:cs="仿宋_GB2312"/>
          <w:sz w:val="32"/>
          <w:szCs w:val="32"/>
          <w:lang w:eastAsia="zh-CN"/>
        </w:rPr>
        <w:t>；</w:t>
      </w:r>
      <w:r>
        <w:rPr>
          <w:rFonts w:hint="eastAsia" w:ascii="仿宋_GB2312" w:hAnsi="仿宋_GB2312" w:eastAsia="仿宋_GB2312" w:cs="仿宋_GB2312"/>
          <w:sz w:val="32"/>
          <w:szCs w:val="32"/>
          <w:lang w:val="en-US" w:eastAsia="zh-CN"/>
        </w:rPr>
        <w:t>各相关部门及单位按照《事故调查报告》中提出的“事故防范和整改措施”要求，积极落实各项事故防范和整改措施。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val="en-US" w:eastAsia="zh-CN"/>
        </w:rPr>
      </w:pPr>
      <w:bookmarkStart w:id="27" w:name="_Toc6771"/>
      <w:r>
        <w:rPr>
          <w:rFonts w:hint="eastAsia" w:ascii="黑体" w:hAnsi="黑体" w:eastAsia="黑体" w:cs="黑体"/>
          <w:sz w:val="32"/>
          <w:szCs w:val="32"/>
          <w:lang w:val="en-US" w:eastAsia="zh-CN"/>
        </w:rPr>
        <w:t>四、事故相关责任单位及责任人员责任追究落实情况</w:t>
      </w:r>
      <w:bookmarkEnd w:id="27"/>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sz w:val="32"/>
          <w:szCs w:val="32"/>
          <w:lang w:val="en-US" w:eastAsia="zh-CN"/>
        </w:rPr>
      </w:pPr>
      <w:bookmarkStart w:id="28" w:name="_Toc32001"/>
      <w:r>
        <w:rPr>
          <w:rFonts w:hint="eastAsia" w:ascii="楷体" w:hAnsi="楷体" w:eastAsia="楷体" w:cs="楷体"/>
          <w:sz w:val="32"/>
          <w:szCs w:val="32"/>
          <w:lang w:val="en-US" w:eastAsia="zh-CN"/>
        </w:rPr>
        <w:t>（一）对事故有关责任人员的行政处罚落实情况：</w:t>
      </w:r>
      <w:bookmarkEnd w:id="28"/>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Cs w:val="32"/>
          <w:lang w:val="en-US" w:eastAsia="zh-CN"/>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事故责任认定及处理建议，由</w:t>
      </w:r>
      <w:r>
        <w:rPr>
          <w:rFonts w:hint="eastAsia" w:ascii="仿宋_GB2312" w:hAnsi="仿宋_GB2312" w:eastAsia="仿宋_GB2312" w:cs="仿宋_GB2312"/>
          <w:sz w:val="32"/>
          <w:szCs w:val="32"/>
          <w:lang w:eastAsia="zh-CN"/>
        </w:rPr>
        <w:t>三亚市综合行政执法局</w:t>
      </w:r>
      <w:r>
        <w:rPr>
          <w:rFonts w:hint="eastAsia" w:ascii="仿宋_GB2312" w:hAnsi="仿宋_GB2312" w:eastAsia="仿宋_GB2312" w:cs="仿宋_GB2312"/>
          <w:sz w:val="32"/>
          <w:szCs w:val="32"/>
          <w:lang w:val="en-US" w:eastAsia="zh-CN"/>
        </w:rPr>
        <w:t>进行行政处罚的责任</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w:t>
      </w:r>
    </w:p>
    <w:p>
      <w:pPr>
        <w:pStyle w:val="7"/>
        <w:pageBreakBefore w:val="0"/>
        <w:kinsoku/>
        <w:wordWrap/>
        <w:overflowPunct/>
        <w:topLinePunct w:val="0"/>
        <w:autoSpaceDE/>
        <w:autoSpaceDN/>
        <w:bidi w:val="0"/>
        <w:spacing w:line="560" w:lineRule="exact"/>
        <w:ind w:left="0" w:leftChars="0" w:firstLine="643" w:firstLineChars="200"/>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1、胡克宁</w:t>
      </w:r>
      <w:r>
        <w:rPr>
          <w:rFonts w:hint="eastAsia" w:ascii="仿宋_GB2312" w:hAnsi="仿宋_GB2312" w:eastAsia="仿宋_GB2312" w:cs="仿宋_GB2312"/>
          <w:sz w:val="32"/>
          <w:szCs w:val="32"/>
          <w:lang w:val="en-US" w:eastAsia="zh-CN"/>
        </w:rPr>
        <w:t>：男，</w:t>
      </w:r>
      <w:r>
        <w:rPr>
          <w:rFonts w:hint="eastAsia" w:ascii="仿宋_GB2312" w:hAnsi="宋体" w:eastAsia="仿宋_GB2312" w:cs="仿宋_GB2312"/>
          <w:kern w:val="2"/>
          <w:sz w:val="32"/>
          <w:szCs w:val="32"/>
          <w:lang w:val="en-US" w:eastAsia="zh-CN" w:bidi="ar-SA"/>
        </w:rPr>
        <w:t>中国有线电视网络有限公司三亚分公司副经理</w:t>
      </w:r>
      <w:r>
        <w:rPr>
          <w:rFonts w:hint="eastAsia" w:ascii="Times New Roman" w:hAnsi="Times New Roman" w:eastAsia="仿宋_GB2312" w:cs="Times New Roman"/>
          <w:sz w:val="32"/>
          <w:szCs w:val="32"/>
          <w:lang w:val="en-US" w:eastAsia="zh-CN"/>
        </w:rPr>
        <w:t>。</w:t>
      </w:r>
    </w:p>
    <w:p>
      <w:pPr>
        <w:pStyle w:val="7"/>
        <w:pageBreakBefore w:val="0"/>
        <w:kinsoku/>
        <w:wordWrap/>
        <w:overflowPunct/>
        <w:topLinePunct w:val="0"/>
        <w:autoSpaceDE/>
        <w:autoSpaceDN/>
        <w:bidi w:val="0"/>
        <w:spacing w:line="560" w:lineRule="exact"/>
        <w:ind w:left="0" w:leftChars="0" w:firstLine="643" w:firstLineChars="200"/>
        <w:rPr>
          <w:rFonts w:hint="eastAsia" w:ascii="仿宋_GB2312" w:hAnsi="宋体"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违法违规事实：</w:t>
      </w:r>
      <w:r>
        <w:rPr>
          <w:rFonts w:hint="default" w:ascii="Times New Roman" w:hAnsi="Times New Roman" w:eastAsia="仿宋_GB2312" w:cs="Times New Roman"/>
          <w:sz w:val="32"/>
          <w:szCs w:val="32"/>
          <w:lang w:val="en-US" w:eastAsia="zh-CN"/>
        </w:rPr>
        <w:t>作为</w:t>
      </w:r>
      <w:r>
        <w:rPr>
          <w:rFonts w:hint="eastAsia" w:ascii="Times New Roman" w:hAnsi="Times New Roman" w:eastAsia="仿宋_GB2312" w:cs="Times New Roman"/>
          <w:sz w:val="32"/>
          <w:szCs w:val="32"/>
          <w:lang w:val="en-US" w:eastAsia="zh-CN"/>
        </w:rPr>
        <w:t>建设单位项目负责人，未履行建设单位项目主要负责人安全职责</w:t>
      </w:r>
      <w:r>
        <w:rPr>
          <w:rFonts w:hint="eastAsia" w:ascii="仿宋_GB2312" w:hAnsi="宋体" w:eastAsia="仿宋_GB2312" w:cs="仿宋_GB2312"/>
          <w:kern w:val="2"/>
          <w:sz w:val="32"/>
          <w:szCs w:val="32"/>
          <w:lang w:val="en-US" w:eastAsia="zh-CN" w:bidi="ar-SA"/>
        </w:rPr>
        <w:t>。</w:t>
      </w:r>
    </w:p>
    <w:p>
      <w:pPr>
        <w:pStyle w:val="7"/>
        <w:pageBreakBefore w:val="0"/>
        <w:kinsoku/>
        <w:wordWrap/>
        <w:overflowPunct/>
        <w:topLinePunct w:val="0"/>
        <w:autoSpaceDE/>
        <w:autoSpaceDN/>
        <w:bidi w:val="0"/>
        <w:spacing w:line="560" w:lineRule="exact"/>
        <w:ind w:left="0" w:leftChars="0" w:firstLine="643"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sz w:val="32"/>
          <w:szCs w:val="32"/>
          <w:lang w:val="en-US" w:eastAsia="zh-CN" w:bidi="ar"/>
        </w:rPr>
        <w:t>违法违规条款：</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违反了《中华人民共和国安全生产法》第五条规定：其他负责人对职责范围内的安全生产工作负责。</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default" w:ascii="仿宋_GB2312" w:hAnsi="微软雅黑" w:eastAsia="仿宋_GB2312" w:cs="仿宋_GB2312"/>
          <w:i w:val="0"/>
          <w:iCs w:val="0"/>
          <w:caps w:val="0"/>
          <w:color w:val="0000FF"/>
          <w:spacing w:val="0"/>
          <w:sz w:val="32"/>
          <w:szCs w:val="32"/>
          <w:shd w:val="clear" w:color="auto" w:fill="FFFFFF"/>
          <w:lang w:val="en-US" w:eastAsia="zh-CN"/>
        </w:rPr>
      </w:pPr>
      <w:r>
        <w:rPr>
          <w:rFonts w:hint="eastAsia" w:ascii="Times New Roman" w:hAnsi="Times New Roman" w:eastAsia="仿宋_GB2312" w:cs="Times New Roman"/>
          <w:b/>
          <w:bCs/>
          <w:sz w:val="32"/>
          <w:szCs w:val="32"/>
          <w:lang w:val="en-US" w:eastAsia="zh-CN"/>
        </w:rPr>
        <w:t>处理建议：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建议</w:t>
      </w:r>
      <w:r>
        <w:rPr>
          <w:rFonts w:hint="default" w:ascii="仿宋_GB2312" w:hAnsi="宋体" w:eastAsia="仿宋_GB2312" w:cs="仿宋_GB2312"/>
          <w:sz w:val="32"/>
          <w:szCs w:val="32"/>
          <w:lang w:val="en-US" w:eastAsia="zh-CN"/>
        </w:rPr>
        <w:t>由</w:t>
      </w:r>
      <w:r>
        <w:rPr>
          <w:rFonts w:hint="eastAsia" w:ascii="仿宋_GB2312" w:hAnsi="宋体" w:eastAsia="仿宋_GB2312" w:cs="仿宋_GB2312"/>
          <w:sz w:val="32"/>
          <w:szCs w:val="32"/>
          <w:lang w:val="en-US" w:eastAsia="zh-CN"/>
        </w:rPr>
        <w:t>行政执法部门</w:t>
      </w:r>
      <w:r>
        <w:rPr>
          <w:rFonts w:hint="default" w:ascii="仿宋_GB2312" w:hAnsi="宋体" w:eastAsia="仿宋_GB2312" w:cs="仿宋_GB2312"/>
          <w:sz w:val="32"/>
          <w:szCs w:val="32"/>
          <w:lang w:val="en-US" w:eastAsia="zh-CN"/>
        </w:rPr>
        <w:t>依</w:t>
      </w:r>
      <w:r>
        <w:rPr>
          <w:rFonts w:hint="default" w:ascii="仿宋_GB2312" w:hAnsi="宋体" w:eastAsia="仿宋_GB2312" w:cs="仿宋_GB2312"/>
          <w:sz w:val="32"/>
          <w:szCs w:val="32"/>
        </w:rPr>
        <w:t>照</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lang w:val="en-US" w:eastAsia="zh-CN"/>
        </w:rPr>
        <w:t>中华人民共和国安全生产法</w:t>
      </w:r>
      <w:r>
        <w:rPr>
          <w:rFonts w:hint="eastAsia" w:ascii="仿宋_GB2312" w:hAnsi="宋体" w:eastAsia="仿宋_GB2312" w:cs="仿宋_GB2312"/>
          <w:sz w:val="32"/>
          <w:szCs w:val="32"/>
          <w:lang w:eastAsia="zh-CN"/>
        </w:rPr>
        <w:t>》</w:t>
      </w:r>
      <w:r>
        <w:rPr>
          <w:rFonts w:hint="default" w:ascii="仿宋_GB2312" w:hAnsi="宋体" w:eastAsia="仿宋_GB2312" w:cs="仿宋_GB2312"/>
          <w:sz w:val="32"/>
          <w:szCs w:val="32"/>
          <w:lang w:val="en-US" w:eastAsia="zh-CN"/>
        </w:rPr>
        <w:t>第九十</w:t>
      </w:r>
      <w:r>
        <w:rPr>
          <w:rFonts w:hint="eastAsia" w:ascii="仿宋_GB2312" w:hAnsi="宋体" w:eastAsia="仿宋_GB2312" w:cs="仿宋_GB2312"/>
          <w:sz w:val="32"/>
          <w:szCs w:val="32"/>
          <w:lang w:val="en-US" w:eastAsia="zh-CN"/>
        </w:rPr>
        <w:t>五</w:t>
      </w:r>
      <w:r>
        <w:rPr>
          <w:rFonts w:hint="default" w:ascii="仿宋_GB2312" w:hAnsi="宋体" w:eastAsia="仿宋_GB2312" w:cs="仿宋_GB2312"/>
          <w:sz w:val="32"/>
          <w:szCs w:val="32"/>
          <w:lang w:val="en-US" w:eastAsia="zh-CN"/>
        </w:rPr>
        <w:t>条</w:t>
      </w:r>
      <w:r>
        <w:rPr>
          <w:rFonts w:hint="eastAsia" w:ascii="仿宋_GB2312" w:hAnsi="宋体" w:eastAsia="仿宋_GB2312" w:cs="仿宋_GB2312"/>
          <w:sz w:val="32"/>
          <w:szCs w:val="32"/>
          <w:lang w:val="en-US" w:eastAsia="zh-CN"/>
        </w:rPr>
        <w:t>之规定，对张瑜处上一年年收入百分之四十的罚款</w:t>
      </w:r>
      <w:r>
        <w:rPr>
          <w:rFonts w:hint="default" w:ascii="仿宋_GB2312" w:hAnsi="宋体" w:eastAsia="仿宋_GB2312" w:cs="仿宋_GB2312"/>
          <w:sz w:val="32"/>
          <w:szCs w:val="32"/>
          <w:lang w:val="en-US" w:eastAsia="zh-CN"/>
        </w:rPr>
        <w:t>。</w:t>
      </w:r>
    </w:p>
    <w:p>
      <w:pPr>
        <w:pStyle w:val="7"/>
        <w:pageBreakBefore w:val="0"/>
        <w:kinsoku/>
        <w:wordWrap/>
        <w:overflowPunct/>
        <w:topLinePunct w:val="0"/>
        <w:autoSpaceDE/>
        <w:autoSpaceDN/>
        <w:bidi w:val="0"/>
        <w:spacing w:line="560" w:lineRule="exact"/>
        <w:ind w:left="0" w:leftChars="0" w:firstLine="643" w:firstLineChars="200"/>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Times New Roman" w:hAnsi="Times New Roman" w:eastAsia="仿宋_GB2312" w:cs="Times New Roman"/>
          <w:b/>
          <w:bCs/>
          <w:sz w:val="32"/>
          <w:szCs w:val="32"/>
          <w:lang w:val="en-US" w:eastAsia="zh-CN"/>
        </w:rPr>
        <w:t>刘运明</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男，</w:t>
      </w:r>
      <w:r>
        <w:rPr>
          <w:rFonts w:hint="eastAsia" w:ascii="仿宋_GB2312" w:hAnsi="宋体" w:eastAsia="仿宋_GB2312" w:cs="仿宋_GB2312"/>
          <w:kern w:val="2"/>
          <w:sz w:val="32"/>
          <w:szCs w:val="32"/>
          <w:lang w:val="en-US" w:eastAsia="zh-CN" w:bidi="ar-SA"/>
        </w:rPr>
        <w:t>海南地通市政工程有限公司总经理</w:t>
      </w:r>
      <w:r>
        <w:rPr>
          <w:rFonts w:hint="eastAsia" w:ascii="Times New Roman" w:hAnsi="Times New Roman" w:eastAsia="仿宋_GB2312" w:cs="Times New Roman"/>
          <w:sz w:val="32"/>
          <w:szCs w:val="32"/>
          <w:lang w:val="en-US" w:eastAsia="zh-CN"/>
        </w:rPr>
        <w:t>。</w:t>
      </w:r>
    </w:p>
    <w:p>
      <w:pPr>
        <w:pStyle w:val="7"/>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违法违规事实：</w:t>
      </w:r>
      <w:r>
        <w:rPr>
          <w:rFonts w:hint="default" w:ascii="Times New Roman" w:hAnsi="Times New Roman" w:eastAsia="仿宋_GB2312" w:cs="Times New Roman"/>
          <w:sz w:val="32"/>
          <w:szCs w:val="32"/>
          <w:lang w:val="en-US" w:eastAsia="zh-CN"/>
        </w:rPr>
        <w:t>作为</w:t>
      </w:r>
      <w:r>
        <w:rPr>
          <w:rFonts w:hint="eastAsia" w:ascii="Times New Roman" w:hAnsi="Times New Roman" w:eastAsia="仿宋_GB2312" w:cs="Times New Roman"/>
          <w:sz w:val="32"/>
          <w:szCs w:val="32"/>
          <w:lang w:val="en-US" w:eastAsia="zh-CN"/>
        </w:rPr>
        <w:t>施工单位项目负责人，未履行施工单位项目主要负责人安全职责</w:t>
      </w:r>
      <w:r>
        <w:rPr>
          <w:rFonts w:hint="eastAsia" w:ascii="仿宋_GB2312" w:hAnsi="仿宋_GB2312" w:eastAsia="仿宋_GB2312" w:cs="仿宋_GB2312"/>
          <w:b w:val="0"/>
          <w:bCs w:val="0"/>
          <w:sz w:val="32"/>
          <w:szCs w:val="32"/>
          <w:lang w:val="en-US" w:eastAsia="zh-CN"/>
        </w:rPr>
        <w:t>。</w:t>
      </w:r>
    </w:p>
    <w:p>
      <w:pPr>
        <w:pStyle w:val="7"/>
        <w:pageBreakBefore w:val="0"/>
        <w:kinsoku/>
        <w:wordWrap/>
        <w:overflowPunct/>
        <w:topLinePunct w:val="0"/>
        <w:autoSpaceDE/>
        <w:autoSpaceDN/>
        <w:bidi w:val="0"/>
        <w:spacing w:line="560" w:lineRule="exact"/>
        <w:ind w:left="0" w:leftChars="0" w:firstLine="643"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sz w:val="32"/>
          <w:szCs w:val="32"/>
          <w:lang w:val="en-US" w:eastAsia="zh-CN" w:bidi="ar"/>
        </w:rPr>
        <w:t>违法违规条款：</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违反了《中华人民共和国安全生产法》第五条</w:t>
      </w:r>
      <w:r>
        <w:rPr>
          <w:rFonts w:hint="eastAsia" w:eastAsia="仿宋_GB2312" w:cs="Times New Roman"/>
          <w:color w:val="000000" w:themeColor="text1"/>
          <w:sz w:val="32"/>
          <w:szCs w:val="32"/>
          <w:highlight w:val="none"/>
          <w:lang w:val="en-US" w:eastAsia="zh-CN"/>
          <w14:textFill>
            <w14:solidFill>
              <w14:schemeClr w14:val="tx1"/>
            </w14:solidFill>
          </w14:textFill>
        </w:rPr>
        <w:t>之</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规定</w:t>
      </w:r>
      <w:r>
        <w:rPr>
          <w:rFonts w:hint="eastAsia" w:eastAsia="仿宋_GB2312" w:cs="Times New Roman"/>
          <w:color w:val="000000" w:themeColor="text1"/>
          <w:sz w:val="32"/>
          <w:szCs w:val="32"/>
          <w:highlight w:val="none"/>
          <w:lang w:val="en-US" w:eastAsia="zh-CN"/>
          <w14:textFill>
            <w14:solidFill>
              <w14:schemeClr w14:val="tx1"/>
            </w14:solidFill>
          </w14:textFill>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default" w:ascii="仿宋_GB2312" w:hAnsi="微软雅黑" w:eastAsia="仿宋_GB2312" w:cs="仿宋_GB2312"/>
          <w:i w:val="0"/>
          <w:iCs w:val="0"/>
          <w:caps w:val="0"/>
          <w:color w:val="0000FF"/>
          <w:spacing w:val="0"/>
          <w:sz w:val="32"/>
          <w:szCs w:val="32"/>
          <w:shd w:val="clear" w:color="auto" w:fill="FFFFFF"/>
          <w:lang w:val="en-US" w:eastAsia="zh-CN"/>
        </w:rPr>
      </w:pPr>
      <w:r>
        <w:rPr>
          <w:rFonts w:hint="eastAsia" w:ascii="Times New Roman" w:hAnsi="Times New Roman" w:eastAsia="仿宋_GB2312" w:cs="Times New Roman"/>
          <w:b/>
          <w:bCs/>
          <w:sz w:val="32"/>
          <w:szCs w:val="32"/>
          <w:lang w:val="en-US" w:eastAsia="zh-CN"/>
        </w:rPr>
        <w:t>处理建议：</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建议由行政执法部门依照《中华人民共和国安全生产法》第九十五条之规定，对刘燕霞处以上一年年收入百分之四十的罚款。</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Times New Roman" w:hAnsi="Times New Roman" w:eastAsia="仿宋_GB2312" w:cs="Times New Roman"/>
          <w:b/>
          <w:bCs/>
          <w:sz w:val="32"/>
          <w:szCs w:val="32"/>
          <w:lang w:val="en-US" w:eastAsia="zh-CN"/>
        </w:rPr>
        <w:t>赵立涛</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男，项目施工负责人</w:t>
      </w:r>
      <w:r>
        <w:rPr>
          <w:rFonts w:hint="eastAsia" w:ascii="Times New Roman" w:hAnsi="Times New Roman" w:eastAsia="仿宋_GB2312" w:cs="Times New Roman"/>
          <w:sz w:val="32"/>
          <w:szCs w:val="32"/>
          <w:lang w:val="en-US" w:eastAsia="zh-CN"/>
        </w:rPr>
        <w:t>。</w:t>
      </w:r>
    </w:p>
    <w:p>
      <w:pPr>
        <w:pStyle w:val="7"/>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违法违规事实：</w:t>
      </w:r>
      <w:r>
        <w:rPr>
          <w:rFonts w:hint="eastAsia" w:ascii="Times New Roman" w:hAnsi="Times New Roman" w:eastAsia="仿宋_GB2312" w:cs="Times New Roman"/>
          <w:sz w:val="32"/>
          <w:szCs w:val="32"/>
          <w:lang w:val="en-US" w:eastAsia="zh-CN"/>
        </w:rPr>
        <w:t>违规组织</w:t>
      </w:r>
      <w:r>
        <w:rPr>
          <w:rFonts w:hint="eastAsia" w:ascii="Times New Roman" w:hAnsi="Times New Roman" w:eastAsia="仿宋_GB2312" w:cs="Times New Roman"/>
          <w:kern w:val="0"/>
          <w:sz w:val="32"/>
          <w:szCs w:val="32"/>
          <w:lang w:val="en-US" w:eastAsia="zh-CN" w:bidi="ar"/>
        </w:rPr>
        <w:t>施工，未落实施工现场安全管理要求</w:t>
      </w:r>
      <w:r>
        <w:rPr>
          <w:rFonts w:hint="eastAsia" w:ascii="仿宋_GB2312" w:hAnsi="仿宋_GB2312" w:eastAsia="仿宋_GB2312" w:cs="仿宋_GB2312"/>
          <w:b w:val="0"/>
          <w:bCs w:val="0"/>
          <w:sz w:val="32"/>
          <w:szCs w:val="32"/>
          <w:lang w:val="en-US" w:eastAsia="zh-CN"/>
        </w:rPr>
        <w:t>。</w:t>
      </w:r>
    </w:p>
    <w:p>
      <w:pPr>
        <w:pStyle w:val="7"/>
        <w:pageBreakBefore w:val="0"/>
        <w:kinsoku/>
        <w:wordWrap/>
        <w:overflowPunct/>
        <w:topLinePunct w:val="0"/>
        <w:autoSpaceDE/>
        <w:autoSpaceDN/>
        <w:bidi w:val="0"/>
        <w:spacing w:line="560" w:lineRule="exact"/>
        <w:ind w:left="0" w:leftChars="0" w:firstLine="643"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sz w:val="32"/>
          <w:szCs w:val="32"/>
          <w:lang w:val="en-US" w:eastAsia="zh-CN" w:bidi="ar"/>
        </w:rPr>
        <w:t>违法违规条款：</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违反了《中华人民共和国安全生产法》第五条</w:t>
      </w:r>
      <w:r>
        <w:rPr>
          <w:rFonts w:hint="eastAsia" w:eastAsia="仿宋_GB2312" w:cs="Times New Roman"/>
          <w:color w:val="000000" w:themeColor="text1"/>
          <w:sz w:val="32"/>
          <w:szCs w:val="32"/>
          <w:highlight w:val="none"/>
          <w:lang w:val="en-US" w:eastAsia="zh-CN"/>
          <w14:textFill>
            <w14:solidFill>
              <w14:schemeClr w14:val="tx1"/>
            </w14:solidFill>
          </w14:textFill>
        </w:rPr>
        <w:t>之</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规定</w:t>
      </w:r>
      <w:r>
        <w:rPr>
          <w:rFonts w:hint="eastAsia" w:eastAsia="仿宋_GB2312" w:cs="Times New Roman"/>
          <w:color w:val="000000" w:themeColor="text1"/>
          <w:sz w:val="32"/>
          <w:szCs w:val="32"/>
          <w:highlight w:val="none"/>
          <w:lang w:val="en-US" w:eastAsia="zh-CN"/>
          <w14:textFill>
            <w14:solidFill>
              <w14:schemeClr w14:val="tx1"/>
            </w14:solidFill>
          </w14:textFill>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default" w:ascii="仿宋_GB2312" w:hAnsi="微软雅黑" w:eastAsia="仿宋_GB2312" w:cs="仿宋_GB2312"/>
          <w:i w:val="0"/>
          <w:iCs w:val="0"/>
          <w:caps w:val="0"/>
          <w:color w:val="0000FF"/>
          <w:spacing w:val="0"/>
          <w:sz w:val="32"/>
          <w:szCs w:val="32"/>
          <w:shd w:val="clear" w:color="auto" w:fill="FFFFFF"/>
          <w:lang w:val="en-US" w:eastAsia="zh-CN"/>
        </w:rPr>
      </w:pPr>
      <w:r>
        <w:rPr>
          <w:rFonts w:hint="eastAsia" w:ascii="Times New Roman" w:hAnsi="Times New Roman" w:eastAsia="仿宋_GB2312" w:cs="Times New Roman"/>
          <w:b/>
          <w:bCs/>
          <w:sz w:val="32"/>
          <w:szCs w:val="32"/>
          <w:lang w:val="en-US" w:eastAsia="zh-CN"/>
        </w:rPr>
        <w:t>处理建议：</w:t>
      </w:r>
    </w:p>
    <w:p>
      <w:pPr>
        <w:pStyle w:val="7"/>
        <w:pageBreakBefore w:val="0"/>
        <w:kinsoku/>
        <w:wordWrap/>
        <w:overflowPunct/>
        <w:topLinePunct w:val="0"/>
        <w:autoSpaceDE/>
        <w:autoSpaceDN/>
        <w:bidi w:val="0"/>
        <w:spacing w:line="560" w:lineRule="exact"/>
        <w:ind w:left="0" w:leftChars="0"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建议由行政执法部门依照《中华人民共和国安全生产法》第九十五条之规定，对刘燕霞处以上一年年收入百分之四十的罚款。</w:t>
      </w:r>
    </w:p>
    <w:p>
      <w:pPr>
        <w:pStyle w:val="7"/>
        <w:pageBreakBefore w:val="0"/>
        <w:kinsoku/>
        <w:wordWrap/>
        <w:overflowPunct/>
        <w:topLinePunct w:val="0"/>
        <w:autoSpaceDE/>
        <w:autoSpaceDN/>
        <w:bidi w:val="0"/>
        <w:spacing w:line="560" w:lineRule="exact"/>
        <w:ind w:left="0" w:leftChars="0" w:firstLine="643" w:firstLineChars="200"/>
        <w:outlineLvl w:val="1"/>
        <w:rPr>
          <w:rFonts w:hint="eastAsia" w:ascii="楷体_GB2312" w:hAnsi="楷体_GB2312" w:eastAsia="楷体_GB2312" w:cs="楷体_GB2312"/>
          <w:b w:val="0"/>
          <w:bCs/>
          <w:kern w:val="2"/>
          <w:sz w:val="32"/>
          <w:szCs w:val="24"/>
          <w:lang w:val="en-US" w:eastAsia="zh-CN" w:bidi="ar-SA"/>
        </w:rPr>
      </w:pPr>
      <w:bookmarkStart w:id="29" w:name="_Toc9182"/>
      <w:r>
        <w:rPr>
          <w:rFonts w:hint="eastAsia" w:ascii="楷体_GB2312" w:hAnsi="楷体_GB2312" w:eastAsia="楷体_GB2312" w:cs="楷体_GB2312"/>
          <w:b w:val="0"/>
          <w:bCs/>
          <w:kern w:val="2"/>
          <w:sz w:val="32"/>
          <w:szCs w:val="24"/>
          <w:lang w:val="en-US" w:eastAsia="zh-CN" w:bidi="ar-SA"/>
        </w:rPr>
        <w:t>（二）对事故有关责任单位的行政处罚落实情况：</w:t>
      </w:r>
      <w:bookmarkEnd w:id="2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宋体" w:eastAsia="仿宋_GB2312" w:cs="仿宋_GB2312"/>
          <w:sz w:val="32"/>
          <w:szCs w:val="32"/>
        </w:rPr>
        <w:t>按照</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lang w:val="en-US" w:eastAsia="zh-CN"/>
        </w:rPr>
        <w:t>12</w:t>
      </w:r>
      <w:r>
        <w:rPr>
          <w:rFonts w:hint="default" w:ascii="仿宋_GB2312" w:hAnsi="宋体" w:eastAsia="仿宋_GB2312" w:cs="仿宋_GB2312"/>
          <w:sz w:val="32"/>
          <w:szCs w:val="32"/>
          <w:lang w:val="en-US" w:eastAsia="zh-CN"/>
        </w:rPr>
        <w:t>·</w:t>
      </w:r>
      <w:r>
        <w:rPr>
          <w:rFonts w:hint="eastAsia" w:ascii="仿宋_GB2312" w:hAnsi="宋体" w:eastAsia="仿宋_GB2312" w:cs="仿宋_GB2312"/>
          <w:sz w:val="32"/>
          <w:szCs w:val="32"/>
          <w:lang w:val="en-US" w:eastAsia="zh-CN"/>
        </w:rPr>
        <w:t>14</w:t>
      </w:r>
      <w:r>
        <w:rPr>
          <w:rFonts w:hint="eastAsia" w:ascii="仿宋_GB2312" w:hAnsi="宋体" w:eastAsia="仿宋_GB2312" w:cs="仿宋_GB2312"/>
          <w:sz w:val="32"/>
          <w:szCs w:val="32"/>
          <w:lang w:eastAsia="zh-CN"/>
        </w:rPr>
        <w:t>”</w:t>
      </w:r>
      <w:r>
        <w:rPr>
          <w:rFonts w:hint="default" w:ascii="仿宋_GB2312" w:hAnsi="宋体" w:eastAsia="仿宋_GB2312" w:cs="仿宋_GB2312"/>
          <w:sz w:val="32"/>
          <w:szCs w:val="32"/>
        </w:rPr>
        <w:t>事故责任认定及处理建议，由</w:t>
      </w:r>
      <w:r>
        <w:rPr>
          <w:rFonts w:hint="eastAsia" w:ascii="仿宋_GB2312" w:hAnsi="宋体" w:eastAsia="仿宋_GB2312" w:cs="仿宋_GB2312"/>
          <w:sz w:val="32"/>
          <w:szCs w:val="32"/>
          <w:lang w:eastAsia="zh-CN"/>
        </w:rPr>
        <w:t>三亚市综合行政执法局</w:t>
      </w:r>
      <w:r>
        <w:rPr>
          <w:rFonts w:hint="eastAsia" w:ascii="仿宋_GB2312" w:hAnsi="宋体" w:eastAsia="仿宋_GB2312" w:cs="仿宋_GB2312"/>
          <w:sz w:val="32"/>
          <w:szCs w:val="32"/>
          <w:lang w:val="en-US" w:eastAsia="zh-CN"/>
        </w:rPr>
        <w:t>进行行政处罚的</w:t>
      </w:r>
      <w:r>
        <w:rPr>
          <w:rFonts w:hint="default" w:ascii="仿宋_GB2312" w:hAnsi="宋体" w:eastAsia="仿宋_GB2312" w:cs="仿宋_GB2312"/>
          <w:sz w:val="32"/>
          <w:szCs w:val="32"/>
        </w:rPr>
        <w:t>责任</w:t>
      </w:r>
      <w:r>
        <w:rPr>
          <w:rFonts w:hint="eastAsia" w:ascii="仿宋_GB2312" w:hAnsi="宋体" w:eastAsia="仿宋_GB2312" w:cs="仿宋_GB2312"/>
          <w:sz w:val="32"/>
          <w:szCs w:val="32"/>
          <w:lang w:val="en-US" w:eastAsia="zh-CN"/>
        </w:rPr>
        <w:t>单位2个</w:t>
      </w:r>
      <w:r>
        <w:rPr>
          <w:rFonts w:hint="default" w:ascii="仿宋_GB2312" w:hAnsi="宋体"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cs="仿宋_GB2312"/>
          <w:b/>
          <w:bCs/>
          <w:kern w:val="2"/>
          <w:sz w:val="32"/>
          <w:szCs w:val="32"/>
          <w:lang w:val="en-US" w:eastAsia="zh-CN" w:bidi="ar-SA"/>
        </w:rPr>
      </w:pPr>
      <w:r>
        <w:rPr>
          <w:rFonts w:hint="eastAsia" w:ascii="仿宋_GB2312" w:hAnsi="宋体" w:eastAsia="仿宋_GB2312" w:cs="仿宋_GB2312"/>
          <w:b/>
          <w:bCs/>
          <w:kern w:val="2"/>
          <w:sz w:val="32"/>
          <w:szCs w:val="32"/>
          <w:lang w:val="en-US" w:eastAsia="zh-CN" w:bidi="ar-SA"/>
        </w:rPr>
        <w:t>1.</w:t>
      </w:r>
      <w:r>
        <w:rPr>
          <w:rFonts w:hint="eastAsia" w:ascii="Times New Roman" w:hAnsi="Times New Roman" w:eastAsia="仿宋_GB2312" w:cs="Times New Roman"/>
          <w:b/>
          <w:bCs/>
          <w:sz w:val="32"/>
          <w:szCs w:val="32"/>
          <w:lang w:val="en-US" w:eastAsia="zh-CN"/>
        </w:rPr>
        <w:t>中国有线电视网络有限公司三亚分公司</w:t>
      </w:r>
      <w:r>
        <w:rPr>
          <w:rFonts w:hint="eastAsia" w:ascii="仿宋_GB2312" w:hAnsi="宋体" w:eastAsia="仿宋_GB2312" w:cs="仿宋_GB2312"/>
          <w:b/>
          <w:bCs/>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违法违规事实：</w:t>
      </w:r>
      <w:r>
        <w:rPr>
          <w:rFonts w:hint="eastAsia" w:ascii="仿宋_GB2312" w:hAnsi="仿宋_GB2312" w:eastAsia="仿宋_GB2312" w:cs="仿宋_GB2312"/>
          <w:sz w:val="32"/>
          <w:szCs w:val="32"/>
          <w:lang w:val="en-US" w:eastAsia="zh-CN"/>
        </w:rPr>
        <w:t>《事故调查报告》中指出：</w:t>
      </w:r>
      <w:r>
        <w:rPr>
          <w:rFonts w:hint="eastAsia" w:ascii="Times New Roman" w:hAnsi="Times New Roman" w:eastAsia="仿宋_GB2312" w:cs="Times New Roman"/>
          <w:sz w:val="32"/>
          <w:szCs w:val="32"/>
          <w:lang w:val="en-US" w:eastAsia="zh-CN"/>
        </w:rPr>
        <w:t>中国有线电视网络有限公司三亚分公司</w:t>
      </w:r>
      <w:r>
        <w:rPr>
          <w:rFonts w:hint="default" w:ascii="Times New Roman" w:hAnsi="Times New Roman" w:eastAsia="仿宋_GB2312" w:cs="Times New Roman"/>
          <w:sz w:val="32"/>
          <w:szCs w:val="32"/>
          <w:lang w:val="en-US" w:eastAsia="zh-CN"/>
        </w:rPr>
        <w:t>作为该</w:t>
      </w:r>
      <w:r>
        <w:rPr>
          <w:rFonts w:hint="eastAsia" w:ascii="Times New Roman" w:hAnsi="Times New Roman" w:eastAsia="仿宋_GB2312" w:cs="Times New Roman"/>
          <w:sz w:val="32"/>
          <w:szCs w:val="32"/>
          <w:lang w:val="en-US" w:eastAsia="zh-CN"/>
        </w:rPr>
        <w:t>项目的</w:t>
      </w:r>
      <w:r>
        <w:rPr>
          <w:rFonts w:hint="default" w:ascii="Times New Roman" w:hAnsi="Times New Roman" w:eastAsia="仿宋_GB2312" w:cs="Times New Roman"/>
          <w:sz w:val="32"/>
          <w:szCs w:val="32"/>
          <w:lang w:val="en-US" w:eastAsia="zh-CN"/>
        </w:rPr>
        <w:t>建设单位，</w:t>
      </w:r>
      <w:r>
        <w:rPr>
          <w:rFonts w:hint="eastAsia" w:ascii="Times New Roman" w:hAnsi="Times New Roman" w:eastAsia="仿宋_GB2312" w:cs="Times New Roman"/>
          <w:sz w:val="32"/>
          <w:szCs w:val="32"/>
          <w:lang w:val="en-US" w:eastAsia="zh-CN"/>
        </w:rPr>
        <w:t>违规将未取得施工许可的项目承包给施工单位进行施工，</w:t>
      </w:r>
      <w:r>
        <w:rPr>
          <w:rFonts w:hint="default" w:ascii="Times New Roman" w:hAnsi="Times New Roman" w:eastAsia="仿宋_GB2312" w:cs="Times New Roman"/>
          <w:sz w:val="32"/>
          <w:szCs w:val="32"/>
          <w:lang w:val="en-US" w:eastAsia="zh-CN"/>
        </w:rPr>
        <w:t>落实安全生产管理责任不到位</w:t>
      </w:r>
      <w:r>
        <w:rPr>
          <w:rFonts w:hint="default" w:ascii="仿宋_GB2312" w:hAnsi="微软雅黑" w:eastAsia="仿宋_GB2312" w:cs="仿宋_GB2312"/>
          <w:i w:val="0"/>
          <w:iCs w:val="0"/>
          <w:caps w:val="0"/>
          <w:color w:val="000000"/>
          <w:spacing w:val="0"/>
          <w:sz w:val="32"/>
          <w:szCs w:val="32"/>
          <w:shd w:val="clear" w:color="auto" w:fill="FFFFFF"/>
        </w:rPr>
        <w:t>。</w:t>
      </w:r>
    </w:p>
    <w:p>
      <w:pPr>
        <w:pStyle w:val="7"/>
        <w:pageBreakBefore w:val="0"/>
        <w:kinsoku/>
        <w:wordWrap/>
        <w:overflowPunct/>
        <w:topLinePunct w:val="0"/>
        <w:autoSpaceDE/>
        <w:autoSpaceDN/>
        <w:bidi w:val="0"/>
        <w:spacing w:line="560" w:lineRule="exact"/>
        <w:ind w:left="0" w:leftChars="0" w:firstLine="643" w:firstLineChars="200"/>
        <w:rPr>
          <w:rFonts w:hint="default" w:ascii="仿宋_GB2312" w:hAnsi="仿宋_GB2312" w:eastAsia="仿宋_GB2312" w:cs="仿宋_GB2312"/>
          <w:b/>
          <w:bCs/>
          <w:sz w:val="32"/>
          <w:szCs w:val="32"/>
          <w:lang w:val="en-US" w:eastAsia="zh-CN"/>
        </w:rPr>
      </w:pPr>
      <w:r>
        <w:rPr>
          <w:rFonts w:hint="eastAsia" w:eastAsia="仿宋_GB2312" w:cs="Times New Roman"/>
          <w:b/>
          <w:bCs/>
          <w:sz w:val="32"/>
          <w:szCs w:val="32"/>
          <w:lang w:val="en-US" w:eastAsia="zh-CN"/>
        </w:rPr>
        <w:t>违法违规条款：</w:t>
      </w:r>
      <w:r>
        <w:rPr>
          <w:rFonts w:hint="eastAsia" w:ascii="仿宋_GB2312" w:hAnsi="仿宋_GB2312" w:eastAsia="仿宋_GB2312" w:cs="仿宋_GB2312"/>
          <w:color w:val="auto"/>
          <w:sz w:val="32"/>
          <w:szCs w:val="32"/>
          <w:lang w:val="en-US" w:eastAsia="zh-CN"/>
        </w:rPr>
        <w:t>违反了《</w:t>
      </w:r>
      <w:r>
        <w:rPr>
          <w:rFonts w:hint="default" w:hAnsi="Times New Roman" w:eastAsia="仿宋_GB2312" w:cs="Times New Roman"/>
          <w:sz w:val="32"/>
          <w:szCs w:val="32"/>
          <w:lang w:val="en-US" w:eastAsia="zh-CN"/>
        </w:rPr>
        <w:t>中华人民共和国安全生产法</w:t>
      </w:r>
      <w:r>
        <w:rPr>
          <w:rFonts w:hint="eastAsia" w:ascii="仿宋_GB2312" w:hAnsi="仿宋_GB2312" w:eastAsia="仿宋_GB2312" w:cs="仿宋_GB2312"/>
          <w:color w:val="auto"/>
          <w:sz w:val="32"/>
          <w:szCs w:val="32"/>
          <w:lang w:val="en-US" w:eastAsia="zh-CN"/>
        </w:rPr>
        <w:t>》第二十条之规定</w:t>
      </w:r>
      <w:r>
        <w:rPr>
          <w:rFonts w:hint="eastAsia" w:ascii="仿宋_GB2312" w:hAnsi="仿宋_GB2312" w:eastAsia="仿宋_GB2312" w:cs="仿宋_GB2312"/>
          <w:sz w:val="32"/>
          <w:szCs w:val="32"/>
          <w:lang w:val="en-US" w:eastAsia="zh-CN"/>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b/>
          <w:bCs/>
          <w:sz w:val="32"/>
          <w:szCs w:val="32"/>
          <w:lang w:val="en-US" w:eastAsia="zh-CN"/>
        </w:rPr>
        <w:t>处理建议：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微软雅黑" w:eastAsia="仿宋_GB2312" w:cs="仿宋_GB2312"/>
          <w:i w:val="0"/>
          <w:iCs w:val="0"/>
          <w:caps w:val="0"/>
          <w:color w:val="000000"/>
          <w:spacing w:val="0"/>
          <w:sz w:val="32"/>
          <w:szCs w:val="32"/>
          <w:shd w:val="clear" w:color="auto" w:fill="FFFFFF"/>
          <w:lang w:val="en-US" w:eastAsia="zh-CN"/>
        </w:rPr>
      </w:pPr>
      <w:r>
        <w:rPr>
          <w:rFonts w:hint="eastAsia" w:ascii="仿宋_GB2312" w:hAnsi="微软雅黑" w:eastAsia="仿宋_GB2312" w:cs="仿宋_GB2312"/>
          <w:i w:val="0"/>
          <w:iCs w:val="0"/>
          <w:caps w:val="0"/>
          <w:color w:val="000000"/>
          <w:spacing w:val="0"/>
          <w:sz w:val="32"/>
          <w:szCs w:val="32"/>
          <w:shd w:val="clear" w:color="auto" w:fill="FFFFFF"/>
          <w:lang w:val="en-US" w:eastAsia="zh-CN"/>
        </w:rPr>
        <w:t>建议由有关行政执法部门依据</w:t>
      </w:r>
      <w:r>
        <w:rPr>
          <w:rFonts w:hint="eastAsia" w:ascii="仿宋_GB2312" w:hAnsi="微软雅黑" w:eastAsia="仿宋_GB2312" w:cs="仿宋_GB2312"/>
          <w:i w:val="0"/>
          <w:iCs w:val="0"/>
          <w:caps w:val="0"/>
          <w:color w:val="000000"/>
          <w:spacing w:val="0"/>
          <w:sz w:val="32"/>
          <w:szCs w:val="32"/>
          <w:shd w:val="clear" w:color="auto" w:fill="FFFFFF"/>
          <w:lang w:eastAsia="zh-CN"/>
        </w:rPr>
        <w:t>《</w:t>
      </w:r>
      <w:r>
        <w:rPr>
          <w:rFonts w:hint="eastAsia" w:ascii="仿宋_GB2312" w:hAnsi="微软雅黑" w:eastAsia="仿宋_GB2312" w:cs="仿宋_GB2312"/>
          <w:i w:val="0"/>
          <w:iCs w:val="0"/>
          <w:caps w:val="0"/>
          <w:color w:val="000000"/>
          <w:spacing w:val="0"/>
          <w:sz w:val="32"/>
          <w:szCs w:val="32"/>
          <w:shd w:val="clear" w:color="auto" w:fill="FFFFFF"/>
          <w:lang w:val="en-US" w:eastAsia="zh-CN"/>
        </w:rPr>
        <w:t>中华人民共和国安全生产法</w:t>
      </w:r>
      <w:r>
        <w:rPr>
          <w:rFonts w:hint="eastAsia" w:ascii="仿宋_GB2312" w:hAnsi="微软雅黑" w:eastAsia="仿宋_GB2312" w:cs="仿宋_GB2312"/>
          <w:i w:val="0"/>
          <w:iCs w:val="0"/>
          <w:caps w:val="0"/>
          <w:color w:val="000000"/>
          <w:spacing w:val="0"/>
          <w:sz w:val="32"/>
          <w:szCs w:val="32"/>
          <w:shd w:val="clear" w:color="auto" w:fill="FFFFFF"/>
          <w:lang w:eastAsia="zh-CN"/>
        </w:rPr>
        <w:t>》</w:t>
      </w:r>
      <w:r>
        <w:rPr>
          <w:rFonts w:hint="default" w:ascii="仿宋_GB2312" w:hAnsi="微软雅黑" w:eastAsia="仿宋_GB2312" w:cs="仿宋_GB2312"/>
          <w:i w:val="0"/>
          <w:iCs w:val="0"/>
          <w:caps w:val="0"/>
          <w:color w:val="000000"/>
          <w:spacing w:val="0"/>
          <w:sz w:val="32"/>
          <w:szCs w:val="32"/>
          <w:shd w:val="clear" w:color="auto" w:fill="FFFFFF"/>
          <w:lang w:val="en-US" w:eastAsia="zh-CN"/>
        </w:rPr>
        <w:t>第一百一十四条</w:t>
      </w:r>
      <w:r>
        <w:rPr>
          <w:rFonts w:hint="eastAsia" w:ascii="仿宋_GB2312" w:hAnsi="微软雅黑" w:eastAsia="仿宋_GB2312" w:cs="仿宋_GB2312"/>
          <w:i w:val="0"/>
          <w:iCs w:val="0"/>
          <w:caps w:val="0"/>
          <w:color w:val="000000"/>
          <w:spacing w:val="0"/>
          <w:sz w:val="32"/>
          <w:szCs w:val="32"/>
          <w:shd w:val="clear" w:color="auto" w:fill="FFFFFF"/>
          <w:lang w:val="en-US" w:eastAsia="zh-CN"/>
        </w:rPr>
        <w:t>第一款之规定，</w:t>
      </w:r>
      <w:r>
        <w:rPr>
          <w:rFonts w:hint="default" w:ascii="仿宋_GB2312" w:hAnsi="微软雅黑" w:eastAsia="仿宋_GB2312" w:cs="仿宋_GB2312"/>
          <w:i w:val="0"/>
          <w:iCs w:val="0"/>
          <w:caps w:val="0"/>
          <w:color w:val="000000"/>
          <w:spacing w:val="0"/>
          <w:sz w:val="32"/>
          <w:szCs w:val="32"/>
          <w:shd w:val="clear" w:color="auto" w:fill="FFFFFF"/>
          <w:lang w:val="en-US" w:eastAsia="zh-CN"/>
        </w:rPr>
        <w:t>除要求其依法承担相应的赔偿等责任外，</w:t>
      </w:r>
      <w:r>
        <w:rPr>
          <w:rFonts w:hint="eastAsia" w:ascii="仿宋_GB2312" w:hAnsi="微软雅黑" w:eastAsia="仿宋_GB2312" w:cs="仿宋_GB2312"/>
          <w:i w:val="0"/>
          <w:iCs w:val="0"/>
          <w:caps w:val="0"/>
          <w:color w:val="000000"/>
          <w:spacing w:val="0"/>
          <w:sz w:val="32"/>
          <w:szCs w:val="32"/>
          <w:shd w:val="clear" w:color="auto" w:fill="FFFFFF"/>
          <w:lang w:val="en-US" w:eastAsia="zh-CN"/>
        </w:rPr>
        <w:t>对其处以三十</w:t>
      </w:r>
      <w:r>
        <w:rPr>
          <w:rFonts w:hint="default" w:ascii="仿宋_GB2312" w:hAnsi="微软雅黑" w:eastAsia="仿宋_GB2312" w:cs="仿宋_GB2312"/>
          <w:i w:val="0"/>
          <w:iCs w:val="0"/>
          <w:caps w:val="0"/>
          <w:color w:val="000000"/>
          <w:spacing w:val="0"/>
          <w:sz w:val="32"/>
          <w:szCs w:val="32"/>
          <w:shd w:val="clear" w:color="auto" w:fill="FFFFFF"/>
          <w:lang w:val="en-US" w:eastAsia="zh-CN"/>
        </w:rPr>
        <w:t>万元以上</w:t>
      </w:r>
      <w:r>
        <w:rPr>
          <w:rFonts w:hint="eastAsia" w:ascii="仿宋_GB2312" w:hAnsi="微软雅黑" w:eastAsia="仿宋_GB2312" w:cs="仿宋_GB2312"/>
          <w:i w:val="0"/>
          <w:iCs w:val="0"/>
          <w:caps w:val="0"/>
          <w:color w:val="000000"/>
          <w:spacing w:val="0"/>
          <w:sz w:val="32"/>
          <w:szCs w:val="32"/>
          <w:shd w:val="clear" w:color="auto" w:fill="FFFFFF"/>
          <w:lang w:val="en-US" w:eastAsia="zh-CN"/>
        </w:rPr>
        <w:t>一</w:t>
      </w:r>
      <w:r>
        <w:rPr>
          <w:rFonts w:hint="default" w:ascii="仿宋_GB2312" w:hAnsi="微软雅黑" w:eastAsia="仿宋_GB2312" w:cs="仿宋_GB2312"/>
          <w:i w:val="0"/>
          <w:iCs w:val="0"/>
          <w:caps w:val="0"/>
          <w:color w:val="000000"/>
          <w:spacing w:val="0"/>
          <w:sz w:val="32"/>
          <w:szCs w:val="32"/>
          <w:shd w:val="clear" w:color="auto" w:fill="FFFFFF"/>
          <w:lang w:val="en-US" w:eastAsia="zh-CN"/>
        </w:rPr>
        <w:t>百万元以下罚款。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cs="仿宋_GB2312"/>
          <w:b/>
          <w:bCs/>
          <w:kern w:val="2"/>
          <w:sz w:val="32"/>
          <w:szCs w:val="32"/>
          <w:lang w:val="en-US" w:eastAsia="zh-CN" w:bidi="ar-SA"/>
        </w:rPr>
      </w:pPr>
      <w:r>
        <w:rPr>
          <w:rFonts w:hint="eastAsia" w:ascii="仿宋_GB2312" w:hAnsi="宋体" w:eastAsia="仿宋_GB2312" w:cs="仿宋_GB2312"/>
          <w:b/>
          <w:bCs/>
          <w:kern w:val="2"/>
          <w:sz w:val="32"/>
          <w:szCs w:val="32"/>
          <w:lang w:val="en-US" w:eastAsia="zh-CN" w:bidi="ar-SA"/>
        </w:rPr>
        <w:t>2.</w:t>
      </w:r>
      <w:r>
        <w:rPr>
          <w:rFonts w:hint="eastAsia" w:ascii="Times New Roman" w:hAnsi="Times New Roman" w:eastAsia="仿宋_GB2312" w:cs="Times New Roman"/>
          <w:b/>
          <w:bCs/>
          <w:kern w:val="2"/>
          <w:sz w:val="32"/>
          <w:szCs w:val="32"/>
          <w:lang w:val="en-US" w:eastAsia="zh-CN" w:bidi="ar-SA"/>
        </w:rPr>
        <w:t>海南地通市政工程有限公司</w:t>
      </w:r>
      <w:r>
        <w:rPr>
          <w:rFonts w:hint="eastAsia" w:ascii="仿宋_GB2312" w:hAnsi="宋体" w:eastAsia="仿宋_GB2312" w:cs="仿宋_GB2312"/>
          <w:b/>
          <w:bCs/>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违法违规事实：</w:t>
      </w:r>
      <w:r>
        <w:rPr>
          <w:rFonts w:hint="eastAsia" w:ascii="仿宋_GB2312" w:hAnsi="仿宋_GB2312" w:eastAsia="仿宋_GB2312" w:cs="仿宋_GB2312"/>
          <w:sz w:val="32"/>
          <w:szCs w:val="32"/>
          <w:lang w:val="en-US" w:eastAsia="zh-CN"/>
        </w:rPr>
        <w:t>《事故调查报告》中指出：</w:t>
      </w:r>
      <w:r>
        <w:rPr>
          <w:rFonts w:hint="eastAsia" w:ascii="Times New Roman" w:hAnsi="Times New Roman" w:eastAsia="仿宋_GB2312" w:cs="Times New Roman"/>
          <w:sz w:val="32"/>
          <w:szCs w:val="32"/>
          <w:lang w:val="en-US" w:eastAsia="zh-CN"/>
        </w:rPr>
        <w:t>海南地通市政工程有限公司</w:t>
      </w:r>
      <w:r>
        <w:rPr>
          <w:rFonts w:hint="default" w:ascii="Times New Roman" w:hAnsi="Times New Roman" w:eastAsia="仿宋_GB2312" w:cs="Times New Roman"/>
          <w:sz w:val="32"/>
          <w:szCs w:val="32"/>
          <w:lang w:val="en-US" w:eastAsia="zh-CN"/>
        </w:rPr>
        <w:t>作为该</w:t>
      </w:r>
      <w:r>
        <w:rPr>
          <w:rFonts w:hint="eastAsia" w:ascii="Times New Roman" w:hAnsi="Times New Roman" w:eastAsia="仿宋_GB2312" w:cs="Times New Roman"/>
          <w:sz w:val="32"/>
          <w:szCs w:val="32"/>
          <w:lang w:val="en-US" w:eastAsia="zh-CN"/>
        </w:rPr>
        <w:t>项目的</w:t>
      </w:r>
      <w:r>
        <w:rPr>
          <w:rFonts w:hint="eastAsia" w:hAnsi="Times New Roman" w:eastAsia="仿宋_GB2312" w:cs="Times New Roman"/>
          <w:sz w:val="32"/>
          <w:szCs w:val="32"/>
          <w:lang w:val="en-US" w:eastAsia="zh-CN"/>
        </w:rPr>
        <w:t>施工</w:t>
      </w:r>
      <w:r>
        <w:rPr>
          <w:rFonts w:hint="default" w:ascii="Times New Roman" w:hAnsi="Times New Roman" w:eastAsia="仿宋_GB2312" w:cs="Times New Roman"/>
          <w:sz w:val="32"/>
          <w:szCs w:val="32"/>
          <w:lang w:val="en-US" w:eastAsia="zh-CN"/>
        </w:rPr>
        <w:t>单位</w:t>
      </w:r>
      <w:r>
        <w:rPr>
          <w:rFonts w:hint="eastAsia" w:hAnsi="Times New Roman" w:eastAsia="仿宋_GB2312" w:cs="Times New Roman"/>
          <w:sz w:val="32"/>
          <w:szCs w:val="32"/>
          <w:lang w:val="en-US" w:eastAsia="zh-CN"/>
        </w:rPr>
        <w:t>，在项目未签订协议就开展施工作业，</w:t>
      </w:r>
      <w:r>
        <w:rPr>
          <w:rFonts w:hint="default" w:ascii="Times New Roman" w:hAnsi="Times New Roman" w:eastAsia="仿宋_GB2312" w:cs="Times New Roman"/>
          <w:sz w:val="32"/>
          <w:szCs w:val="32"/>
          <w:lang w:val="en-US" w:eastAsia="zh-CN"/>
        </w:rPr>
        <w:t>落实安全生产管理责任不到位，</w:t>
      </w:r>
      <w:r>
        <w:rPr>
          <w:rFonts w:hint="eastAsia" w:hAnsi="Times New Roman" w:eastAsia="仿宋_GB2312" w:cs="Times New Roman"/>
          <w:sz w:val="32"/>
          <w:szCs w:val="32"/>
          <w:lang w:val="en-US" w:eastAsia="zh-CN"/>
        </w:rPr>
        <w:t>且负责人存在以个人名义违规转包的行为</w:t>
      </w:r>
      <w:r>
        <w:rPr>
          <w:rFonts w:hint="default" w:ascii="仿宋_GB2312" w:hAnsi="微软雅黑" w:eastAsia="仿宋_GB2312" w:cs="仿宋_GB2312"/>
          <w:i w:val="0"/>
          <w:iCs w:val="0"/>
          <w:caps w:val="0"/>
          <w:color w:val="000000"/>
          <w:spacing w:val="0"/>
          <w:sz w:val="32"/>
          <w:szCs w:val="32"/>
          <w:shd w:val="clear" w:color="auto" w:fill="FFFFFF"/>
        </w:rPr>
        <w:t>。</w:t>
      </w:r>
    </w:p>
    <w:p>
      <w:pPr>
        <w:pStyle w:val="7"/>
        <w:pageBreakBefore w:val="0"/>
        <w:kinsoku/>
        <w:wordWrap/>
        <w:overflowPunct/>
        <w:topLinePunct w:val="0"/>
        <w:autoSpaceDE/>
        <w:autoSpaceDN/>
        <w:bidi w:val="0"/>
        <w:spacing w:line="560" w:lineRule="exact"/>
        <w:ind w:left="0" w:leftChars="0" w:firstLine="643" w:firstLineChars="200"/>
        <w:rPr>
          <w:rFonts w:hint="default" w:ascii="仿宋_GB2312" w:hAnsi="仿宋_GB2312" w:eastAsia="仿宋_GB2312" w:cs="仿宋_GB2312"/>
          <w:b/>
          <w:bCs/>
          <w:sz w:val="32"/>
          <w:szCs w:val="32"/>
          <w:lang w:val="en-US" w:eastAsia="zh-CN"/>
        </w:rPr>
      </w:pPr>
      <w:r>
        <w:rPr>
          <w:rFonts w:hint="eastAsia" w:eastAsia="仿宋_GB2312" w:cs="Times New Roman"/>
          <w:b/>
          <w:bCs/>
          <w:sz w:val="32"/>
          <w:szCs w:val="32"/>
          <w:lang w:val="en-US" w:eastAsia="zh-CN"/>
        </w:rPr>
        <w:t>违法违规条款：</w:t>
      </w:r>
      <w:r>
        <w:rPr>
          <w:rFonts w:hint="eastAsia" w:ascii="仿宋_GB2312" w:hAnsi="仿宋_GB2312" w:eastAsia="仿宋_GB2312" w:cs="仿宋_GB2312"/>
          <w:color w:val="auto"/>
          <w:sz w:val="32"/>
          <w:szCs w:val="32"/>
          <w:lang w:val="en-US" w:eastAsia="zh-CN"/>
        </w:rPr>
        <w:t>违反了《</w:t>
      </w:r>
      <w:r>
        <w:rPr>
          <w:rFonts w:hint="default" w:hAnsi="Times New Roman" w:eastAsia="仿宋_GB2312" w:cs="Times New Roman"/>
          <w:sz w:val="32"/>
          <w:szCs w:val="32"/>
          <w:lang w:val="en-US" w:eastAsia="zh-CN"/>
        </w:rPr>
        <w:t>中华人民共和国安全生产法</w:t>
      </w:r>
      <w:r>
        <w:rPr>
          <w:rFonts w:hint="eastAsia" w:ascii="仿宋_GB2312" w:hAnsi="仿宋_GB2312" w:eastAsia="仿宋_GB2312" w:cs="仿宋_GB2312"/>
          <w:color w:val="auto"/>
          <w:sz w:val="32"/>
          <w:szCs w:val="32"/>
          <w:lang w:val="en-US" w:eastAsia="zh-CN"/>
        </w:rPr>
        <w:t>》第二十条之规定</w:t>
      </w:r>
      <w:r>
        <w:rPr>
          <w:rFonts w:hint="eastAsia" w:ascii="仿宋_GB2312" w:hAnsi="仿宋_GB2312" w:eastAsia="仿宋_GB2312" w:cs="仿宋_GB2312"/>
          <w:sz w:val="32"/>
          <w:szCs w:val="32"/>
          <w:lang w:val="en-US" w:eastAsia="zh-CN"/>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b/>
          <w:bCs/>
          <w:sz w:val="32"/>
          <w:szCs w:val="32"/>
          <w:lang w:val="en-US" w:eastAsia="zh-CN"/>
        </w:rPr>
        <w:t>处理建议：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微软雅黑" w:eastAsia="仿宋_GB2312" w:cs="仿宋_GB2312"/>
          <w:i w:val="0"/>
          <w:iCs w:val="0"/>
          <w:caps w:val="0"/>
          <w:color w:val="000000"/>
          <w:spacing w:val="0"/>
          <w:sz w:val="32"/>
          <w:szCs w:val="32"/>
          <w:shd w:val="clear" w:color="auto" w:fill="FFFFFF"/>
          <w:lang w:val="en-US" w:eastAsia="zh-CN"/>
        </w:rPr>
      </w:pPr>
      <w:r>
        <w:rPr>
          <w:rFonts w:hint="eastAsia" w:ascii="仿宋_GB2312" w:hAnsi="微软雅黑" w:eastAsia="仿宋_GB2312" w:cs="仿宋_GB2312"/>
          <w:i w:val="0"/>
          <w:iCs w:val="0"/>
          <w:caps w:val="0"/>
          <w:color w:val="000000"/>
          <w:spacing w:val="0"/>
          <w:sz w:val="32"/>
          <w:szCs w:val="32"/>
          <w:shd w:val="clear" w:color="auto" w:fill="FFFFFF"/>
          <w:lang w:val="en-US" w:eastAsia="zh-CN"/>
        </w:rPr>
        <w:t>建议由有关行政执法部门依据</w:t>
      </w:r>
      <w:r>
        <w:rPr>
          <w:rFonts w:hint="eastAsia" w:ascii="仿宋_GB2312" w:hAnsi="微软雅黑" w:eastAsia="仿宋_GB2312" w:cs="仿宋_GB2312"/>
          <w:i w:val="0"/>
          <w:iCs w:val="0"/>
          <w:caps w:val="0"/>
          <w:color w:val="000000"/>
          <w:spacing w:val="0"/>
          <w:sz w:val="32"/>
          <w:szCs w:val="32"/>
          <w:shd w:val="clear" w:color="auto" w:fill="FFFFFF"/>
          <w:lang w:eastAsia="zh-CN"/>
        </w:rPr>
        <w:t>《</w:t>
      </w:r>
      <w:r>
        <w:rPr>
          <w:rFonts w:hint="eastAsia" w:ascii="仿宋_GB2312" w:hAnsi="微软雅黑" w:eastAsia="仿宋_GB2312" w:cs="仿宋_GB2312"/>
          <w:i w:val="0"/>
          <w:iCs w:val="0"/>
          <w:caps w:val="0"/>
          <w:color w:val="000000"/>
          <w:spacing w:val="0"/>
          <w:sz w:val="32"/>
          <w:szCs w:val="32"/>
          <w:shd w:val="clear" w:color="auto" w:fill="FFFFFF"/>
          <w:lang w:val="en-US" w:eastAsia="zh-CN"/>
        </w:rPr>
        <w:t>中华人民共和国安全生产法</w:t>
      </w:r>
      <w:r>
        <w:rPr>
          <w:rFonts w:hint="eastAsia" w:ascii="仿宋_GB2312" w:hAnsi="微软雅黑" w:eastAsia="仿宋_GB2312" w:cs="仿宋_GB2312"/>
          <w:i w:val="0"/>
          <w:iCs w:val="0"/>
          <w:caps w:val="0"/>
          <w:color w:val="000000"/>
          <w:spacing w:val="0"/>
          <w:sz w:val="32"/>
          <w:szCs w:val="32"/>
          <w:shd w:val="clear" w:color="auto" w:fill="FFFFFF"/>
          <w:lang w:eastAsia="zh-CN"/>
        </w:rPr>
        <w:t>》</w:t>
      </w:r>
      <w:r>
        <w:rPr>
          <w:rFonts w:hint="default" w:ascii="仿宋_GB2312" w:hAnsi="微软雅黑" w:eastAsia="仿宋_GB2312" w:cs="仿宋_GB2312"/>
          <w:i w:val="0"/>
          <w:iCs w:val="0"/>
          <w:caps w:val="0"/>
          <w:color w:val="000000"/>
          <w:spacing w:val="0"/>
          <w:sz w:val="32"/>
          <w:szCs w:val="32"/>
          <w:shd w:val="clear" w:color="auto" w:fill="FFFFFF"/>
          <w:lang w:val="en-US" w:eastAsia="zh-CN"/>
        </w:rPr>
        <w:t>第一百一十四条</w:t>
      </w:r>
      <w:r>
        <w:rPr>
          <w:rFonts w:hint="eastAsia" w:ascii="仿宋_GB2312" w:hAnsi="微软雅黑" w:eastAsia="仿宋_GB2312" w:cs="仿宋_GB2312"/>
          <w:i w:val="0"/>
          <w:iCs w:val="0"/>
          <w:caps w:val="0"/>
          <w:color w:val="000000"/>
          <w:spacing w:val="0"/>
          <w:sz w:val="32"/>
          <w:szCs w:val="32"/>
          <w:shd w:val="clear" w:color="auto" w:fill="FFFFFF"/>
          <w:lang w:val="en-US" w:eastAsia="zh-CN"/>
        </w:rPr>
        <w:t>第一款之规定，</w:t>
      </w:r>
      <w:r>
        <w:rPr>
          <w:rFonts w:hint="default" w:ascii="仿宋_GB2312" w:hAnsi="微软雅黑" w:eastAsia="仿宋_GB2312" w:cs="仿宋_GB2312"/>
          <w:i w:val="0"/>
          <w:iCs w:val="0"/>
          <w:caps w:val="0"/>
          <w:color w:val="000000"/>
          <w:spacing w:val="0"/>
          <w:sz w:val="32"/>
          <w:szCs w:val="32"/>
          <w:shd w:val="clear" w:color="auto" w:fill="FFFFFF"/>
          <w:lang w:val="en-US" w:eastAsia="zh-CN"/>
        </w:rPr>
        <w:t>除要求其依法承担相应的赔偿等责任外，</w:t>
      </w:r>
      <w:r>
        <w:rPr>
          <w:rFonts w:hint="eastAsia" w:ascii="仿宋_GB2312" w:hAnsi="微软雅黑" w:eastAsia="仿宋_GB2312" w:cs="仿宋_GB2312"/>
          <w:i w:val="0"/>
          <w:iCs w:val="0"/>
          <w:caps w:val="0"/>
          <w:color w:val="000000"/>
          <w:spacing w:val="0"/>
          <w:sz w:val="32"/>
          <w:szCs w:val="32"/>
          <w:shd w:val="clear" w:color="auto" w:fill="FFFFFF"/>
          <w:lang w:val="en-US" w:eastAsia="zh-CN"/>
        </w:rPr>
        <w:t>对其处以三十</w:t>
      </w:r>
      <w:r>
        <w:rPr>
          <w:rFonts w:hint="default" w:ascii="仿宋_GB2312" w:hAnsi="微软雅黑" w:eastAsia="仿宋_GB2312" w:cs="仿宋_GB2312"/>
          <w:i w:val="0"/>
          <w:iCs w:val="0"/>
          <w:caps w:val="0"/>
          <w:color w:val="000000"/>
          <w:spacing w:val="0"/>
          <w:sz w:val="32"/>
          <w:szCs w:val="32"/>
          <w:shd w:val="clear" w:color="auto" w:fill="FFFFFF"/>
          <w:lang w:val="en-US" w:eastAsia="zh-CN"/>
        </w:rPr>
        <w:t>万元以上</w:t>
      </w:r>
      <w:r>
        <w:rPr>
          <w:rFonts w:hint="eastAsia" w:ascii="仿宋_GB2312" w:hAnsi="微软雅黑" w:eastAsia="仿宋_GB2312" w:cs="仿宋_GB2312"/>
          <w:i w:val="0"/>
          <w:iCs w:val="0"/>
          <w:caps w:val="0"/>
          <w:color w:val="000000"/>
          <w:spacing w:val="0"/>
          <w:sz w:val="32"/>
          <w:szCs w:val="32"/>
          <w:shd w:val="clear" w:color="auto" w:fill="FFFFFF"/>
          <w:lang w:val="en-US" w:eastAsia="zh-CN"/>
        </w:rPr>
        <w:t>一</w:t>
      </w:r>
      <w:r>
        <w:rPr>
          <w:rFonts w:hint="default" w:ascii="仿宋_GB2312" w:hAnsi="微软雅黑" w:eastAsia="仿宋_GB2312" w:cs="仿宋_GB2312"/>
          <w:i w:val="0"/>
          <w:iCs w:val="0"/>
          <w:caps w:val="0"/>
          <w:color w:val="000000"/>
          <w:spacing w:val="0"/>
          <w:sz w:val="32"/>
          <w:szCs w:val="32"/>
          <w:shd w:val="clear" w:color="auto" w:fill="FFFFFF"/>
          <w:lang w:val="en-US" w:eastAsia="zh-CN"/>
        </w:rPr>
        <w:t>百万元以下罚款。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val="en-US" w:eastAsia="zh-CN"/>
        </w:rPr>
      </w:pPr>
      <w:bookmarkStart w:id="30" w:name="_Toc8493"/>
      <w:r>
        <w:rPr>
          <w:rFonts w:hint="eastAsia" w:ascii="黑体" w:hAnsi="黑体" w:eastAsia="黑体" w:cs="黑体"/>
          <w:sz w:val="32"/>
          <w:szCs w:val="32"/>
          <w:lang w:val="en-US" w:eastAsia="zh-CN"/>
        </w:rPr>
        <w:t>五、事故防范和整改建议落实情况调查</w:t>
      </w:r>
      <w:bookmarkEnd w:id="3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按照区政府批复的《</w:t>
      </w:r>
      <w:r>
        <w:rPr>
          <w:rFonts w:hint="eastAsia" w:ascii="仿宋_GB2312" w:hAnsi="仿宋_GB2312" w:eastAsia="仿宋_GB2312" w:cs="仿宋_GB2312"/>
          <w:sz w:val="32"/>
          <w:szCs w:val="32"/>
          <w:lang w:val="en-US" w:eastAsia="zh-CN"/>
        </w:rPr>
        <w:t>三亚市海棠区林旺国道路段通信缆线迁改项目“12·14”机械亡人事故</w:t>
      </w:r>
      <w:r>
        <w:rPr>
          <w:rFonts w:hint="default" w:ascii="仿宋_GB2312" w:hAnsi="宋体" w:eastAsia="仿宋_GB2312" w:cs="仿宋_GB2312"/>
          <w:sz w:val="32"/>
          <w:szCs w:val="32"/>
          <w:lang w:val="en-US" w:eastAsia="zh-CN"/>
        </w:rPr>
        <w:t>调查报告</w:t>
      </w:r>
      <w:r>
        <w:rPr>
          <w:rFonts w:hint="eastAsia" w:ascii="Times New Roman" w:hAnsi="Times New Roman" w:eastAsia="仿宋_GB2312" w:cs="Times New Roman"/>
          <w:sz w:val="32"/>
          <w:szCs w:val="32"/>
          <w:lang w:val="en-US" w:eastAsia="zh-CN"/>
        </w:rPr>
        <w:t>》，根据《生产安全事故报告和调查处理条例》的有关规定要求，事故相关</w:t>
      </w:r>
      <w:r>
        <w:rPr>
          <w:rFonts w:hint="eastAsia" w:eastAsia="仿宋_GB2312" w:cs="Times New Roman"/>
          <w:sz w:val="32"/>
          <w:szCs w:val="32"/>
          <w:lang w:val="en-US" w:eastAsia="zh-CN"/>
        </w:rPr>
        <w:t>部门及</w:t>
      </w:r>
      <w:r>
        <w:rPr>
          <w:rFonts w:hint="eastAsia" w:ascii="Times New Roman" w:hAnsi="Times New Roman" w:eastAsia="仿宋_GB2312" w:cs="Times New Roman"/>
          <w:sz w:val="32"/>
          <w:szCs w:val="32"/>
          <w:lang w:val="en-US" w:eastAsia="zh-CN"/>
        </w:rPr>
        <w:t>单位认真落实了事故报告提出的整改措施建议。</w:t>
      </w:r>
    </w:p>
    <w:p>
      <w:pPr>
        <w:pStyle w:val="6"/>
        <w:keepNext w:val="0"/>
        <w:keepLines w:val="0"/>
        <w:pageBreakBefore w:val="0"/>
        <w:numPr>
          <w:ilvl w:val="0"/>
          <w:numId w:val="1"/>
        </w:numPr>
        <w:kinsoku/>
        <w:wordWrap/>
        <w:overflowPunct/>
        <w:topLinePunct w:val="0"/>
        <w:bidi w:val="0"/>
        <w:adjustRightInd/>
        <w:snapToGrid/>
        <w:spacing w:line="560" w:lineRule="exact"/>
        <w:ind w:right="0" w:rightChars="0" w:firstLine="643" w:firstLineChars="200"/>
        <w:jc w:val="both"/>
        <w:textAlignment w:val="auto"/>
        <w:rPr>
          <w:rFonts w:hint="default" w:ascii="仿宋_GB2312" w:hAnsi="微软雅黑"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b/>
          <w:bCs/>
          <w:sz w:val="32"/>
          <w:szCs w:val="32"/>
          <w:lang w:val="en-US" w:eastAsia="zh-CN"/>
        </w:rPr>
        <w:t>事故防范和整改建议：</w:t>
      </w:r>
      <w:r>
        <w:rPr>
          <w:rFonts w:hint="eastAsia" w:ascii="仿宋_GB2312" w:hAnsi="仿宋_GB2312" w:eastAsia="仿宋_GB2312" w:cs="仿宋_GB2312"/>
          <w:sz w:val="32"/>
          <w:szCs w:val="32"/>
          <w:lang w:val="en-US" w:eastAsia="zh-CN"/>
        </w:rPr>
        <w:t>《事故调查报告》指出：</w:t>
      </w:r>
      <w:r>
        <w:rPr>
          <w:rFonts w:hint="eastAsia" w:ascii="Times New Roman" w:hAnsi="Times New Roman" w:eastAsia="仿宋" w:cs="Times New Roman"/>
          <w:color w:val="000000"/>
          <w:kern w:val="2"/>
          <w:sz w:val="32"/>
          <w:szCs w:val="32"/>
          <w:lang w:val="en-US" w:eastAsia="zh-CN" w:bidi="ar-SA"/>
        </w:rPr>
        <w:t>中国有线电视网络有限公司三亚分公司</w:t>
      </w:r>
      <w:r>
        <w:rPr>
          <w:rFonts w:hint="default" w:ascii="Times New Roman" w:hAnsi="Times New Roman" w:eastAsia="仿宋_GB2312" w:cs="Times New Roman"/>
          <w:sz w:val="32"/>
          <w:szCs w:val="32"/>
          <w:lang w:val="en-US" w:eastAsia="zh-CN"/>
        </w:rPr>
        <w:t>应</w:t>
      </w:r>
      <w:r>
        <w:rPr>
          <w:rFonts w:hint="default" w:ascii="Times New Roman" w:hAnsi="Times New Roman" w:eastAsia="仿宋" w:cs="Times New Roman"/>
          <w:color w:val="000000"/>
          <w:kern w:val="2"/>
          <w:sz w:val="32"/>
          <w:szCs w:val="32"/>
          <w:lang w:val="en-US" w:eastAsia="zh-CN" w:bidi="ar-SA"/>
        </w:rPr>
        <w:t>深刻吸取本次事故教训，举一反三，牢固树立科学发展、安全发展理念，高度重视安全生产工作，认真履行建设项目监管职责，严格督促相关企业落实安全生产主体责任，检查和督促落实安全生产隐患排查和治理制度，形成项目建设、施工、监理单位安全生产工作齐抓共管的有效管理机制，确保建设项目全过程安全生产。</w:t>
      </w:r>
      <w:r>
        <w:rPr>
          <w:rFonts w:hint="eastAsia" w:ascii="Times New Roman" w:hAnsi="Times New Roman" w:eastAsia="仿宋_GB2312" w:cs="Times New Roman"/>
          <w:sz w:val="32"/>
          <w:szCs w:val="32"/>
          <w:lang w:val="en-US" w:eastAsia="zh-CN"/>
        </w:rPr>
        <w:t>海南地通市政工程有限公司</w:t>
      </w:r>
      <w:r>
        <w:rPr>
          <w:rFonts w:hint="default" w:ascii="Times New Roman" w:hAnsi="Times New Roman" w:eastAsia="仿宋_GB2312" w:cs="Times New Roman"/>
          <w:sz w:val="32"/>
          <w:szCs w:val="32"/>
          <w:lang w:val="en-US" w:eastAsia="zh-CN"/>
        </w:rPr>
        <w:t>要从这起事故中吸取深刻教训，要强化公司内部管理，进一步建立健全公司各项规章制度和操作规程，要加大对作业人员的安全培训，强化作业人员安全意识，督促作业人员严格按操作规程要求开展作业，及时发现违规及时制止。</w:t>
      </w:r>
    </w:p>
    <w:p>
      <w:pPr>
        <w:pageBreakBefore w:val="0"/>
        <w:kinsoku/>
        <w:wordWrap/>
        <w:overflowPunct/>
        <w:topLinePunct w:val="0"/>
        <w:autoSpaceDE/>
        <w:autoSpaceDN/>
        <w:bidi w:val="0"/>
        <w:adjustRightInd/>
        <w:snapToGrid/>
        <w:spacing w:line="560" w:lineRule="exact"/>
        <w:ind w:firstLine="601"/>
        <w:textAlignment w:val="auto"/>
        <w:rPr>
          <w:rFonts w:hint="default" w:ascii="仿宋_GB2312" w:hAnsi="仿宋_GB2312" w:eastAsia="仿宋_GB2312" w:cs="仿宋_GB2312"/>
          <w:b w:val="0"/>
          <w:kern w:val="2"/>
          <w:sz w:val="32"/>
          <w:szCs w:val="32"/>
          <w:lang w:val="en-US" w:eastAsia="zh-CN" w:bidi="ar-SA"/>
        </w:rPr>
      </w:pPr>
      <w:r>
        <w:rPr>
          <w:rFonts w:hint="eastAsia" w:ascii="Times New Roman" w:hAnsi="Times New Roman" w:eastAsia="仿宋_GB2312" w:cs="Times New Roman"/>
          <w:b/>
          <w:bCs/>
          <w:sz w:val="32"/>
          <w:szCs w:val="32"/>
          <w:lang w:val="en-US" w:eastAsia="zh-CN"/>
        </w:rPr>
        <w:t>落实情况：</w:t>
      </w:r>
      <w:r>
        <w:rPr>
          <w:rFonts w:hint="eastAsia" w:ascii="Times New Roman" w:hAnsi="Times New Roman" w:eastAsia="仿宋_GB2312" w:cs="Times New Roman"/>
          <w:sz w:val="32"/>
          <w:szCs w:val="32"/>
          <w:lang w:val="en-US" w:eastAsia="zh-CN"/>
        </w:rPr>
        <w:t>经评估工作小组调查，事故发生后，</w:t>
      </w:r>
      <w:r>
        <w:rPr>
          <w:rFonts w:hint="eastAsia" w:ascii="Times New Roman" w:hAnsi="Times New Roman" w:eastAsia="仿宋" w:cs="Times New Roman"/>
          <w:color w:val="000000"/>
          <w:kern w:val="2"/>
          <w:sz w:val="32"/>
          <w:szCs w:val="32"/>
          <w:lang w:val="en-US" w:eastAsia="zh-CN" w:bidi="ar-SA"/>
        </w:rPr>
        <w:t>中国有线电视网络有限公司三亚分公司</w:t>
      </w:r>
      <w:r>
        <w:rPr>
          <w:rFonts w:hint="default" w:ascii="Times New Roman" w:hAnsi="Times New Roman" w:eastAsia="仿宋" w:cs="Times New Roman"/>
          <w:color w:val="000000"/>
          <w:kern w:val="2"/>
          <w:sz w:val="32"/>
          <w:szCs w:val="32"/>
          <w:lang w:val="en-US" w:eastAsia="zh-CN" w:bidi="ar-SA"/>
        </w:rPr>
        <w:t>深刻吸取本次事故教训，举一反三，牢固树立科学发展、安全发展理念，高度重视安全生产工作，认真履行建设项目监管职责，严格督促相关企业落实安全生产主体责任，检查和督促落实安全生产隐患排查和治理制度，形成项目建设、施工、监理单位安全生产工作齐抓共管的有效管理机制，确保建设项目全过程安全生产。</w:t>
      </w:r>
      <w:r>
        <w:rPr>
          <w:rFonts w:hint="eastAsia" w:ascii="Times New Roman" w:hAnsi="Times New Roman" w:eastAsia="仿宋_GB2312" w:cs="Times New Roman"/>
          <w:sz w:val="32"/>
          <w:szCs w:val="32"/>
          <w:lang w:val="en-US" w:eastAsia="zh-CN"/>
        </w:rPr>
        <w:t>海南地通市政工程有限公司</w:t>
      </w:r>
      <w:r>
        <w:rPr>
          <w:rFonts w:hint="default" w:ascii="Times New Roman" w:hAnsi="Times New Roman" w:eastAsia="仿宋_GB2312" w:cs="Times New Roman"/>
          <w:sz w:val="32"/>
          <w:szCs w:val="32"/>
          <w:lang w:val="en-US" w:eastAsia="zh-CN"/>
        </w:rPr>
        <w:t>从这起事故中吸取</w:t>
      </w:r>
      <w:r>
        <w:rPr>
          <w:rFonts w:hint="eastAsia"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lang w:val="en-US" w:eastAsia="zh-CN"/>
        </w:rPr>
        <w:t>深刻教训，强化公司内部管理，进一步建立健全公司各项规章制度和操作规程，加大对作业人员的安全培训，强化作业人员安全意识，督促作业人员严格按操作规程要求开展作业，及时发现违规及时制止。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val="en-US" w:eastAsia="zh-CN"/>
        </w:rPr>
      </w:pPr>
      <w:bookmarkStart w:id="31" w:name="_Toc32172"/>
      <w:bookmarkStart w:id="32" w:name="_Toc28136"/>
      <w:r>
        <w:rPr>
          <w:rFonts w:hint="eastAsia" w:ascii="黑体" w:hAnsi="黑体" w:eastAsia="黑体" w:cs="黑体"/>
          <w:sz w:val="32"/>
          <w:szCs w:val="32"/>
          <w:lang w:val="en-US" w:eastAsia="zh-CN"/>
        </w:rPr>
        <w:t>六、</w:t>
      </w:r>
      <w:bookmarkStart w:id="33" w:name="_Toc17429"/>
      <w:bookmarkEnd w:id="31"/>
      <w:bookmarkEnd w:id="32"/>
      <w:r>
        <w:rPr>
          <w:rFonts w:hint="eastAsia" w:ascii="黑体" w:hAnsi="黑体" w:eastAsia="黑体" w:cs="黑体"/>
          <w:sz w:val="32"/>
          <w:szCs w:val="32"/>
          <w:lang w:val="en-US" w:eastAsia="zh-CN"/>
        </w:rPr>
        <w:t>总体评估意见</w:t>
      </w:r>
      <w:bookmarkEnd w:id="33"/>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事故评估组认真核查了本起事故处理建议和整改措施落实情况</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相关文件资料，有关单位及部门能认真吸取此次事故教训，较好</w:t>
      </w:r>
      <w:r>
        <w:rPr>
          <w:rFonts w:hint="eastAsia" w:ascii="仿宋_GB2312" w:hAnsi="仿宋_GB2312" w:eastAsia="仿宋_GB2312" w:cs="仿宋_GB2312"/>
          <w:sz w:val="32"/>
          <w:szCs w:val="32"/>
          <w:lang w:val="en-US" w:eastAsia="zh-CN"/>
        </w:rPr>
        <w:t>地</w:t>
      </w:r>
      <w:r>
        <w:rPr>
          <w:rFonts w:hint="eastAsia" w:ascii="仿宋_GB2312" w:hAnsi="仿宋_GB2312" w:eastAsia="仿宋_GB2312" w:cs="仿宋_GB2312"/>
          <w:sz w:val="32"/>
          <w:szCs w:val="32"/>
        </w:rPr>
        <w:t>落实了事故调查报告提出的事故防范措施。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560" w:lineRule="exact"/>
        <w:ind w:left="4800" w:leftChars="0" w:hanging="4800" w:hangingChars="15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三亚市海棠区</w:t>
      </w:r>
      <w:r>
        <w:rPr>
          <w:rFonts w:hint="eastAsia" w:ascii="仿宋_GB2312" w:hAnsi="仿宋_GB2312" w:eastAsia="仿宋_GB2312" w:cs="仿宋_GB2312"/>
          <w:sz w:val="32"/>
          <w:szCs w:val="32"/>
          <w:lang w:eastAsia="zh-CN"/>
        </w:rPr>
        <w:t>安全生产委员会办公室</w:t>
      </w:r>
    </w:p>
    <w:p>
      <w:pPr>
        <w:pageBreakBefore w:val="0"/>
        <w:kinsoku/>
        <w:wordWrap/>
        <w:overflowPunct/>
        <w:topLinePunct w:val="0"/>
        <w:autoSpaceDE/>
        <w:autoSpaceDN/>
        <w:bidi w:val="0"/>
        <w:spacing w:line="560" w:lineRule="exact"/>
        <w:jc w:val="left"/>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宋体" w:eastAsia="仿宋_GB2312" w:cs="仿宋_GB2312"/>
          <w:b w:val="0"/>
          <w:bCs w:val="0"/>
          <w:color w:val="auto"/>
          <w:sz w:val="32"/>
          <w:szCs w:val="32"/>
          <w:lang w:val="en-US" w:eastAsia="zh-CN"/>
        </w:rPr>
        <w:t>2023年12</w:t>
      </w:r>
      <w:r>
        <w:rPr>
          <w:rFonts w:hint="default" w:ascii="仿宋_GB2312" w:hAnsi="宋体" w:eastAsia="仿宋_GB2312" w:cs="仿宋_GB2312"/>
          <w:b w:val="0"/>
          <w:bCs w:val="0"/>
          <w:color w:val="auto"/>
          <w:sz w:val="32"/>
          <w:szCs w:val="32"/>
        </w:rPr>
        <w:t>月</w:t>
      </w:r>
      <w:r>
        <w:rPr>
          <w:rFonts w:hint="eastAsia" w:ascii="仿宋_GB2312" w:hAnsi="宋体" w:eastAsia="仿宋_GB2312" w:cs="仿宋_GB2312"/>
          <w:b w:val="0"/>
          <w:bCs w:val="0"/>
          <w:color w:val="auto"/>
          <w:sz w:val="32"/>
          <w:szCs w:val="32"/>
          <w:lang w:val="en-US" w:eastAsia="zh-CN"/>
        </w:rPr>
        <w:t>29</w:t>
      </w:r>
      <w:bookmarkStart w:id="34" w:name="_GoBack"/>
      <w:bookmarkEnd w:id="34"/>
      <w:r>
        <w:rPr>
          <w:rFonts w:hint="default" w:ascii="仿宋_GB2312" w:hAnsi="宋体" w:eastAsia="仿宋_GB2312" w:cs="仿宋_GB2312"/>
          <w:b w:val="0"/>
          <w:bCs w:val="0"/>
          <w:color w:val="auto"/>
          <w:sz w:val="32"/>
          <w:szCs w:val="32"/>
        </w:rPr>
        <w:t>日</w:t>
      </w:r>
    </w:p>
    <w:sectPr>
      <w:footerReference r:id="rId4" w:type="default"/>
      <w:pgSz w:w="11906" w:h="16838"/>
      <w:pgMar w:top="2098" w:right="1474" w:bottom="1984" w:left="1587" w:header="851" w:footer="1134" w:gutter="0"/>
      <w:pgNumType w:fmt="decimal" w:start="1"/>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321B447-0797-4187-9690-B363D154600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embedRegular r:id="rId2" w:fontKey="{09E06EFD-EE53-4BA5-844B-136F6EB7313A}"/>
  </w:font>
  <w:font w:name="仿宋">
    <w:panose1 w:val="02010609060101010101"/>
    <w:charset w:val="86"/>
    <w:family w:val="auto"/>
    <w:pitch w:val="default"/>
    <w:sig w:usb0="800002BF" w:usb1="38CF7CFA" w:usb2="00000016" w:usb3="00000000" w:csb0="00040001" w:csb1="00000000"/>
    <w:embedRegular r:id="rId3" w:fontKey="{44DB6AD5-4B05-43AD-8B7C-3547E5AED590}"/>
  </w:font>
  <w:font w:name="Cambria Math">
    <w:panose1 w:val="02040503050406030204"/>
    <w:charset w:val="00"/>
    <w:family w:val="modern"/>
    <w:pitch w:val="default"/>
    <w:sig w:usb0="E00002FF" w:usb1="420024FF" w:usb2="00000000" w:usb3="00000000" w:csb0="2000019F" w:csb1="00000000"/>
    <w:embedRegular r:id="rId4" w:fontKey="{BB375924-A955-44A1-AB82-A98A7C1A8EA6}"/>
  </w:font>
  <w:font w:name="方正小标宋简体">
    <w:panose1 w:val="03000509000000000000"/>
    <w:charset w:val="86"/>
    <w:family w:val="auto"/>
    <w:pitch w:val="default"/>
    <w:sig w:usb0="00000001" w:usb1="080E0000" w:usb2="00000000" w:usb3="00000000" w:csb0="00040000" w:csb1="00000000"/>
    <w:embedRegular r:id="rId5" w:fontKey="{2138250E-D6ED-4FB3-BB96-AEA31268B3CF}"/>
  </w:font>
  <w:font w:name="仿宋_GB2312">
    <w:panose1 w:val="02010609030101010101"/>
    <w:charset w:val="86"/>
    <w:family w:val="swiss"/>
    <w:pitch w:val="default"/>
    <w:sig w:usb0="00000000" w:usb1="00000000" w:usb2="00000000" w:usb3="00000000" w:csb0="00000000" w:csb1="00000000"/>
    <w:embedRegular r:id="rId6" w:fontKey="{D6043188-F8D9-446B-A045-AADD89AEC315}"/>
  </w:font>
  <w:font w:name="楷体_GB2312">
    <w:panose1 w:val="02010609030101010101"/>
    <w:charset w:val="86"/>
    <w:family w:val="auto"/>
    <w:pitch w:val="default"/>
    <w:sig w:usb0="00000000" w:usb1="00000000" w:usb2="00000000" w:usb3="00000000" w:csb0="00000000" w:csb1="00000000"/>
    <w:embedRegular r:id="rId7" w:fontKey="{7D75D6E7-AC35-4CC4-B632-92B231B8364C}"/>
  </w:font>
  <w:font w:name="楷体">
    <w:panose1 w:val="02010609060101010101"/>
    <w:charset w:val="86"/>
    <w:family w:val="auto"/>
    <w:pitch w:val="default"/>
    <w:sig w:usb0="800002BF" w:usb1="38CF7CFA" w:usb2="00000016" w:usb3="00000000" w:csb0="00040001" w:csb1="00000000"/>
    <w:embedRegular r:id="rId8" w:fontKey="{8CDEFC21-792E-4B05-8072-90B25F93A4EB}"/>
  </w:font>
  <w:font w:name="Arial">
    <w:panose1 w:val="020B0604020202020204"/>
    <w:charset w:val="00"/>
    <w:family w:val="auto"/>
    <w:pitch w:val="default"/>
    <w:sig w:usb0="E0002AFF" w:usb1="C0007843" w:usb2="00000009" w:usb3="00000000" w:csb0="400001FF" w:csb1="FFFF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222831049">
    <w:nsid w:val="847DB5C9"/>
    <w:multiLevelType w:val="singleLevel"/>
    <w:tmpl w:val="847DB5C9"/>
    <w:lvl w:ilvl="0" w:tentative="1">
      <w:start w:val="1"/>
      <w:numFmt w:val="chineseCounting"/>
      <w:suff w:val="nothing"/>
      <w:lvlText w:val="（%1）"/>
      <w:lvlJc w:val="left"/>
      <w:rPr>
        <w:rFonts w:hint="eastAsia"/>
      </w:rPr>
    </w:lvl>
  </w:abstractNum>
  <w:num w:numId="1">
    <w:abstractNumId w:val="22228310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3MzQ3NmFlMWRlNWU5NmQ4Y2ZiYThkMzQ2YjRjYWYifQ=="/>
  </w:docVars>
  <w:rsids>
    <w:rsidRoot w:val="00000000"/>
    <w:rsid w:val="00241F11"/>
    <w:rsid w:val="00423C6D"/>
    <w:rsid w:val="01341807"/>
    <w:rsid w:val="01BD17FD"/>
    <w:rsid w:val="020220CB"/>
    <w:rsid w:val="02355C85"/>
    <w:rsid w:val="02D64A61"/>
    <w:rsid w:val="03397263"/>
    <w:rsid w:val="033B6E7D"/>
    <w:rsid w:val="044464F4"/>
    <w:rsid w:val="05C90894"/>
    <w:rsid w:val="0609042C"/>
    <w:rsid w:val="061924BA"/>
    <w:rsid w:val="063B3638"/>
    <w:rsid w:val="063F67CE"/>
    <w:rsid w:val="06504EDF"/>
    <w:rsid w:val="069A3EBB"/>
    <w:rsid w:val="06E201E0"/>
    <w:rsid w:val="076D5634"/>
    <w:rsid w:val="077A36B1"/>
    <w:rsid w:val="07C17B6D"/>
    <w:rsid w:val="082779D0"/>
    <w:rsid w:val="08EC7C32"/>
    <w:rsid w:val="09036B8C"/>
    <w:rsid w:val="09224DB4"/>
    <w:rsid w:val="09523BB6"/>
    <w:rsid w:val="09864BCA"/>
    <w:rsid w:val="0994574F"/>
    <w:rsid w:val="09F54EC3"/>
    <w:rsid w:val="0A3B7763"/>
    <w:rsid w:val="0A7B2255"/>
    <w:rsid w:val="0B886BAA"/>
    <w:rsid w:val="0CC003F3"/>
    <w:rsid w:val="0D890257"/>
    <w:rsid w:val="0E386E38"/>
    <w:rsid w:val="0E4A266A"/>
    <w:rsid w:val="0F492792"/>
    <w:rsid w:val="0F8676D2"/>
    <w:rsid w:val="101D355F"/>
    <w:rsid w:val="106F63B8"/>
    <w:rsid w:val="10C20A51"/>
    <w:rsid w:val="113413B0"/>
    <w:rsid w:val="12F1229B"/>
    <w:rsid w:val="13315BA7"/>
    <w:rsid w:val="135950FD"/>
    <w:rsid w:val="13855B0D"/>
    <w:rsid w:val="13EE5846"/>
    <w:rsid w:val="156A390E"/>
    <w:rsid w:val="1615355E"/>
    <w:rsid w:val="16FD0BFE"/>
    <w:rsid w:val="17045380"/>
    <w:rsid w:val="179C380B"/>
    <w:rsid w:val="17C072F8"/>
    <w:rsid w:val="17F61E06"/>
    <w:rsid w:val="194903EC"/>
    <w:rsid w:val="19BD31DA"/>
    <w:rsid w:val="19E05A09"/>
    <w:rsid w:val="1A355F5C"/>
    <w:rsid w:val="1A9A604F"/>
    <w:rsid w:val="1AE40D6B"/>
    <w:rsid w:val="1B682381"/>
    <w:rsid w:val="1BFB31F6"/>
    <w:rsid w:val="1D1B4B41"/>
    <w:rsid w:val="1D7F2D11"/>
    <w:rsid w:val="1DD50530"/>
    <w:rsid w:val="1E03530F"/>
    <w:rsid w:val="1F2078F1"/>
    <w:rsid w:val="1F6149D3"/>
    <w:rsid w:val="1F9C52BC"/>
    <w:rsid w:val="20684B9E"/>
    <w:rsid w:val="209459C7"/>
    <w:rsid w:val="22CF5546"/>
    <w:rsid w:val="243D4ED1"/>
    <w:rsid w:val="243F6497"/>
    <w:rsid w:val="256E4A38"/>
    <w:rsid w:val="27337CE7"/>
    <w:rsid w:val="27A80D9F"/>
    <w:rsid w:val="28C4605E"/>
    <w:rsid w:val="2A00655D"/>
    <w:rsid w:val="2A6F54DA"/>
    <w:rsid w:val="2A862D06"/>
    <w:rsid w:val="2A905451"/>
    <w:rsid w:val="2AA915E9"/>
    <w:rsid w:val="2AB61FD6"/>
    <w:rsid w:val="2AD92954"/>
    <w:rsid w:val="2AFE6F2D"/>
    <w:rsid w:val="2B464BEB"/>
    <w:rsid w:val="2B4E031E"/>
    <w:rsid w:val="2B5E72FD"/>
    <w:rsid w:val="2BE07D12"/>
    <w:rsid w:val="2C3D68C4"/>
    <w:rsid w:val="2CFC6DCE"/>
    <w:rsid w:val="2DAF7046"/>
    <w:rsid w:val="2E4B4E46"/>
    <w:rsid w:val="2E644890"/>
    <w:rsid w:val="2FA33530"/>
    <w:rsid w:val="304011BA"/>
    <w:rsid w:val="308B46F0"/>
    <w:rsid w:val="30AB4D93"/>
    <w:rsid w:val="314B0324"/>
    <w:rsid w:val="31864691"/>
    <w:rsid w:val="318A6971"/>
    <w:rsid w:val="31A17F44"/>
    <w:rsid w:val="31C52712"/>
    <w:rsid w:val="349A75F8"/>
    <w:rsid w:val="34BF2E0B"/>
    <w:rsid w:val="370D2F7A"/>
    <w:rsid w:val="375975D7"/>
    <w:rsid w:val="38264224"/>
    <w:rsid w:val="384A684A"/>
    <w:rsid w:val="38691D09"/>
    <w:rsid w:val="392B10FC"/>
    <w:rsid w:val="3994007E"/>
    <w:rsid w:val="3AB804D4"/>
    <w:rsid w:val="3B53405D"/>
    <w:rsid w:val="3B935024"/>
    <w:rsid w:val="3C836BC3"/>
    <w:rsid w:val="3CDD7B2C"/>
    <w:rsid w:val="3D4F4CF8"/>
    <w:rsid w:val="3D843666"/>
    <w:rsid w:val="3DD60B28"/>
    <w:rsid w:val="3E810EE1"/>
    <w:rsid w:val="3FCB338F"/>
    <w:rsid w:val="401C39DE"/>
    <w:rsid w:val="40B3559D"/>
    <w:rsid w:val="41214BFD"/>
    <w:rsid w:val="41CC4B69"/>
    <w:rsid w:val="425C413F"/>
    <w:rsid w:val="44240665"/>
    <w:rsid w:val="448B259E"/>
    <w:rsid w:val="45803A95"/>
    <w:rsid w:val="45FF48E2"/>
    <w:rsid w:val="46AE0CE1"/>
    <w:rsid w:val="46B430F9"/>
    <w:rsid w:val="48027536"/>
    <w:rsid w:val="480C76ED"/>
    <w:rsid w:val="48F86243"/>
    <w:rsid w:val="492E7C32"/>
    <w:rsid w:val="4A01009A"/>
    <w:rsid w:val="4A1452FF"/>
    <w:rsid w:val="4B026FF0"/>
    <w:rsid w:val="4B35546A"/>
    <w:rsid w:val="4B88334E"/>
    <w:rsid w:val="4BD27749"/>
    <w:rsid w:val="4BE40D01"/>
    <w:rsid w:val="4C4377E0"/>
    <w:rsid w:val="4C940979"/>
    <w:rsid w:val="4E453CD9"/>
    <w:rsid w:val="4E9823FF"/>
    <w:rsid w:val="50D75ECD"/>
    <w:rsid w:val="50D901C7"/>
    <w:rsid w:val="516E0BBA"/>
    <w:rsid w:val="52716B96"/>
    <w:rsid w:val="531C6FD2"/>
    <w:rsid w:val="53455A98"/>
    <w:rsid w:val="54534C76"/>
    <w:rsid w:val="54ED6E78"/>
    <w:rsid w:val="55432327"/>
    <w:rsid w:val="55BD2D48"/>
    <w:rsid w:val="56E20573"/>
    <w:rsid w:val="586A1D26"/>
    <w:rsid w:val="58C61407"/>
    <w:rsid w:val="590E1F88"/>
    <w:rsid w:val="5C9748B0"/>
    <w:rsid w:val="5D402163"/>
    <w:rsid w:val="5D4E1EA4"/>
    <w:rsid w:val="5D5C103F"/>
    <w:rsid w:val="5D7C49E0"/>
    <w:rsid w:val="5DDB01B6"/>
    <w:rsid w:val="5DDD65A9"/>
    <w:rsid w:val="5F037C36"/>
    <w:rsid w:val="603A63E4"/>
    <w:rsid w:val="61196693"/>
    <w:rsid w:val="61333E65"/>
    <w:rsid w:val="61B12A61"/>
    <w:rsid w:val="62E85C7D"/>
    <w:rsid w:val="637F3CAB"/>
    <w:rsid w:val="63873E85"/>
    <w:rsid w:val="63B902E6"/>
    <w:rsid w:val="63CB55DB"/>
    <w:rsid w:val="65067706"/>
    <w:rsid w:val="65506B62"/>
    <w:rsid w:val="656767D3"/>
    <w:rsid w:val="65777A1F"/>
    <w:rsid w:val="66432D9C"/>
    <w:rsid w:val="66AA4BC9"/>
    <w:rsid w:val="66B351BD"/>
    <w:rsid w:val="66FF3BBB"/>
    <w:rsid w:val="680453DF"/>
    <w:rsid w:val="68070E71"/>
    <w:rsid w:val="68CB0E27"/>
    <w:rsid w:val="69923E7A"/>
    <w:rsid w:val="69AD0D0B"/>
    <w:rsid w:val="6B9876E6"/>
    <w:rsid w:val="6C27117C"/>
    <w:rsid w:val="6D61266F"/>
    <w:rsid w:val="6DCA26EA"/>
    <w:rsid w:val="6EB02F99"/>
    <w:rsid w:val="6EBC7B8F"/>
    <w:rsid w:val="6F4B1159"/>
    <w:rsid w:val="6F563B40"/>
    <w:rsid w:val="71634F44"/>
    <w:rsid w:val="717B5AE0"/>
    <w:rsid w:val="71B263C8"/>
    <w:rsid w:val="734F0FD2"/>
    <w:rsid w:val="73B51323"/>
    <w:rsid w:val="73D87A15"/>
    <w:rsid w:val="757F1917"/>
    <w:rsid w:val="760634F6"/>
    <w:rsid w:val="76756284"/>
    <w:rsid w:val="7750356B"/>
    <w:rsid w:val="77AB55D5"/>
    <w:rsid w:val="78237E86"/>
    <w:rsid w:val="789E0306"/>
    <w:rsid w:val="792F7AF9"/>
    <w:rsid w:val="797D7F1B"/>
    <w:rsid w:val="7ABC51E6"/>
    <w:rsid w:val="7B0408F4"/>
    <w:rsid w:val="7BED75DA"/>
    <w:rsid w:val="7C030BAC"/>
    <w:rsid w:val="7C381A30"/>
    <w:rsid w:val="7E39404C"/>
    <w:rsid w:val="7ED172C0"/>
    <w:rsid w:val="7EDE145C"/>
    <w:rsid w:val="7F233313"/>
    <w:rsid w:val="7F29611F"/>
    <w:rsid w:val="7FEC70D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szCs w:val="44"/>
    </w:rPr>
  </w:style>
  <w:style w:type="paragraph" w:styleId="4">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3">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6">
    <w:name w:val="Salutation"/>
    <w:basedOn w:val="1"/>
    <w:next w:val="1"/>
    <w:qFormat/>
    <w:uiPriority w:val="0"/>
    <w:rPr>
      <w:rFonts w:ascii="Times New Roman" w:hAnsi="Times New Roman"/>
      <w:szCs w:val="24"/>
    </w:rPr>
  </w:style>
  <w:style w:type="paragraph" w:styleId="7">
    <w:name w:val="Body Text"/>
    <w:basedOn w:val="1"/>
    <w:qFormat/>
    <w:uiPriority w:val="1"/>
    <w:pPr>
      <w:ind w:left="120"/>
    </w:pPr>
    <w:rPr>
      <w:sz w:val="32"/>
      <w:szCs w:val="32"/>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unhideWhenUsed/>
    <w:qFormat/>
    <w:uiPriority w:val="99"/>
    <w:pPr>
      <w:widowControl/>
      <w:adjustRightInd w:val="0"/>
      <w:snapToGrid w:val="0"/>
      <w:spacing w:beforeAutospacing="1" w:afterAutospacing="1"/>
      <w:jc w:val="left"/>
    </w:pPr>
    <w:rPr>
      <w:rFonts w:ascii="Tahoma" w:hAnsi="Tahoma" w:eastAsia="微软雅黑"/>
      <w:kern w:val="0"/>
      <w:sz w:val="24"/>
      <w:szCs w:val="22"/>
    </w:rPr>
  </w:style>
  <w:style w:type="paragraph" w:customStyle="1" w:styleId="15">
    <w:name w:val="Heading2"/>
    <w:basedOn w:val="1"/>
    <w:next w:val="1"/>
    <w:qFormat/>
    <w:uiPriority w:val="0"/>
    <w:pPr>
      <w:keepNext/>
      <w:keepLines/>
      <w:spacing w:line="413" w:lineRule="auto"/>
      <w:jc w:val="both"/>
      <w:textAlignment w:val="baseline"/>
    </w:pPr>
    <w:rPr>
      <w:rFonts w:ascii="Arial" w:hAnsi="Arial" w:eastAsia="黑体"/>
      <w:b/>
      <w:kern w:val="2"/>
      <w:sz w:val="21"/>
      <w:szCs w:val="24"/>
      <w:lang w:val="en-US" w:eastAsia="zh-CN" w:bidi="ar-SA"/>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4396</Words>
  <Characters>4535</Characters>
  <Lines>0</Lines>
  <Paragraphs>0</Paragraphs>
  <ScaleCrop>false</ScaleCrop>
  <LinksUpToDate>false</LinksUpToDate>
  <CharactersWithSpaces>4649</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2023-02-21T02:40:00Z</dcterms:created>
  <dc:creator>Lenovo</dc:creator>
  <cp:lastModifiedBy>区应急管理局收发员</cp:lastModifiedBy>
  <dcterms:modified xsi:type="dcterms:W3CDTF">2024-03-06T02:14:16Z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D8851E480AD24B65A72054CE4D7642AA</vt:lpwstr>
  </property>
</Properties>
</file>