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jc w:val="center"/>
        <w:outlineLvl w:val="9"/>
        <w:rPr>
          <w:rFonts w:hint="eastAsia" w:ascii="仿宋" w:hAnsi="仿宋" w:eastAsia="仿宋" w:cs="Cambria Math"/>
          <w:b/>
          <w:spacing w:val="20"/>
          <w:sz w:val="44"/>
          <w:szCs w:val="44"/>
        </w:rPr>
      </w:pPr>
      <w:bookmarkStart w:id="0" w:name="_Toc23589"/>
      <w:bookmarkStart w:id="1" w:name="_Toc13284"/>
      <w:bookmarkStart w:id="2" w:name="_Toc19229"/>
      <w:bookmarkStart w:id="3" w:name="_Toc24895"/>
      <w:bookmarkStart w:id="4" w:name="_Toc26119"/>
    </w:p>
    <w:p>
      <w:pPr>
        <w:pStyle w:val="13"/>
        <w:pageBreakBefore w:val="0"/>
        <w:kinsoku/>
        <w:wordWrap/>
        <w:overflowPunct/>
        <w:topLinePunct w:val="0"/>
        <w:autoSpaceDE/>
        <w:autoSpaceDN/>
        <w:bidi w:val="0"/>
        <w:spacing w:line="560" w:lineRule="exact"/>
        <w:rPr>
          <w:rFonts w:hint="eastAsia"/>
        </w:rPr>
      </w:pPr>
    </w:p>
    <w:bookmarkEnd w:id="0"/>
    <w:bookmarkEnd w:id="1"/>
    <w:bookmarkEnd w:id="2"/>
    <w:bookmarkEnd w:id="3"/>
    <w:bookmarkEnd w:id="4"/>
    <w:p>
      <w:pPr>
        <w:pageBreakBefore w:val="0"/>
        <w:kinsoku/>
        <w:wordWrap/>
        <w:overflowPunct/>
        <w:topLinePunct w:val="0"/>
        <w:autoSpaceDE/>
        <w:autoSpaceDN/>
        <w:bidi w:val="0"/>
        <w:spacing w:line="560" w:lineRule="exact"/>
        <w:jc w:val="both"/>
        <w:rPr>
          <w:rFonts w:hint="eastAsia" w:ascii="方正小标宋简体" w:hAnsi="方正小标宋简体" w:eastAsia="方正小标宋简体" w:cs="方正小标宋简体"/>
          <w:b w:val="0"/>
          <w:bCs/>
          <w:spacing w:val="2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spacing w:val="20"/>
          <w:sz w:val="44"/>
          <w:szCs w:val="44"/>
          <w:lang w:val="en-US" w:eastAsia="zh-CN"/>
        </w:rPr>
      </w:pPr>
      <w:r>
        <w:rPr>
          <w:rFonts w:hint="eastAsia" w:ascii="方正小标宋简体" w:hAnsi="方正小标宋简体" w:eastAsia="方正小标宋简体" w:cs="方正小标宋简体"/>
          <w:b w:val="0"/>
          <w:bCs/>
          <w:spacing w:val="20"/>
          <w:sz w:val="44"/>
          <w:szCs w:val="44"/>
          <w:lang w:val="en-US" w:eastAsia="zh-CN"/>
        </w:rPr>
        <w:t>三亚市海棠区</w:t>
      </w:r>
      <w:r>
        <w:rPr>
          <w:rFonts w:hint="eastAsia" w:ascii="方正小标宋简体" w:hAnsi="方正小标宋简体" w:eastAsia="方正小标宋简体" w:cs="方正小标宋简体"/>
          <w:b w:val="0"/>
          <w:bCs/>
          <w:spacing w:val="20"/>
          <w:sz w:val="44"/>
          <w:szCs w:val="44"/>
        </w:rPr>
        <w:t>三亚国际免税城纪梵希品牌岛柜“10·2”触电事故</w:t>
      </w:r>
      <w:r>
        <w:rPr>
          <w:rFonts w:hint="eastAsia" w:ascii="方正小标宋简体" w:hAnsi="方正小标宋简体" w:eastAsia="方正小标宋简体" w:cs="方正小标宋简体"/>
          <w:b w:val="0"/>
          <w:bCs/>
          <w:spacing w:val="20"/>
          <w:sz w:val="44"/>
          <w:szCs w:val="44"/>
          <w:lang w:val="en-US" w:eastAsia="zh-CN"/>
        </w:rPr>
        <w:t>调查报告</w:t>
      </w:r>
      <w:bookmarkStart w:id="5" w:name="_Toc1411"/>
      <w:bookmarkStart w:id="6" w:name="_Toc2512"/>
      <w:bookmarkStart w:id="7" w:name="_Toc16776"/>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处理工作情况评估报告</w:t>
      </w:r>
      <w:bookmarkEnd w:id="5"/>
      <w:bookmarkEnd w:id="6"/>
      <w:bookmarkEnd w:id="7"/>
    </w:p>
    <w:p>
      <w:pPr>
        <w:pageBreakBefore w:val="0"/>
        <w:kinsoku/>
        <w:wordWrap/>
        <w:overflowPunct/>
        <w:topLinePunct w:val="0"/>
        <w:autoSpaceDE/>
        <w:autoSpaceDN/>
        <w:bidi w:val="0"/>
        <w:spacing w:line="560" w:lineRule="exact"/>
        <w:rPr>
          <w:rFonts w:hint="eastAsia"/>
          <w:b w:val="0"/>
          <w:bCs/>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ascii="方正小标宋简体" w:hAnsi="方正小标宋简体" w:eastAsia="方正小标宋简体" w:cs="方正小标宋简体"/>
          <w:b w:val="0"/>
          <w:bCs/>
          <w:sz w:val="40"/>
          <w:szCs w:val="40"/>
        </w:rPr>
      </w:pPr>
    </w:p>
    <w:p>
      <w:pPr>
        <w:pageBreakBefore w:val="0"/>
        <w:kinsoku/>
        <w:wordWrap/>
        <w:overflowPunct/>
        <w:topLinePunct w:val="0"/>
        <w:autoSpaceDE/>
        <w:autoSpaceDN/>
        <w:bidi w:val="0"/>
        <w:spacing w:line="560" w:lineRule="exact"/>
        <w:jc w:val="center"/>
        <w:outlineLvl w:val="0"/>
        <w:rPr>
          <w:rFonts w:hint="eastAsia" w:ascii="仿宋_GB2312" w:hAnsi="仿宋_GB2312" w:eastAsia="仿宋_GB2312" w:cs="仿宋_GB2312"/>
          <w:sz w:val="32"/>
          <w:szCs w:val="32"/>
          <w:lang w:eastAsia="zh-CN"/>
        </w:rPr>
      </w:pPr>
      <w:bookmarkStart w:id="8" w:name="_Toc11789"/>
      <w:bookmarkStart w:id="9" w:name="_Toc13870"/>
      <w:bookmarkStart w:id="10" w:name="_Toc11251"/>
      <w:bookmarkStart w:id="11" w:name="_Toc10374"/>
      <w:r>
        <w:rPr>
          <w:rFonts w:hint="eastAsia" w:ascii="仿宋_GB2312" w:hAnsi="仿宋_GB2312" w:eastAsia="仿宋_GB2312" w:cs="仿宋_GB2312"/>
          <w:sz w:val="32"/>
          <w:szCs w:val="32"/>
          <w:lang w:val="en-US" w:eastAsia="zh-CN"/>
        </w:rPr>
        <w:t>三亚市海棠区</w:t>
      </w:r>
      <w:r>
        <w:rPr>
          <w:rFonts w:hint="eastAsia" w:ascii="仿宋_GB2312" w:hAnsi="仿宋_GB2312" w:eastAsia="仿宋_GB2312" w:cs="仿宋_GB2312"/>
          <w:sz w:val="32"/>
          <w:szCs w:val="32"/>
          <w:lang w:eastAsia="zh-CN"/>
        </w:rPr>
        <w:t>安全生产委员会办公室</w:t>
      </w:r>
      <w:bookmarkEnd w:id="8"/>
      <w:bookmarkEnd w:id="9"/>
      <w:bookmarkEnd w:id="10"/>
      <w:bookmarkEnd w:id="11"/>
    </w:p>
    <w:p>
      <w:pPr>
        <w:pageBreakBefore w:val="0"/>
        <w:kinsoku/>
        <w:wordWrap/>
        <w:overflowPunct/>
        <w:topLinePunct w:val="0"/>
        <w:autoSpaceDE/>
        <w:autoSpaceDN/>
        <w:bidi w:val="0"/>
        <w:spacing w:line="560" w:lineRule="exact"/>
        <w:jc w:val="center"/>
        <w:outlineLvl w:val="0"/>
        <w:rPr>
          <w:rFonts w:hint="eastAsia" w:ascii="仿宋_GB2312" w:hAnsi="仿宋_GB2312" w:eastAsia="仿宋_GB2312" w:cs="仿宋_GB2312"/>
          <w:sz w:val="32"/>
          <w:szCs w:val="32"/>
          <w:lang w:val="en-US" w:eastAsia="zh-CN"/>
        </w:rPr>
        <w:sectPr>
          <w:pgSz w:w="11906" w:h="16838"/>
          <w:pgMar w:top="2098" w:right="1474" w:bottom="1984" w:left="1587" w:header="851" w:footer="1587" w:gutter="0"/>
          <w:pgNumType w:fmt="decimal"/>
          <w:cols w:space="720" w:num="1"/>
          <w:docGrid w:type="lines" w:linePitch="312" w:charSpace="0"/>
        </w:sectPr>
      </w:pPr>
      <w:bookmarkStart w:id="12" w:name="_Toc28553"/>
      <w:bookmarkStart w:id="13" w:name="_Toc13651"/>
      <w:bookmarkStart w:id="14" w:name="_Toc14272"/>
      <w:r>
        <w:rPr>
          <w:rFonts w:hint="eastAsia" w:ascii="仿宋_GB2312" w:hAnsi="宋体" w:eastAsia="仿宋_GB2312" w:cs="仿宋_GB2312"/>
          <w:b w:val="0"/>
          <w:bCs w:val="0"/>
          <w:color w:val="auto"/>
          <w:sz w:val="32"/>
          <w:szCs w:val="32"/>
          <w:lang w:val="en-US" w:eastAsia="zh-CN"/>
        </w:rPr>
        <w:t>2023年10</w:t>
      </w:r>
      <w:r>
        <w:rPr>
          <w:rFonts w:hint="default" w:ascii="仿宋_GB2312" w:hAnsi="宋体" w:eastAsia="仿宋_GB2312" w:cs="仿宋_GB2312"/>
          <w:b w:val="0"/>
          <w:bCs w:val="0"/>
          <w:color w:val="auto"/>
          <w:sz w:val="32"/>
          <w:szCs w:val="32"/>
        </w:rPr>
        <w:t>月</w:t>
      </w:r>
      <w:r>
        <w:rPr>
          <w:rFonts w:hint="eastAsia" w:ascii="仿宋_GB2312" w:hAnsi="宋体" w:eastAsia="仿宋_GB2312" w:cs="仿宋_GB2312"/>
          <w:b w:val="0"/>
          <w:bCs w:val="0"/>
          <w:color w:val="auto"/>
          <w:sz w:val="32"/>
          <w:szCs w:val="32"/>
          <w:lang w:val="en-US" w:eastAsia="zh-CN"/>
        </w:rPr>
        <w:t>30</w:t>
      </w:r>
      <w:r>
        <w:rPr>
          <w:rFonts w:hint="default" w:ascii="仿宋_GB2312" w:hAnsi="宋体" w:eastAsia="仿宋_GB2312" w:cs="仿宋_GB2312"/>
          <w:b w:val="0"/>
          <w:bCs w:val="0"/>
          <w:color w:val="auto"/>
          <w:sz w:val="32"/>
          <w:szCs w:val="32"/>
        </w:rPr>
        <w:t>日</w:t>
      </w:r>
      <w:r>
        <w:rPr>
          <w:rFonts w:hint="eastAsia" w:ascii="仿宋_GB2312" w:hAnsi="仿宋_GB2312" w:eastAsia="仿宋_GB2312" w:cs="仿宋_GB2312"/>
          <w:sz w:val="32"/>
          <w:szCs w:val="32"/>
          <w:lang w:val="en-US" w:eastAsia="zh-CN"/>
        </w:rPr>
        <w:t xml:space="preserve"> </w:t>
      </w:r>
      <w:bookmarkEnd w:id="12"/>
      <w:bookmarkEnd w:id="13"/>
      <w:bookmarkEnd w:id="14"/>
    </w:p>
    <w:sdt>
      <w:sdtPr>
        <w:rPr>
          <w:rFonts w:ascii="宋体" w:hAnsi="宋体" w:eastAsia="宋体" w:cs="Times New Roman"/>
          <w:kern w:val="2"/>
          <w:sz w:val="21"/>
          <w:szCs w:val="24"/>
          <w:lang w:val="en-US" w:eastAsia="zh-CN" w:bidi="ar-SA"/>
        </w:rPr>
        <w:id w:val="147479156"/>
        <w15:color w:val="DBDBDB"/>
      </w:sdtPr>
      <w:sdtEndPr>
        <w:rPr>
          <w:rFonts w:hint="eastAsia" w:ascii="Times New Roman" w:hAnsi="Times New Roman" w:eastAsia="宋体" w:cs="Times New Roman"/>
          <w:b/>
          <w:kern w:val="2"/>
          <w:sz w:val="24"/>
          <w:szCs w:val="24"/>
          <w:lang w:val="en-US" w:eastAsia="zh-CN" w:bidi="ar-SA"/>
        </w:rPr>
      </w:sdtEndPr>
      <w:sdtContent>
        <w:p>
          <w:pPr>
            <w:pageBreakBefore w:val="0"/>
            <w:kinsoku/>
            <w:wordWrap/>
            <w:overflowPunct/>
            <w:topLinePunct w:val="0"/>
            <w:autoSpaceDE/>
            <w:autoSpaceDN/>
            <w:bidi w:val="0"/>
            <w:spacing w:before="0" w:beforeLines="0" w:after="0" w:afterLines="0" w:line="360" w:lineRule="auto"/>
            <w:ind w:left="0" w:leftChars="0" w:right="0" w:rightChars="0" w:firstLine="0" w:firstLineChars="0"/>
            <w:jc w:val="center"/>
          </w:pPr>
          <w:r>
            <w:rPr>
              <w:rFonts w:ascii="宋体" w:hAnsi="宋体" w:eastAsia="宋体"/>
              <w:b/>
              <w:bCs/>
              <w:sz w:val="32"/>
              <w:szCs w:val="32"/>
            </w:rPr>
            <w:t>目</w:t>
          </w:r>
          <w:r>
            <w:rPr>
              <w:rFonts w:hint="eastAsia" w:ascii="宋体" w:hAnsi="宋体" w:eastAsia="宋体"/>
              <w:b/>
              <w:bCs/>
              <w:sz w:val="32"/>
              <w:szCs w:val="32"/>
              <w:lang w:val="en-US" w:eastAsia="zh-CN"/>
            </w:rPr>
            <w:t xml:space="preserve"> </w:t>
          </w:r>
          <w:r>
            <w:rPr>
              <w:rFonts w:ascii="宋体" w:hAnsi="宋体" w:eastAsia="宋体"/>
              <w:b/>
              <w:bCs/>
              <w:sz w:val="32"/>
              <w:szCs w:val="32"/>
            </w:rPr>
            <w:t>录</w:t>
          </w:r>
        </w:p>
        <w:p>
          <w:pPr>
            <w:pStyle w:val="8"/>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TOC \o "1-2" \h \u </w:instrText>
          </w:r>
          <w:r>
            <w:rPr>
              <w:rFonts w:hint="eastAsia"/>
              <w:sz w:val="24"/>
              <w:szCs w:val="24"/>
            </w:rPr>
            <w:fldChar w:fldCharType="separate"/>
          </w:r>
        </w:p>
        <w:p>
          <w:pPr>
            <w:pStyle w:val="8"/>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_Toc7566 </w:instrText>
          </w:r>
          <w:r>
            <w:rPr>
              <w:rFonts w:hint="eastAsia"/>
              <w:sz w:val="24"/>
              <w:szCs w:val="24"/>
            </w:rPr>
            <w:fldChar w:fldCharType="separate"/>
          </w:r>
          <w:r>
            <w:rPr>
              <w:rFonts w:hint="eastAsia" w:ascii="黑体" w:hAnsi="黑体" w:eastAsia="黑体" w:cs="黑体"/>
              <w:bCs/>
              <w:kern w:val="44"/>
              <w:sz w:val="24"/>
              <w:szCs w:val="24"/>
              <w:lang w:val="en-US" w:eastAsia="zh-CN" w:bidi="ar"/>
            </w:rPr>
            <w:t>一、评估工作小组组织及开展工作情况</w:t>
          </w:r>
          <w:r>
            <w:rPr>
              <w:sz w:val="24"/>
              <w:szCs w:val="24"/>
            </w:rPr>
            <w:tab/>
          </w:r>
          <w:r>
            <w:rPr>
              <w:sz w:val="24"/>
              <w:szCs w:val="24"/>
            </w:rPr>
            <w:fldChar w:fldCharType="begin"/>
          </w:r>
          <w:r>
            <w:rPr>
              <w:sz w:val="24"/>
              <w:szCs w:val="24"/>
            </w:rPr>
            <w:instrText xml:space="preserve"> PAGEREF _Toc7566 \h </w:instrText>
          </w:r>
          <w:r>
            <w:rPr>
              <w:sz w:val="24"/>
              <w:szCs w:val="24"/>
            </w:rPr>
            <w:fldChar w:fldCharType="separate"/>
          </w:r>
          <w:r>
            <w:rPr>
              <w:sz w:val="24"/>
              <w:szCs w:val="24"/>
            </w:rPr>
            <w:t>1</w:t>
          </w:r>
          <w:r>
            <w:rPr>
              <w:sz w:val="24"/>
              <w:szCs w:val="24"/>
            </w:rPr>
            <w:fldChar w:fldCharType="end"/>
          </w:r>
          <w:r>
            <w:rPr>
              <w:rFonts w:hint="eastAsia"/>
              <w:sz w:val="24"/>
              <w:szCs w:val="24"/>
            </w:rPr>
            <w:fldChar w:fldCharType="end"/>
          </w:r>
        </w:p>
        <w:p>
          <w:pPr>
            <w:pStyle w:val="9"/>
            <w:tabs>
              <w:tab w:val="right" w:leader="dot" w:pos="8845"/>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_Toc5827 </w:instrText>
          </w:r>
          <w:r>
            <w:rPr>
              <w:rFonts w:hint="eastAsia" w:ascii="宋体" w:hAnsi="宋体" w:eastAsia="宋体" w:cs="宋体"/>
              <w:sz w:val="24"/>
              <w:szCs w:val="24"/>
            </w:rPr>
            <w:fldChar w:fldCharType="separate"/>
          </w:r>
          <w:r>
            <w:rPr>
              <w:rFonts w:hint="eastAsia" w:ascii="宋体" w:hAnsi="宋体" w:eastAsia="宋体" w:cs="宋体"/>
              <w:bCs/>
              <w:sz w:val="24"/>
              <w:szCs w:val="24"/>
              <w:lang w:val="en-US" w:eastAsia="zh-CN"/>
            </w:rPr>
            <w:t>（一）评估工作小组成立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_Toc5827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8845"/>
            </w:tabs>
            <w:spacing w:line="360" w:lineRule="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_Toc5383 </w:instrText>
          </w:r>
          <w:r>
            <w:rPr>
              <w:rFonts w:hint="eastAsia" w:ascii="宋体" w:hAnsi="宋体" w:eastAsia="宋体" w:cs="宋体"/>
              <w:sz w:val="24"/>
              <w:szCs w:val="24"/>
            </w:rPr>
            <w:fldChar w:fldCharType="separate"/>
          </w:r>
          <w:r>
            <w:rPr>
              <w:rFonts w:hint="eastAsia" w:ascii="宋体" w:hAnsi="宋体" w:eastAsia="宋体" w:cs="宋体"/>
              <w:bCs/>
              <w:sz w:val="24"/>
              <w:szCs w:val="24"/>
              <w:lang w:val="en-US" w:eastAsia="zh-CN"/>
            </w:rPr>
            <w:t>（二）评估工作开展情况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_Toc5383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_Toc25733 </w:instrText>
          </w:r>
          <w:r>
            <w:rPr>
              <w:rFonts w:hint="eastAsia"/>
              <w:sz w:val="24"/>
              <w:szCs w:val="24"/>
            </w:rPr>
            <w:fldChar w:fldCharType="separate"/>
          </w:r>
          <w:r>
            <w:rPr>
              <w:rFonts w:hint="eastAsia" w:ascii="黑体" w:hAnsi="黑体" w:eastAsia="黑体" w:cs="黑体"/>
              <w:bCs/>
              <w:kern w:val="44"/>
              <w:sz w:val="24"/>
              <w:szCs w:val="24"/>
              <w:lang w:val="en-US" w:eastAsia="zh-CN" w:bidi="ar"/>
            </w:rPr>
            <w:t>二、事故基本情况</w:t>
          </w:r>
          <w:r>
            <w:rPr>
              <w:sz w:val="24"/>
              <w:szCs w:val="24"/>
            </w:rPr>
            <w:tab/>
          </w:r>
          <w:r>
            <w:rPr>
              <w:sz w:val="24"/>
              <w:szCs w:val="24"/>
            </w:rPr>
            <w:fldChar w:fldCharType="begin"/>
          </w:r>
          <w:r>
            <w:rPr>
              <w:sz w:val="24"/>
              <w:szCs w:val="24"/>
            </w:rPr>
            <w:instrText xml:space="preserve"> PAGEREF _Toc25733 \h </w:instrText>
          </w:r>
          <w:r>
            <w:rPr>
              <w:sz w:val="24"/>
              <w:szCs w:val="24"/>
            </w:rPr>
            <w:fldChar w:fldCharType="separate"/>
          </w:r>
          <w:r>
            <w:rPr>
              <w:sz w:val="24"/>
              <w:szCs w:val="24"/>
            </w:rPr>
            <w:t>2</w:t>
          </w:r>
          <w:r>
            <w:rPr>
              <w:sz w:val="24"/>
              <w:szCs w:val="24"/>
            </w:rPr>
            <w:fldChar w:fldCharType="end"/>
          </w:r>
          <w:r>
            <w:rPr>
              <w:rFonts w:hint="eastAsia"/>
              <w:sz w:val="24"/>
              <w:szCs w:val="24"/>
            </w:rPr>
            <w:fldChar w:fldCharType="end"/>
          </w:r>
        </w:p>
        <w:p>
          <w:pPr>
            <w:pStyle w:val="8"/>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_Toc16214 </w:instrText>
          </w:r>
          <w:r>
            <w:rPr>
              <w:rFonts w:hint="eastAsia"/>
              <w:sz w:val="24"/>
              <w:szCs w:val="24"/>
            </w:rPr>
            <w:fldChar w:fldCharType="separate"/>
          </w:r>
          <w:r>
            <w:rPr>
              <w:rFonts w:hint="eastAsia" w:ascii="黑体" w:hAnsi="黑体" w:eastAsia="黑体" w:cs="黑体"/>
              <w:bCs/>
              <w:kern w:val="44"/>
              <w:sz w:val="24"/>
              <w:szCs w:val="24"/>
              <w:lang w:val="en-US" w:eastAsia="zh-CN" w:bidi="ar"/>
            </w:rPr>
            <w:t>三、事故调查及处理过程</w:t>
          </w:r>
          <w:r>
            <w:rPr>
              <w:sz w:val="24"/>
              <w:szCs w:val="24"/>
            </w:rPr>
            <w:tab/>
          </w:r>
          <w:r>
            <w:rPr>
              <w:sz w:val="24"/>
              <w:szCs w:val="24"/>
            </w:rPr>
            <w:fldChar w:fldCharType="begin"/>
          </w:r>
          <w:r>
            <w:rPr>
              <w:sz w:val="24"/>
              <w:szCs w:val="24"/>
            </w:rPr>
            <w:instrText xml:space="preserve"> PAGEREF _Toc16214 \h </w:instrText>
          </w:r>
          <w:r>
            <w:rPr>
              <w:sz w:val="24"/>
              <w:szCs w:val="24"/>
            </w:rPr>
            <w:fldChar w:fldCharType="separate"/>
          </w:r>
          <w:r>
            <w:rPr>
              <w:sz w:val="24"/>
              <w:szCs w:val="24"/>
            </w:rPr>
            <w:t>3</w:t>
          </w:r>
          <w:r>
            <w:rPr>
              <w:sz w:val="24"/>
              <w:szCs w:val="24"/>
            </w:rPr>
            <w:fldChar w:fldCharType="end"/>
          </w:r>
          <w:r>
            <w:rPr>
              <w:rFonts w:hint="eastAsia"/>
              <w:sz w:val="24"/>
              <w:szCs w:val="24"/>
            </w:rPr>
            <w:fldChar w:fldCharType="end"/>
          </w:r>
        </w:p>
        <w:p>
          <w:pPr>
            <w:pStyle w:val="8"/>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_Toc6771 </w:instrText>
          </w:r>
          <w:r>
            <w:rPr>
              <w:rFonts w:hint="eastAsia"/>
              <w:sz w:val="24"/>
              <w:szCs w:val="24"/>
            </w:rPr>
            <w:fldChar w:fldCharType="separate"/>
          </w:r>
          <w:r>
            <w:rPr>
              <w:rFonts w:hint="eastAsia" w:ascii="黑体" w:hAnsi="黑体" w:eastAsia="黑体" w:cs="黑体"/>
              <w:bCs/>
              <w:kern w:val="44"/>
              <w:sz w:val="24"/>
              <w:szCs w:val="24"/>
              <w:lang w:val="en-US" w:eastAsia="zh-CN" w:bidi="ar"/>
            </w:rPr>
            <w:t>四、事故相关责任单位及责任人员责任追究落实情况</w:t>
          </w:r>
          <w:r>
            <w:rPr>
              <w:sz w:val="24"/>
              <w:szCs w:val="24"/>
            </w:rPr>
            <w:tab/>
          </w:r>
          <w:r>
            <w:rPr>
              <w:sz w:val="24"/>
              <w:szCs w:val="24"/>
            </w:rPr>
            <w:fldChar w:fldCharType="begin"/>
          </w:r>
          <w:r>
            <w:rPr>
              <w:sz w:val="24"/>
              <w:szCs w:val="24"/>
            </w:rPr>
            <w:instrText xml:space="preserve"> PAGEREF _Toc6771 \h </w:instrText>
          </w:r>
          <w:r>
            <w:rPr>
              <w:sz w:val="24"/>
              <w:szCs w:val="24"/>
            </w:rPr>
            <w:fldChar w:fldCharType="separate"/>
          </w:r>
          <w:r>
            <w:rPr>
              <w:sz w:val="24"/>
              <w:szCs w:val="24"/>
            </w:rPr>
            <w:t>3</w:t>
          </w:r>
          <w:r>
            <w:rPr>
              <w:sz w:val="24"/>
              <w:szCs w:val="24"/>
            </w:rPr>
            <w:fldChar w:fldCharType="end"/>
          </w:r>
          <w:r>
            <w:rPr>
              <w:rFonts w:hint="eastAsia"/>
              <w:sz w:val="24"/>
              <w:szCs w:val="24"/>
            </w:rPr>
            <w:fldChar w:fldCharType="end"/>
          </w:r>
        </w:p>
        <w:p>
          <w:pPr>
            <w:pStyle w:val="9"/>
            <w:tabs>
              <w:tab w:val="right" w:leader="dot" w:pos="8845"/>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_Toc12319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（一）因在事故中死亡免予或不予追究责任人员：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_Toc12319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8845"/>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_Toc32001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（二）对事故有关责任人员的行政处罚落实情况：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_Toc32001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8845"/>
            </w:tabs>
            <w:spacing w:line="360" w:lineRule="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_Toc9182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（三）对事故有关责任单位的行政处罚落实情况：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_Toc9182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_Toc8493 </w:instrText>
          </w:r>
          <w:r>
            <w:rPr>
              <w:rFonts w:hint="eastAsia"/>
              <w:sz w:val="24"/>
              <w:szCs w:val="24"/>
            </w:rPr>
            <w:fldChar w:fldCharType="separate"/>
          </w:r>
          <w:r>
            <w:rPr>
              <w:rFonts w:hint="eastAsia" w:ascii="黑体" w:hAnsi="黑体" w:eastAsia="黑体" w:cs="黑体"/>
              <w:bCs/>
              <w:kern w:val="44"/>
              <w:sz w:val="24"/>
              <w:szCs w:val="24"/>
              <w:lang w:val="en-US" w:eastAsia="zh-CN" w:bidi="ar"/>
            </w:rPr>
            <w:t>五、</w:t>
          </w:r>
          <w:r>
            <w:rPr>
              <w:rFonts w:hint="default" w:ascii="黑体" w:hAnsi="黑体" w:eastAsia="黑体" w:cs="黑体"/>
              <w:bCs/>
              <w:kern w:val="44"/>
              <w:sz w:val="24"/>
              <w:szCs w:val="24"/>
              <w:lang w:val="en-US" w:eastAsia="zh-CN" w:bidi="ar"/>
            </w:rPr>
            <w:t>事故防范和整改建议</w:t>
          </w:r>
          <w:r>
            <w:rPr>
              <w:rFonts w:hint="eastAsia" w:ascii="黑体" w:hAnsi="黑体" w:eastAsia="黑体" w:cs="黑体"/>
              <w:bCs/>
              <w:kern w:val="44"/>
              <w:sz w:val="24"/>
              <w:szCs w:val="24"/>
              <w:lang w:val="en-US" w:eastAsia="zh-CN" w:bidi="ar"/>
            </w:rPr>
            <w:t>落实情况调查</w:t>
          </w:r>
          <w:r>
            <w:rPr>
              <w:sz w:val="24"/>
              <w:szCs w:val="24"/>
            </w:rPr>
            <w:tab/>
          </w:r>
          <w:r>
            <w:rPr>
              <w:sz w:val="24"/>
              <w:szCs w:val="24"/>
            </w:rPr>
            <w:fldChar w:fldCharType="begin"/>
          </w:r>
          <w:r>
            <w:rPr>
              <w:sz w:val="24"/>
              <w:szCs w:val="24"/>
            </w:rPr>
            <w:instrText xml:space="preserve"> PAGEREF _Toc8493 \h </w:instrText>
          </w:r>
          <w:r>
            <w:rPr>
              <w:sz w:val="24"/>
              <w:szCs w:val="24"/>
            </w:rPr>
            <w:fldChar w:fldCharType="separate"/>
          </w:r>
          <w:r>
            <w:rPr>
              <w:sz w:val="24"/>
              <w:szCs w:val="24"/>
            </w:rPr>
            <w:t>7</w:t>
          </w:r>
          <w:r>
            <w:rPr>
              <w:sz w:val="24"/>
              <w:szCs w:val="24"/>
            </w:rPr>
            <w:fldChar w:fldCharType="end"/>
          </w:r>
          <w:r>
            <w:rPr>
              <w:rFonts w:hint="eastAsia"/>
              <w:sz w:val="24"/>
              <w:szCs w:val="24"/>
            </w:rPr>
            <w:fldChar w:fldCharType="end"/>
          </w:r>
        </w:p>
        <w:p>
          <w:pPr>
            <w:pStyle w:val="8"/>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_Toc28136 </w:instrText>
          </w:r>
          <w:r>
            <w:rPr>
              <w:rFonts w:hint="eastAsia"/>
              <w:sz w:val="24"/>
              <w:szCs w:val="24"/>
            </w:rPr>
            <w:fldChar w:fldCharType="separate"/>
          </w:r>
          <w:r>
            <w:rPr>
              <w:rFonts w:hint="eastAsia" w:ascii="黑体" w:hAnsi="黑体" w:eastAsia="黑体" w:cs="黑体"/>
              <w:bCs/>
              <w:sz w:val="24"/>
              <w:szCs w:val="24"/>
              <w:lang w:val="en-US" w:eastAsia="zh-CN" w:bidi="ar"/>
            </w:rPr>
            <w:t>六、存在的问题及相关工作建议</w:t>
          </w:r>
          <w:r>
            <w:rPr>
              <w:sz w:val="24"/>
              <w:szCs w:val="24"/>
            </w:rPr>
            <w:tab/>
          </w:r>
          <w:r>
            <w:rPr>
              <w:sz w:val="24"/>
              <w:szCs w:val="24"/>
            </w:rPr>
            <w:fldChar w:fldCharType="begin"/>
          </w:r>
          <w:r>
            <w:rPr>
              <w:sz w:val="24"/>
              <w:szCs w:val="24"/>
            </w:rPr>
            <w:instrText xml:space="preserve"> PAGEREF _Toc28136 \h </w:instrText>
          </w:r>
          <w:r>
            <w:rPr>
              <w:sz w:val="24"/>
              <w:szCs w:val="24"/>
            </w:rPr>
            <w:fldChar w:fldCharType="separate"/>
          </w:r>
          <w:r>
            <w:rPr>
              <w:sz w:val="24"/>
              <w:szCs w:val="24"/>
            </w:rPr>
            <w:t>8</w:t>
          </w:r>
          <w:r>
            <w:rPr>
              <w:sz w:val="24"/>
              <w:szCs w:val="24"/>
            </w:rPr>
            <w:fldChar w:fldCharType="end"/>
          </w:r>
          <w:r>
            <w:rPr>
              <w:rFonts w:hint="eastAsia"/>
              <w:sz w:val="24"/>
              <w:szCs w:val="24"/>
            </w:rPr>
            <w:fldChar w:fldCharType="end"/>
          </w:r>
        </w:p>
        <w:p>
          <w:pPr>
            <w:pStyle w:val="8"/>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_Toc17429 </w:instrText>
          </w:r>
          <w:r>
            <w:rPr>
              <w:rFonts w:hint="eastAsia"/>
              <w:sz w:val="24"/>
              <w:szCs w:val="24"/>
            </w:rPr>
            <w:fldChar w:fldCharType="separate"/>
          </w:r>
          <w:r>
            <w:rPr>
              <w:rFonts w:hint="eastAsia" w:ascii="黑体" w:hAnsi="黑体" w:eastAsia="黑体" w:cs="黑体"/>
              <w:bCs/>
              <w:sz w:val="24"/>
              <w:szCs w:val="24"/>
              <w:lang w:val="en-US" w:eastAsia="zh-CN" w:bidi="ar"/>
            </w:rPr>
            <w:t>七、总体评估意见</w:t>
          </w:r>
          <w:r>
            <w:rPr>
              <w:sz w:val="24"/>
              <w:szCs w:val="24"/>
            </w:rPr>
            <w:tab/>
          </w:r>
          <w:r>
            <w:rPr>
              <w:sz w:val="24"/>
              <w:szCs w:val="24"/>
            </w:rPr>
            <w:fldChar w:fldCharType="begin"/>
          </w:r>
          <w:r>
            <w:rPr>
              <w:sz w:val="24"/>
              <w:szCs w:val="24"/>
            </w:rPr>
            <w:instrText xml:space="preserve"> PAGEREF _Toc17429 \h </w:instrText>
          </w:r>
          <w:r>
            <w:rPr>
              <w:sz w:val="24"/>
              <w:szCs w:val="24"/>
            </w:rPr>
            <w:fldChar w:fldCharType="separate"/>
          </w:r>
          <w:r>
            <w:rPr>
              <w:sz w:val="24"/>
              <w:szCs w:val="24"/>
            </w:rPr>
            <w:t>9</w:t>
          </w:r>
          <w:r>
            <w:rPr>
              <w:sz w:val="24"/>
              <w:szCs w:val="24"/>
            </w:rPr>
            <w:fldChar w:fldCharType="end"/>
          </w:r>
          <w:r>
            <w:rPr>
              <w:rFonts w:hint="eastAsia"/>
              <w:sz w:val="24"/>
              <w:szCs w:val="24"/>
            </w:rPr>
            <w:fldChar w:fldCharType="end"/>
          </w:r>
        </w:p>
        <w:p>
          <w:pPr>
            <w:pageBreakBefore w:val="0"/>
            <w:kinsoku/>
            <w:wordWrap/>
            <w:overflowPunct/>
            <w:topLinePunct w:val="0"/>
            <w:autoSpaceDE/>
            <w:autoSpaceDN/>
            <w:bidi w:val="0"/>
            <w:spacing w:line="360" w:lineRule="auto"/>
            <w:rPr>
              <w:rFonts w:hint="eastAsia"/>
              <w:sz w:val="24"/>
              <w:szCs w:val="24"/>
            </w:rPr>
          </w:pPr>
          <w:r>
            <w:rPr>
              <w:rFonts w:hint="eastAsia"/>
              <w:sz w:val="24"/>
              <w:szCs w:val="24"/>
            </w:rPr>
            <w:fldChar w:fldCharType="end"/>
          </w:r>
        </w:p>
      </w:sdtContent>
    </w:sdt>
    <w:p>
      <w:pPr>
        <w:pStyle w:val="3"/>
        <w:pageBreakBefore w:val="0"/>
        <w:widowControl/>
        <w:kinsoku/>
        <w:wordWrap/>
        <w:overflowPunct/>
        <w:topLinePunct w:val="0"/>
        <w:autoSpaceDE/>
        <w:autoSpaceDN/>
        <w:bidi w:val="0"/>
        <w:spacing w:before="0" w:after="0" w:line="360" w:lineRule="auto"/>
        <w:jc w:val="both"/>
        <w:outlineLvl w:val="9"/>
        <w:rPr>
          <w:rFonts w:hint="eastAsia" w:ascii="微软雅黑" w:hAnsi="微软雅黑" w:eastAsia="微软雅黑" w:cs="微软雅黑"/>
          <w:b w:val="0"/>
          <w:bCs/>
          <w:w w:val="95"/>
          <w:kern w:val="2"/>
          <w:sz w:val="24"/>
          <w:szCs w:val="24"/>
          <w:lang w:val="en-US" w:eastAsia="zh-CN" w:bidi="ar-SA"/>
        </w:rPr>
        <w:sectPr>
          <w:footerReference r:id="rId3" w:type="default"/>
          <w:pgSz w:w="11906" w:h="16838"/>
          <w:pgMar w:top="2098" w:right="1474" w:bottom="1984" w:left="1587" w:header="851" w:footer="1587" w:gutter="0"/>
          <w:pgNumType w:fmt="upperRoman" w:start="1"/>
          <w:cols w:space="720" w:num="1"/>
          <w:docGrid w:type="lines" w:linePitch="312" w:charSpace="0"/>
        </w:sectPr>
      </w:pPr>
      <w:bookmarkStart w:id="15" w:name="_Toc7005"/>
    </w:p>
    <w:bookmarkEnd w:id="15"/>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spacing w:val="20"/>
          <w:sz w:val="44"/>
          <w:szCs w:val="44"/>
          <w:lang w:val="en-US" w:eastAsia="zh-CN"/>
        </w:rPr>
      </w:pPr>
      <w:r>
        <w:rPr>
          <w:rFonts w:hint="eastAsia" w:ascii="方正小标宋简体" w:hAnsi="方正小标宋简体" w:eastAsia="方正小标宋简体" w:cs="方正小标宋简体"/>
          <w:b w:val="0"/>
          <w:bCs/>
          <w:spacing w:val="20"/>
          <w:sz w:val="44"/>
          <w:szCs w:val="44"/>
          <w:lang w:val="en-US" w:eastAsia="zh-CN"/>
        </w:rPr>
        <w:t>三亚市海棠区</w:t>
      </w:r>
      <w:r>
        <w:rPr>
          <w:rFonts w:hint="eastAsia" w:ascii="方正小标宋简体" w:hAnsi="方正小标宋简体" w:eastAsia="方正小标宋简体" w:cs="方正小标宋简体"/>
          <w:b w:val="0"/>
          <w:bCs/>
          <w:spacing w:val="20"/>
          <w:sz w:val="44"/>
          <w:szCs w:val="44"/>
        </w:rPr>
        <w:t>三亚国际免税城纪梵希品牌岛柜“10·2”触电事故</w:t>
      </w:r>
      <w:r>
        <w:rPr>
          <w:rFonts w:hint="eastAsia" w:ascii="方正小标宋简体" w:hAnsi="方正小标宋简体" w:eastAsia="方正小标宋简体" w:cs="方正小标宋简体"/>
          <w:b w:val="0"/>
          <w:bCs/>
          <w:spacing w:val="20"/>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处理工作情况评估报告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国务院安委会办公室关于印发&lt;生产安全事故防范和整改措施落实情况评估办法&gt;的通知》(安委办〔2021〕4号)及《海南省安全生产委员会办公室关于印发&lt;海南省生产安全事故防范和整改措施落实情况评估办法&gt;的通知》(琼安委办〔2021〕130号)文件要求，我区高度重视事故调查报告处理工作情况评估工作。</w:t>
      </w:r>
      <w:r>
        <w:rPr>
          <w:rFonts w:hint="default" w:ascii="仿宋_GB2312" w:hAnsi="宋体" w:eastAsia="仿宋_GB2312" w:cs="仿宋_GB2312"/>
          <w:sz w:val="32"/>
          <w:szCs w:val="32"/>
        </w:rPr>
        <w:t>按照“谁调查、谁评估”的原则，</w:t>
      </w:r>
      <w:r>
        <w:rPr>
          <w:rFonts w:hint="default" w:ascii="仿宋_GB2312" w:eastAsia="仿宋_GB2312" w:cs="仿宋_GB2312"/>
          <w:b w:val="0"/>
          <w:bCs w:val="0"/>
          <w:color w:val="auto"/>
          <w:sz w:val="32"/>
          <w:szCs w:val="32"/>
        </w:rPr>
        <w:t>202</w:t>
      </w:r>
      <w:r>
        <w:rPr>
          <w:rFonts w:hint="eastAsia" w:ascii="仿宋_GB2312" w:eastAsia="仿宋_GB2312" w:cs="仿宋_GB2312"/>
          <w:b w:val="0"/>
          <w:bCs w:val="0"/>
          <w:color w:val="auto"/>
          <w:sz w:val="32"/>
          <w:szCs w:val="32"/>
          <w:lang w:val="en-US" w:eastAsia="zh-CN"/>
        </w:rPr>
        <w:t>3</w:t>
      </w:r>
      <w:r>
        <w:rPr>
          <w:rFonts w:hint="default" w:ascii="仿宋_GB2312" w:hAnsi="宋体" w:eastAsia="仿宋_GB2312" w:cs="仿宋_GB2312"/>
          <w:b w:val="0"/>
          <w:bCs w:val="0"/>
          <w:color w:val="auto"/>
          <w:sz w:val="32"/>
          <w:szCs w:val="32"/>
        </w:rPr>
        <w:t>年</w:t>
      </w:r>
      <w:r>
        <w:rPr>
          <w:rFonts w:hint="eastAsia" w:ascii="仿宋_GB2312" w:eastAsia="仿宋_GB2312" w:cs="仿宋_GB2312"/>
          <w:b w:val="0"/>
          <w:bCs w:val="0"/>
          <w:color w:val="auto"/>
          <w:sz w:val="32"/>
          <w:szCs w:val="32"/>
          <w:lang w:val="en-US" w:eastAsia="zh-CN"/>
        </w:rPr>
        <w:t>10</w:t>
      </w:r>
      <w:r>
        <w:rPr>
          <w:rFonts w:hint="default" w:ascii="仿宋_GB2312" w:hAnsi="宋体" w:eastAsia="仿宋_GB2312" w:cs="仿宋_GB2312"/>
          <w:b w:val="0"/>
          <w:bCs w:val="0"/>
          <w:color w:val="auto"/>
          <w:sz w:val="32"/>
          <w:szCs w:val="32"/>
        </w:rPr>
        <w:t>月</w:t>
      </w:r>
      <w:r>
        <w:rPr>
          <w:rFonts w:hint="eastAsia" w:ascii="仿宋_GB2312" w:eastAsia="仿宋_GB2312" w:cs="仿宋_GB2312"/>
          <w:b w:val="0"/>
          <w:bCs w:val="0"/>
          <w:color w:val="auto"/>
          <w:sz w:val="32"/>
          <w:szCs w:val="32"/>
          <w:lang w:val="en-US" w:eastAsia="zh-CN"/>
        </w:rPr>
        <w:t>7</w:t>
      </w:r>
      <w:r>
        <w:rPr>
          <w:rFonts w:hint="default" w:ascii="仿宋_GB2312" w:hAnsi="宋体" w:eastAsia="仿宋_GB2312" w:cs="仿宋_GB2312"/>
          <w:b w:val="0"/>
          <w:bCs w:val="0"/>
          <w:color w:val="auto"/>
          <w:sz w:val="32"/>
          <w:szCs w:val="32"/>
        </w:rPr>
        <w:t>日</w:t>
      </w:r>
      <w:r>
        <w:rPr>
          <w:rFonts w:hint="eastAsia" w:ascii="仿宋_GB2312" w:hAnsi="宋体" w:eastAsia="仿宋_GB2312" w:cs="仿宋_GB2312"/>
          <w:sz w:val="32"/>
          <w:szCs w:val="32"/>
          <w:lang w:val="en-US" w:eastAsia="zh-CN"/>
        </w:rPr>
        <w:t>海棠</w:t>
      </w:r>
      <w:r>
        <w:rPr>
          <w:rFonts w:hint="default" w:ascii="仿宋_GB2312" w:hAnsi="宋体" w:eastAsia="仿宋_GB2312" w:cs="仿宋_GB2312"/>
          <w:sz w:val="32"/>
          <w:szCs w:val="32"/>
        </w:rPr>
        <w:t>区政府</w:t>
      </w:r>
      <w:r>
        <w:rPr>
          <w:rFonts w:hint="eastAsia" w:ascii="仿宋_GB2312" w:hAnsi="宋体" w:eastAsia="仿宋_GB2312" w:cs="仿宋_GB2312"/>
          <w:sz w:val="32"/>
          <w:szCs w:val="32"/>
          <w:lang w:val="en-US" w:eastAsia="zh-CN"/>
        </w:rPr>
        <w:t>授权</w:t>
      </w:r>
      <w:r>
        <w:rPr>
          <w:rFonts w:hint="eastAsia" w:ascii="仿宋_GB2312" w:hAnsi="仿宋_GB2312" w:eastAsia="仿宋_GB2312" w:cs="仿宋_GB2312"/>
          <w:sz w:val="32"/>
          <w:szCs w:val="32"/>
          <w:lang w:val="en-US" w:eastAsia="zh-CN"/>
        </w:rPr>
        <w:t>由区安委办牵头组织成立了“</w:t>
      </w:r>
      <w:r>
        <w:rPr>
          <w:rFonts w:hint="eastAsia" w:ascii="仿宋" w:hAnsi="仿宋" w:eastAsia="仿宋" w:cs="仿宋"/>
          <w:sz w:val="32"/>
          <w:szCs w:val="32"/>
          <w:lang w:val="en-US" w:eastAsia="zh-CN"/>
        </w:rPr>
        <w:t>三亚市海棠区</w:t>
      </w:r>
      <w:r>
        <w:rPr>
          <w:rFonts w:hint="eastAsia" w:ascii="仿宋" w:hAnsi="仿宋" w:eastAsia="仿宋" w:cs="仿宋"/>
          <w:sz w:val="32"/>
          <w:szCs w:val="32"/>
        </w:rPr>
        <w:t>三亚国际免税城纪梵希品牌岛柜“10·2”触电事故</w:t>
      </w:r>
      <w:r>
        <w:rPr>
          <w:rFonts w:hint="eastAsia" w:ascii="仿宋_GB2312" w:hAnsi="仿宋_GB2312" w:eastAsia="仿宋_GB2312" w:cs="仿宋_GB2312"/>
          <w:sz w:val="32"/>
          <w:szCs w:val="32"/>
          <w:lang w:val="en-US" w:eastAsia="zh-CN"/>
        </w:rPr>
        <w:t>报告调查处理评估工作领导小组”（以下简称“事故评估组”），在事故评估组全体同志的努力和我区各有关部门、企业和个人的支持配合下，完成了</w:t>
      </w:r>
      <w:r>
        <w:rPr>
          <w:rFonts w:hint="eastAsia" w:ascii="仿宋" w:hAnsi="仿宋" w:eastAsia="仿宋" w:cs="仿宋"/>
          <w:sz w:val="32"/>
          <w:szCs w:val="32"/>
          <w:lang w:val="en-US" w:eastAsia="zh-CN"/>
        </w:rPr>
        <w:t>三亚市海棠区</w:t>
      </w:r>
      <w:r>
        <w:rPr>
          <w:rFonts w:hint="eastAsia" w:ascii="仿宋" w:hAnsi="仿宋" w:eastAsia="仿宋" w:cs="仿宋"/>
          <w:sz w:val="32"/>
          <w:szCs w:val="32"/>
        </w:rPr>
        <w:t>三亚国际免税城纪梵希品牌岛柜“10·2”触电事故</w:t>
      </w:r>
      <w:r>
        <w:rPr>
          <w:rFonts w:hint="eastAsia" w:ascii="仿宋_GB2312" w:hAnsi="仿宋_GB2312" w:eastAsia="仿宋_GB2312" w:cs="仿宋_GB2312"/>
          <w:sz w:val="32"/>
          <w:szCs w:val="32"/>
          <w:lang w:val="en-US" w:eastAsia="zh-CN"/>
        </w:rPr>
        <w:t>调查报告中指出的处理建议、事故防范和整改措施落实情况评估工作，并形成事故调查报告处理工作评估报告。据现将工作情况报告如下：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bookmarkStart w:id="16" w:name="_Toc7566"/>
      <w:bookmarkStart w:id="17" w:name="_Toc25055"/>
      <w:r>
        <w:rPr>
          <w:rFonts w:hint="eastAsia" w:ascii="黑体" w:hAnsi="黑体" w:eastAsia="黑体" w:cs="黑体"/>
          <w:sz w:val="32"/>
          <w:szCs w:val="32"/>
          <w:lang w:val="en-US" w:eastAsia="zh-CN"/>
        </w:rPr>
        <w:t>一、评估工作小组组织及开展工作情况</w:t>
      </w:r>
      <w:bookmarkEnd w:id="16"/>
      <w:bookmarkEnd w:id="17"/>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sz w:val="32"/>
          <w:szCs w:val="32"/>
          <w:lang w:val="en-US" w:eastAsia="zh-CN"/>
        </w:rPr>
      </w:pPr>
      <w:bookmarkStart w:id="18" w:name="_Toc23333"/>
      <w:bookmarkStart w:id="19" w:name="_Toc5827"/>
      <w:r>
        <w:rPr>
          <w:rFonts w:hint="eastAsia" w:ascii="楷体" w:hAnsi="楷体" w:eastAsia="楷体" w:cs="楷体"/>
          <w:sz w:val="32"/>
          <w:szCs w:val="32"/>
          <w:lang w:val="en-US" w:eastAsia="zh-CN"/>
        </w:rPr>
        <w:t>（一）评估工作小组成立</w:t>
      </w:r>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FF0000"/>
          <w:sz w:val="32"/>
          <w:szCs w:val="32"/>
          <w:lang w:val="en-US" w:eastAsia="zh-CN"/>
        </w:rPr>
      </w:pPr>
      <w:r>
        <w:rPr>
          <w:rFonts w:hint="eastAsia" w:ascii="仿宋" w:hAnsi="仿宋" w:eastAsia="仿宋" w:cs="仿宋"/>
          <w:sz w:val="32"/>
          <w:szCs w:val="32"/>
          <w:lang w:val="en-US" w:eastAsia="zh-CN"/>
        </w:rPr>
        <w:t>三亚市海棠区</w:t>
      </w:r>
      <w:r>
        <w:rPr>
          <w:rFonts w:hint="eastAsia" w:ascii="仿宋" w:hAnsi="仿宋" w:eastAsia="仿宋" w:cs="仿宋"/>
          <w:sz w:val="32"/>
          <w:szCs w:val="32"/>
        </w:rPr>
        <w:t>三亚国际免税城纪梵希品牌岛柜“10·2”触电事故</w:t>
      </w:r>
      <w:r>
        <w:rPr>
          <w:rFonts w:hint="eastAsia" w:ascii="仿宋_GB2312" w:hAnsi="仿宋_GB2312" w:eastAsia="仿宋_GB2312" w:cs="仿宋_GB2312"/>
          <w:sz w:val="32"/>
          <w:szCs w:val="32"/>
          <w:lang w:val="en-US" w:eastAsia="zh-CN"/>
        </w:rPr>
        <w:t>调查报告处理评估工作领导小组，</w:t>
      </w:r>
      <w:r>
        <w:rPr>
          <w:rFonts w:hint="eastAsia" w:ascii="仿宋_GB2312" w:hAnsi="仿宋_GB2312" w:eastAsia="仿宋_GB2312" w:cs="仿宋_GB2312"/>
          <w:b w:val="0"/>
          <w:bCs w:val="0"/>
          <w:color w:val="auto"/>
          <w:sz w:val="32"/>
          <w:szCs w:val="32"/>
          <w:lang w:val="en-US" w:eastAsia="zh-CN"/>
        </w:rPr>
        <w:t>于2023年10月成立。</w:t>
      </w:r>
      <w:r>
        <w:rPr>
          <w:rFonts w:hint="default" w:ascii="仿宋_GB2312" w:hAnsi="宋体" w:eastAsia="仿宋_GB2312" w:cs="仿宋_GB2312"/>
          <w:b w:val="0"/>
          <w:bCs w:val="0"/>
          <w:color w:val="auto"/>
          <w:sz w:val="32"/>
          <w:szCs w:val="32"/>
        </w:rPr>
        <w:t>事故评估组由区政府办牵头，</w:t>
      </w:r>
      <w:r>
        <w:rPr>
          <w:rFonts w:hint="eastAsia" w:ascii="仿宋_GB2312" w:hAnsi="仿宋_GB2312" w:eastAsia="仿宋_GB2312" w:cs="仿宋_GB2312"/>
          <w:b w:val="0"/>
          <w:bCs w:val="0"/>
          <w:color w:val="auto"/>
          <w:sz w:val="32"/>
          <w:szCs w:val="32"/>
          <w:lang w:val="en-US" w:eastAsia="zh-CN"/>
        </w:rPr>
        <w:t>组长由区安委办主任、区应急管理局长姚辉担任，全面负责事故调查处理评估工作，事故调查组成员包括、区应急局、</w:t>
      </w:r>
      <w:r>
        <w:rPr>
          <w:rFonts w:hint="eastAsia" w:ascii="仿宋" w:hAnsi="仿宋" w:eastAsia="仿宋" w:cs="仿宋"/>
          <w:sz w:val="32"/>
          <w:szCs w:val="32"/>
          <w:lang w:eastAsia="zh-CN"/>
        </w:rPr>
        <w:t>区商务和金融发展局、藤桥派出所</w:t>
      </w:r>
      <w:r>
        <w:rPr>
          <w:rFonts w:hint="eastAsia" w:ascii="仿宋_GB2312" w:hAnsi="仿宋_GB2312" w:eastAsia="仿宋_GB2312" w:cs="仿宋_GB2312"/>
          <w:b w:val="0"/>
          <w:bCs w:val="0"/>
          <w:color w:val="auto"/>
          <w:sz w:val="32"/>
          <w:szCs w:val="32"/>
          <w:lang w:val="en-US" w:eastAsia="zh-CN"/>
        </w:rPr>
        <w:t>、区人社局、总工会等部门人员。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sz w:val="32"/>
          <w:szCs w:val="32"/>
          <w:lang w:val="en-US" w:eastAsia="zh-CN"/>
        </w:rPr>
      </w:pPr>
      <w:bookmarkStart w:id="20" w:name="_Toc5383"/>
      <w:bookmarkStart w:id="21" w:name="_Toc162"/>
      <w:r>
        <w:rPr>
          <w:rFonts w:hint="eastAsia" w:ascii="楷体" w:hAnsi="楷体" w:eastAsia="楷体" w:cs="楷体"/>
          <w:sz w:val="32"/>
          <w:szCs w:val="32"/>
          <w:lang w:val="en-US" w:eastAsia="zh-CN"/>
        </w:rPr>
        <w:t>（二）评估工作开展情况</w:t>
      </w:r>
      <w:bookmarkEnd w:id="20"/>
      <w:bookmarkEnd w:id="2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事故评估组按照“四不放过”和“系统评估”的原则，依据区政府批复的《</w:t>
      </w:r>
      <w:r>
        <w:rPr>
          <w:rFonts w:hint="eastAsia" w:ascii="仿宋_GB2312" w:hAnsi="仿宋_GB2312" w:eastAsia="仿宋_GB2312" w:cs="仿宋_GB2312"/>
          <w:sz w:val="32"/>
          <w:szCs w:val="32"/>
          <w:lang w:val="en-US" w:eastAsia="zh-CN"/>
        </w:rPr>
        <w:t>三亚市海棠区</w:t>
      </w:r>
      <w:r>
        <w:rPr>
          <w:rFonts w:hint="eastAsia" w:ascii="仿宋_GB2312" w:hAnsi="仿宋_GB2312" w:eastAsia="仿宋_GB2312" w:cs="仿宋_GB2312"/>
          <w:sz w:val="32"/>
          <w:szCs w:val="32"/>
        </w:rPr>
        <w:t>三亚国际免税城纪梵希品牌岛柜“10·2”触电事故</w:t>
      </w:r>
      <w:r>
        <w:rPr>
          <w:rFonts w:hint="eastAsia" w:ascii="仿宋_GB2312" w:hAnsi="仿宋_GB2312" w:eastAsia="仿宋_GB2312" w:cs="仿宋_GB2312"/>
          <w:sz w:val="32"/>
          <w:szCs w:val="32"/>
          <w:lang w:val="en-US" w:eastAsia="zh-CN"/>
        </w:rPr>
        <w:t>调查报告</w:t>
      </w:r>
      <w:r>
        <w:rPr>
          <w:rFonts w:hint="eastAsia" w:ascii="仿宋_GB2312" w:hAnsi="仿宋_GB2312" w:eastAsia="仿宋_GB2312" w:cs="仿宋_GB2312"/>
          <w:sz w:val="32"/>
          <w:szCs w:val="32"/>
        </w:rPr>
        <w:t>》，通过调阅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事故案卷资料，对接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事故原事故调查组成员了解相关情况，收集有关证据材料，开展现场评估，通过资料审查、座谈问询、查阅文件、现场核查，对责任追究及事故防范措施落实情况逐项开展了检查评估，形成了初步意见。</w:t>
      </w:r>
      <w:r>
        <w:rPr>
          <w:rFonts w:hint="eastAsia" w:ascii="仿宋_GB2312" w:hAnsi="仿宋_GB2312" w:eastAsia="仿宋_GB2312" w:cs="仿宋_GB2312"/>
          <w:sz w:val="32"/>
          <w:szCs w:val="32"/>
          <w:lang w:val="en-US" w:eastAsia="zh-CN"/>
        </w:rPr>
        <w:t>2023年10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日，经事故评估组研究讨论，形成了</w:t>
      </w:r>
      <w:r>
        <w:rPr>
          <w:rFonts w:hint="eastAsia" w:ascii="仿宋_GB2312" w:hAnsi="仿宋_GB2312" w:eastAsia="仿宋_GB2312" w:cs="仿宋_GB2312"/>
          <w:sz w:val="32"/>
          <w:szCs w:val="32"/>
          <w:lang w:val="en-US" w:eastAsia="zh-CN"/>
        </w:rPr>
        <w:t>《三亚市海棠区</w:t>
      </w:r>
      <w:r>
        <w:rPr>
          <w:rFonts w:hint="eastAsia" w:ascii="仿宋_GB2312" w:hAnsi="仿宋_GB2312" w:eastAsia="仿宋_GB2312" w:cs="仿宋_GB2312"/>
          <w:sz w:val="32"/>
          <w:szCs w:val="32"/>
        </w:rPr>
        <w:t>三亚国际免税城纪梵希品牌岛柜“10·2”触电事故</w:t>
      </w:r>
      <w:r>
        <w:rPr>
          <w:rFonts w:hint="eastAsia" w:ascii="仿宋_GB2312" w:hAnsi="仿宋_GB2312" w:eastAsia="仿宋_GB2312" w:cs="仿宋_GB2312"/>
          <w:sz w:val="32"/>
          <w:szCs w:val="32"/>
          <w:lang w:val="en-US" w:eastAsia="zh-CN"/>
        </w:rPr>
        <w:t>调查报告处理工作情况评估报告》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bookmarkStart w:id="22" w:name="_Toc25733"/>
      <w:bookmarkStart w:id="23" w:name="_Toc12588"/>
      <w:r>
        <w:rPr>
          <w:rFonts w:hint="eastAsia" w:ascii="黑体" w:hAnsi="黑体" w:eastAsia="黑体" w:cs="黑体"/>
          <w:sz w:val="32"/>
          <w:szCs w:val="32"/>
          <w:lang w:val="en-US" w:eastAsia="zh-CN"/>
        </w:rPr>
        <w:t>二、事故基本情况</w:t>
      </w:r>
      <w:bookmarkEnd w:id="22"/>
      <w:bookmarkEnd w:id="23"/>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03时18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左右</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三亚国际免税城纪梵希品牌岛柜，柜组内施工作业时发生</w:t>
      </w:r>
      <w:r>
        <w:rPr>
          <w:rFonts w:hint="eastAsia" w:ascii="仿宋_GB2312" w:hAnsi="仿宋_GB2312" w:eastAsia="仿宋_GB2312" w:cs="仿宋_GB2312"/>
          <w:sz w:val="32"/>
          <w:szCs w:val="32"/>
        </w:rPr>
        <w:t>一起</w:t>
      </w:r>
      <w:r>
        <w:rPr>
          <w:rFonts w:hint="eastAsia" w:ascii="仿宋_GB2312" w:hAnsi="仿宋_GB2312" w:eastAsia="仿宋_GB2312" w:cs="仿宋_GB2312"/>
          <w:sz w:val="32"/>
          <w:szCs w:val="32"/>
          <w:lang w:eastAsia="zh-CN"/>
        </w:rPr>
        <w:t>触电事故。事故</w:t>
      </w:r>
      <w:r>
        <w:rPr>
          <w:rFonts w:hint="eastAsia" w:ascii="仿宋_GB2312" w:hAnsi="仿宋_GB2312" w:eastAsia="仿宋_GB2312" w:cs="仿宋_GB2312"/>
          <w:sz w:val="32"/>
          <w:szCs w:val="32"/>
        </w:rPr>
        <w:t>造成</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人死亡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事故发生后，区政府依法成立事故调查组，查明了事故发生的经过、原因、认定事故性质和责任。</w:t>
      </w:r>
      <w:r>
        <w:rPr>
          <w:rFonts w:hint="eastAsia" w:ascii="仿宋_GB2312" w:hAnsi="仿宋_GB2312" w:eastAsia="仿宋_GB2312" w:cs="仿宋_GB2312"/>
          <w:b w:val="0"/>
          <w:bCs w:val="0"/>
          <w:color w:val="auto"/>
          <w:sz w:val="32"/>
          <w:szCs w:val="32"/>
          <w:lang w:val="en-US" w:eastAsia="zh-CN"/>
        </w:rPr>
        <w:t>2022年12月1日</w:t>
      </w:r>
      <w:r>
        <w:rPr>
          <w:rFonts w:hint="eastAsia" w:ascii="仿宋_GB2312" w:hAnsi="仿宋_GB2312" w:eastAsia="仿宋_GB2312" w:cs="仿宋_GB2312"/>
          <w:sz w:val="32"/>
          <w:szCs w:val="32"/>
          <w:lang w:val="en-US" w:eastAsia="zh-CN"/>
        </w:rPr>
        <w:t>完成事故调查，并形成《三亚市海棠区</w:t>
      </w:r>
      <w:r>
        <w:rPr>
          <w:rFonts w:hint="eastAsia" w:ascii="仿宋_GB2312" w:hAnsi="仿宋_GB2312" w:eastAsia="仿宋_GB2312" w:cs="仿宋_GB2312"/>
          <w:sz w:val="32"/>
          <w:szCs w:val="32"/>
        </w:rPr>
        <w:t>三亚国际免税城纪梵希品牌岛柜“10·2”触电事故</w:t>
      </w:r>
      <w:r>
        <w:rPr>
          <w:rFonts w:hint="eastAsia" w:ascii="仿宋_GB2312" w:hAnsi="仿宋_GB2312" w:eastAsia="仿宋_GB2312" w:cs="仿宋_GB2312"/>
          <w:sz w:val="32"/>
          <w:szCs w:val="32"/>
          <w:lang w:val="en-US" w:eastAsia="zh-CN"/>
        </w:rPr>
        <w:t>调查报告</w:t>
      </w:r>
      <w:r>
        <w:rPr>
          <w:rFonts w:hint="eastAsia" w:ascii="仿宋_GB2312" w:hAnsi="仿宋_GB2312" w:eastAsia="仿宋_GB2312" w:cs="仿宋_GB2312"/>
          <w:sz w:val="32"/>
          <w:szCs w:val="32"/>
          <w:lang w:val="en-US" w:eastAsia="zh-CN"/>
        </w:rPr>
        <w:t>》(以下简称《事故调查报告》)。</w:t>
      </w:r>
      <w:bookmarkStart w:id="24" w:name="bookmark3"/>
    </w:p>
    <w:bookmarkEnd w:id="24"/>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bookmarkStart w:id="25" w:name="_Toc16214"/>
      <w:bookmarkStart w:id="26" w:name="_Toc32194"/>
      <w:r>
        <w:rPr>
          <w:rFonts w:hint="eastAsia" w:ascii="黑体" w:hAnsi="黑体" w:eastAsia="黑体" w:cs="黑体"/>
          <w:sz w:val="32"/>
          <w:szCs w:val="32"/>
          <w:lang w:val="en-US" w:eastAsia="zh-CN"/>
        </w:rPr>
        <w:t>三、事故调查及处理过程</w:t>
      </w:r>
      <w:bookmarkEnd w:id="25"/>
      <w:bookmarkEnd w:id="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2022年10月8日，事故发生后，事故调查组在海棠</w:t>
      </w:r>
      <w:r>
        <w:rPr>
          <w:rFonts w:hint="eastAsia" w:ascii="仿宋" w:hAnsi="仿宋" w:eastAsia="仿宋" w:cs="仿宋"/>
          <w:b w:val="0"/>
          <w:bCs w:val="0"/>
          <w:sz w:val="32"/>
          <w:szCs w:val="32"/>
          <w:lang w:val="en-US" w:eastAsia="zh-CN"/>
        </w:rPr>
        <w:t>区政府第一会议室（304）</w:t>
      </w:r>
      <w:r>
        <w:rPr>
          <w:rFonts w:hint="eastAsia" w:ascii="仿宋_GB2312" w:hAnsi="仿宋_GB2312" w:eastAsia="仿宋_GB2312" w:cs="仿宋_GB2312"/>
          <w:b w:val="0"/>
          <w:bCs w:val="0"/>
          <w:color w:val="auto"/>
          <w:sz w:val="32"/>
          <w:szCs w:val="32"/>
          <w:lang w:val="en-US" w:eastAsia="zh-CN"/>
        </w:rPr>
        <w:t>召开事故调查会。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2022年10月10日，区政府授权海棠区应急管理局于牵头成立事故调查组，立即开展事故调查。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2022年12月1日，事故调查工作全部完成并形成《事故调查报告》，上报区政府。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sz w:val="32"/>
          <w:szCs w:val="32"/>
          <w:lang w:eastAsia="zh-CN"/>
        </w:rPr>
      </w:pPr>
      <w:r>
        <w:rPr>
          <w:rFonts w:hint="eastAsia" w:ascii="仿宋_GB2312" w:hAnsi="仿宋_GB2312" w:eastAsia="仿宋_GB2312" w:cs="仿宋_GB2312"/>
          <w:b w:val="0"/>
          <w:bCs w:val="0"/>
          <w:color w:val="auto"/>
          <w:sz w:val="32"/>
          <w:szCs w:val="32"/>
          <w:lang w:val="en-US" w:eastAsia="zh-CN"/>
        </w:rPr>
        <w:t>2022年12月8日，</w:t>
      </w:r>
      <w:r>
        <w:rPr>
          <w:rFonts w:hint="default" w:ascii="仿宋_GB2312" w:hAnsi="宋体" w:eastAsia="仿宋_GB2312" w:cs="仿宋_GB2312"/>
          <w:b w:val="0"/>
          <w:bCs w:val="0"/>
          <w:color w:val="auto"/>
          <w:sz w:val="32"/>
          <w:szCs w:val="32"/>
        </w:rPr>
        <w:t>区</w:t>
      </w:r>
      <w:r>
        <w:rPr>
          <w:rFonts w:hint="default" w:ascii="仿宋_GB2312" w:hAnsi="宋体" w:eastAsia="仿宋_GB2312" w:cs="仿宋_GB2312"/>
          <w:sz w:val="32"/>
          <w:szCs w:val="32"/>
        </w:rPr>
        <w:t>政府</w:t>
      </w:r>
      <w:r>
        <w:rPr>
          <w:rFonts w:hint="eastAsia" w:ascii="仿宋_GB2312" w:hAnsi="宋体" w:eastAsia="仿宋_GB2312" w:cs="仿宋_GB2312"/>
          <w:sz w:val="32"/>
          <w:szCs w:val="32"/>
          <w:lang w:val="en-US" w:eastAsia="zh-CN"/>
        </w:rPr>
        <w:t>作出</w:t>
      </w:r>
      <w:r>
        <w:rPr>
          <w:rFonts w:hint="default" w:ascii="仿宋_GB2312" w:hAnsi="宋体" w:eastAsia="仿宋_GB2312" w:cs="仿宋_GB2312"/>
          <w:sz w:val="32"/>
          <w:szCs w:val="32"/>
        </w:rPr>
        <w:t>批复</w:t>
      </w:r>
      <w:r>
        <w:rPr>
          <w:rFonts w:hint="eastAsia" w:ascii="仿宋_GB2312" w:hAnsi="宋体" w:eastAsia="仿宋_GB2312" w:cs="仿宋_GB2312"/>
          <w:sz w:val="32"/>
          <w:szCs w:val="32"/>
          <w:lang w:eastAsia="zh-CN"/>
        </w:rPr>
        <w:t>，</w:t>
      </w:r>
      <w:r>
        <w:rPr>
          <w:rFonts w:hint="default" w:ascii="仿宋_GB2312" w:hAnsi="宋体" w:eastAsia="仿宋_GB2312" w:cs="仿宋_GB2312"/>
          <w:sz w:val="32"/>
          <w:szCs w:val="32"/>
        </w:rPr>
        <w:t>同意</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10</w:t>
      </w:r>
      <w:r>
        <w:rPr>
          <w:rFonts w:hint="default" w:ascii="仿宋_GB2312" w:hAnsi="宋体" w:eastAsia="仿宋_GB2312" w:cs="仿宋_GB2312"/>
          <w:sz w:val="32"/>
          <w:szCs w:val="32"/>
          <w:lang w:val="en-US" w:eastAsia="zh-CN"/>
        </w:rPr>
        <w:t>·</w:t>
      </w:r>
      <w:r>
        <w:rPr>
          <w:rFonts w:hint="eastAsia" w:ascii="仿宋_GB2312" w:hAnsi="宋体" w:eastAsia="仿宋_GB2312" w:cs="仿宋_GB2312"/>
          <w:sz w:val="32"/>
          <w:szCs w:val="32"/>
          <w:lang w:val="en-US" w:eastAsia="zh-CN"/>
        </w:rPr>
        <w:t>2</w:t>
      </w:r>
      <w:r>
        <w:rPr>
          <w:rFonts w:hint="eastAsia" w:ascii="仿宋_GB2312" w:hAnsi="宋体" w:eastAsia="仿宋_GB2312" w:cs="仿宋_GB2312"/>
          <w:sz w:val="32"/>
          <w:szCs w:val="32"/>
          <w:lang w:eastAsia="zh-CN"/>
        </w:rPr>
        <w:t>”</w:t>
      </w:r>
      <w:r>
        <w:rPr>
          <w:rFonts w:hint="default" w:ascii="仿宋_GB2312" w:hAnsi="宋体" w:eastAsia="仿宋_GB2312" w:cs="仿宋_GB2312"/>
          <w:sz w:val="32"/>
          <w:szCs w:val="32"/>
        </w:rPr>
        <w:t>事故调查报告</w:t>
      </w:r>
      <w:r>
        <w:rPr>
          <w:rFonts w:hint="eastAsia" w:ascii="仿宋_GB2312"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事故调查报告批复同意后，事故各相关部门按照《事故调查报告》中提出的“对事故责任单位和相关责任人的处理建议”</w:t>
      </w:r>
      <w:r>
        <w:rPr>
          <w:rFonts w:hint="default" w:ascii="仿宋_GB2312" w:hAnsi="宋体" w:eastAsia="仿宋_GB2312" w:cs="仿宋_GB2312"/>
          <w:sz w:val="32"/>
          <w:szCs w:val="32"/>
        </w:rPr>
        <w:t>对事故责任人员和责任单位进行了处理</w:t>
      </w:r>
      <w:r>
        <w:rPr>
          <w:rFonts w:hint="eastAsia" w:ascii="仿宋_GB2312" w:hAnsi="宋体" w:eastAsia="仿宋_GB2312" w:cs="仿宋_GB2312"/>
          <w:sz w:val="32"/>
          <w:szCs w:val="32"/>
          <w:lang w:eastAsia="zh-CN"/>
        </w:rPr>
        <w:t>；</w:t>
      </w:r>
      <w:r>
        <w:rPr>
          <w:rFonts w:hint="eastAsia" w:ascii="仿宋_GB2312" w:hAnsi="仿宋_GB2312" w:eastAsia="仿宋_GB2312" w:cs="仿宋_GB2312"/>
          <w:sz w:val="32"/>
          <w:szCs w:val="32"/>
          <w:lang w:val="en-US" w:eastAsia="zh-CN"/>
        </w:rPr>
        <w:t>各相关部门及单位按照《事故调查报告》中提出的“事故防范和整改措施”要求，积极落实各项事故防范和整改措施。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bookmarkStart w:id="27" w:name="_Toc6771"/>
      <w:r>
        <w:rPr>
          <w:rFonts w:hint="eastAsia" w:ascii="黑体" w:hAnsi="黑体" w:eastAsia="黑体" w:cs="黑体"/>
          <w:sz w:val="32"/>
          <w:szCs w:val="32"/>
          <w:lang w:val="en-US" w:eastAsia="zh-CN"/>
        </w:rPr>
        <w:t>四、事故相关责任单位及责任人员责任追究落实情况</w:t>
      </w:r>
      <w:bookmarkEnd w:id="27"/>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sz w:val="32"/>
          <w:szCs w:val="32"/>
          <w:lang w:val="en-US" w:eastAsia="zh-CN"/>
        </w:rPr>
      </w:pPr>
      <w:bookmarkStart w:id="28" w:name="_Toc32001"/>
      <w:r>
        <w:rPr>
          <w:rFonts w:hint="eastAsia" w:ascii="楷体" w:hAnsi="楷体" w:eastAsia="楷体" w:cs="楷体"/>
          <w:sz w:val="32"/>
          <w:szCs w:val="32"/>
          <w:lang w:val="en-US" w:eastAsia="zh-CN"/>
        </w:rPr>
        <w:t>（一）对事故有关责任人员的行政处罚落实情况：</w:t>
      </w:r>
      <w:bookmarkEnd w:id="28"/>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Cs w:val="32"/>
          <w:lang w:val="en-US" w:eastAsia="zh-CN"/>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事故责任认定及处理建议，由</w:t>
      </w:r>
      <w:r>
        <w:rPr>
          <w:rFonts w:hint="eastAsia" w:ascii="仿宋_GB2312" w:hAnsi="仿宋_GB2312" w:eastAsia="仿宋_GB2312" w:cs="仿宋_GB2312"/>
          <w:sz w:val="32"/>
          <w:szCs w:val="32"/>
          <w:lang w:eastAsia="zh-CN"/>
        </w:rPr>
        <w:t>三亚市综合行政执法局</w:t>
      </w:r>
      <w:r>
        <w:rPr>
          <w:rFonts w:hint="eastAsia" w:ascii="仿宋_GB2312" w:hAnsi="仿宋_GB2312" w:eastAsia="仿宋_GB2312" w:cs="仿宋_GB2312"/>
          <w:sz w:val="32"/>
          <w:szCs w:val="32"/>
          <w:lang w:val="en-US" w:eastAsia="zh-CN"/>
        </w:rPr>
        <w:t>进行行政处罚的责任</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p>
    <w:p>
      <w:pPr>
        <w:pStyle w:val="2"/>
        <w:pageBreakBefore w:val="0"/>
        <w:kinsoku/>
        <w:wordWrap/>
        <w:overflowPunct/>
        <w:topLinePunct w:val="0"/>
        <w:autoSpaceDE/>
        <w:autoSpaceDN/>
        <w:bidi w:val="0"/>
        <w:spacing w:line="560" w:lineRule="exact"/>
        <w:ind w:left="0" w:leftChars="0" w:firstLine="643"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1、张瑜</w:t>
      </w:r>
      <w:r>
        <w:rPr>
          <w:rFonts w:hint="eastAsia" w:ascii="仿宋_GB2312" w:hAnsi="仿宋_GB2312" w:eastAsia="仿宋_GB2312" w:cs="仿宋_GB2312"/>
          <w:sz w:val="32"/>
          <w:szCs w:val="32"/>
          <w:lang w:val="en-US" w:eastAsia="zh-CN"/>
        </w:rPr>
        <w:t>：男，</w:t>
      </w:r>
      <w:r>
        <w:rPr>
          <w:rFonts w:hint="eastAsia" w:ascii="仿宋_GB2312" w:hAnsi="宋体" w:eastAsia="仿宋_GB2312" w:cs="仿宋_GB2312"/>
          <w:kern w:val="2"/>
          <w:sz w:val="32"/>
          <w:szCs w:val="32"/>
          <w:lang w:val="en-US" w:eastAsia="zh-CN" w:bidi="ar-SA"/>
        </w:rPr>
        <w:t>海南琥珀装饰有限公司的安装负责人</w:t>
      </w:r>
      <w:r>
        <w:rPr>
          <w:rFonts w:hint="eastAsia" w:ascii="Times New Roman" w:hAnsi="Times New Roman" w:eastAsia="仿宋_GB2312" w:cs="Times New Roman"/>
          <w:sz w:val="32"/>
          <w:szCs w:val="32"/>
          <w:lang w:val="en-US" w:eastAsia="zh-CN"/>
        </w:rPr>
        <w:t>。</w:t>
      </w:r>
    </w:p>
    <w:p>
      <w:pPr>
        <w:pStyle w:val="2"/>
        <w:pageBreakBefore w:val="0"/>
        <w:kinsoku/>
        <w:wordWrap/>
        <w:overflowPunct/>
        <w:topLinePunct w:val="0"/>
        <w:autoSpaceDE/>
        <w:autoSpaceDN/>
        <w:bidi w:val="0"/>
        <w:spacing w:line="560" w:lineRule="exact"/>
        <w:ind w:left="0" w:leftChars="0" w:firstLine="643" w:firstLineChars="200"/>
        <w:rPr>
          <w:rFonts w:hint="eastAsia" w:ascii="仿宋_GB2312" w:hAnsi="宋体"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违法违规事实：</w:t>
      </w:r>
      <w:r>
        <w:rPr>
          <w:rFonts w:hint="eastAsia" w:ascii="仿宋_GB2312" w:hAnsi="宋体" w:eastAsia="仿宋_GB2312" w:cs="仿宋_GB2312"/>
          <w:kern w:val="2"/>
          <w:sz w:val="32"/>
          <w:szCs w:val="32"/>
          <w:lang w:val="en-US" w:eastAsia="zh-CN" w:bidi="ar-SA"/>
        </w:rPr>
        <w:t>海南琥珀装饰有限公司的安装负责人</w:t>
      </w:r>
      <w:r>
        <w:rPr>
          <w:rFonts w:hint="eastAsia" w:ascii="仿宋_GB2312" w:hAnsi="宋体" w:eastAsia="仿宋_GB2312" w:cs="仿宋_GB2312"/>
          <w:kern w:val="2"/>
          <w:sz w:val="32"/>
          <w:szCs w:val="32"/>
          <w:lang w:val="en-US" w:eastAsia="zh-CN" w:bidi="ar-SA"/>
        </w:rPr>
        <w:t>，未能提供有效资料证明其依法履行其管理职责范围内对现场安装的安全生产管理职责，对事故负主要责任。</w:t>
      </w:r>
    </w:p>
    <w:p>
      <w:pPr>
        <w:pStyle w:val="2"/>
        <w:pageBreakBefore w:val="0"/>
        <w:kinsoku/>
        <w:wordWrap/>
        <w:overflowPunct/>
        <w:topLinePunct w:val="0"/>
        <w:autoSpaceDE/>
        <w:autoSpaceDN/>
        <w:bidi w:val="0"/>
        <w:spacing w:line="560" w:lineRule="exact"/>
        <w:ind w:left="0" w:leftChars="0" w:firstLine="643"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bidi="ar"/>
        </w:rPr>
        <w:t>违法违规条款：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违反了《中华人民共和国安全生产法》第五条规定：其他负责人对职责范围内的安全生产工作负责。</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仿宋_GB2312" w:hAnsi="微软雅黑" w:eastAsia="仿宋_GB2312" w:cs="仿宋_GB2312"/>
          <w:i w:val="0"/>
          <w:iCs w:val="0"/>
          <w:caps w:val="0"/>
          <w:color w:val="0000FF"/>
          <w:spacing w:val="0"/>
          <w:sz w:val="32"/>
          <w:szCs w:val="32"/>
          <w:shd w:val="clear" w:color="auto" w:fill="FFFFFF"/>
          <w:lang w:val="en-US" w:eastAsia="zh-CN"/>
        </w:rPr>
      </w:pPr>
      <w:r>
        <w:rPr>
          <w:rFonts w:hint="eastAsia" w:ascii="Times New Roman" w:hAnsi="Times New Roman" w:eastAsia="仿宋_GB2312" w:cs="Times New Roman"/>
          <w:b/>
          <w:bCs/>
          <w:sz w:val="32"/>
          <w:szCs w:val="32"/>
          <w:lang w:val="en-US" w:eastAsia="zh-CN"/>
        </w:rPr>
        <w:t>处理建议：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建议</w:t>
      </w:r>
      <w:r>
        <w:rPr>
          <w:rFonts w:hint="default" w:ascii="仿宋_GB2312" w:hAnsi="宋体" w:eastAsia="仿宋_GB2312" w:cs="仿宋_GB2312"/>
          <w:sz w:val="32"/>
          <w:szCs w:val="32"/>
          <w:lang w:val="en-US" w:eastAsia="zh-CN"/>
        </w:rPr>
        <w:t>由</w:t>
      </w:r>
      <w:r>
        <w:rPr>
          <w:rFonts w:hint="eastAsia" w:ascii="仿宋_GB2312" w:hAnsi="宋体" w:eastAsia="仿宋_GB2312" w:cs="仿宋_GB2312"/>
          <w:sz w:val="32"/>
          <w:szCs w:val="32"/>
          <w:lang w:val="en-US" w:eastAsia="zh-CN"/>
        </w:rPr>
        <w:t>行政执法部门</w:t>
      </w:r>
      <w:r>
        <w:rPr>
          <w:rFonts w:hint="default" w:ascii="仿宋_GB2312" w:hAnsi="宋体" w:eastAsia="仿宋_GB2312" w:cs="仿宋_GB2312"/>
          <w:sz w:val="32"/>
          <w:szCs w:val="32"/>
          <w:lang w:val="en-US" w:eastAsia="zh-CN"/>
        </w:rPr>
        <w:t>依</w:t>
      </w:r>
      <w:r>
        <w:rPr>
          <w:rFonts w:hint="default" w:ascii="仿宋_GB2312" w:hAnsi="宋体" w:eastAsia="仿宋_GB2312" w:cs="仿宋_GB2312"/>
          <w:sz w:val="32"/>
          <w:szCs w:val="32"/>
        </w:rPr>
        <w:t>照</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中华人民共和国安全生产法</w:t>
      </w:r>
      <w:r>
        <w:rPr>
          <w:rFonts w:hint="eastAsia" w:ascii="仿宋_GB2312" w:hAnsi="宋体" w:eastAsia="仿宋_GB2312" w:cs="仿宋_GB2312"/>
          <w:sz w:val="32"/>
          <w:szCs w:val="32"/>
          <w:lang w:eastAsia="zh-CN"/>
        </w:rPr>
        <w:t>》</w:t>
      </w:r>
      <w:r>
        <w:rPr>
          <w:rFonts w:hint="default" w:ascii="仿宋_GB2312" w:hAnsi="宋体" w:eastAsia="仿宋_GB2312" w:cs="仿宋_GB2312"/>
          <w:sz w:val="32"/>
          <w:szCs w:val="32"/>
          <w:lang w:val="en-US" w:eastAsia="zh-CN"/>
        </w:rPr>
        <w:t>第九十</w:t>
      </w:r>
      <w:r>
        <w:rPr>
          <w:rFonts w:hint="eastAsia" w:ascii="仿宋_GB2312" w:hAnsi="宋体" w:eastAsia="仿宋_GB2312" w:cs="仿宋_GB2312"/>
          <w:sz w:val="32"/>
          <w:szCs w:val="32"/>
          <w:lang w:val="en-US" w:eastAsia="zh-CN"/>
        </w:rPr>
        <w:t>五</w:t>
      </w:r>
      <w:r>
        <w:rPr>
          <w:rFonts w:hint="default" w:ascii="仿宋_GB2312" w:hAnsi="宋体" w:eastAsia="仿宋_GB2312" w:cs="仿宋_GB2312"/>
          <w:sz w:val="32"/>
          <w:szCs w:val="32"/>
          <w:lang w:val="en-US" w:eastAsia="zh-CN"/>
        </w:rPr>
        <w:t>条</w:t>
      </w:r>
      <w:r>
        <w:rPr>
          <w:rFonts w:hint="eastAsia" w:ascii="仿宋_GB2312" w:hAnsi="宋体" w:eastAsia="仿宋_GB2312" w:cs="仿宋_GB2312"/>
          <w:sz w:val="32"/>
          <w:szCs w:val="32"/>
          <w:lang w:val="en-US" w:eastAsia="zh-CN"/>
        </w:rPr>
        <w:t>之规定，对张瑜处上一年年收入百分之四十的罚款</w:t>
      </w:r>
      <w:r>
        <w:rPr>
          <w:rFonts w:hint="default" w:ascii="仿宋_GB2312" w:hAnsi="宋体" w:eastAsia="仿宋_GB2312" w:cs="仿宋_GB2312"/>
          <w:sz w:val="32"/>
          <w:szCs w:val="32"/>
          <w:lang w:val="en-US" w:eastAsia="zh-CN"/>
        </w:rPr>
        <w:t>。</w:t>
      </w:r>
    </w:p>
    <w:p>
      <w:pPr>
        <w:pStyle w:val="2"/>
        <w:pageBreakBefore w:val="0"/>
        <w:kinsoku/>
        <w:wordWrap/>
        <w:overflowPunct/>
        <w:topLinePunct w:val="0"/>
        <w:autoSpaceDE/>
        <w:autoSpaceDN/>
        <w:bidi w:val="0"/>
        <w:spacing w:line="560" w:lineRule="exact"/>
        <w:ind w:left="0" w:leftChars="0" w:firstLine="643"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微软雅黑" w:eastAsia="仿宋_GB2312" w:cs="仿宋_GB2312"/>
          <w:b/>
          <w:bCs/>
          <w:i w:val="0"/>
          <w:iCs w:val="0"/>
          <w:caps w:val="0"/>
          <w:color w:val="000000"/>
          <w:spacing w:val="0"/>
          <w:sz w:val="32"/>
          <w:szCs w:val="32"/>
          <w:shd w:val="clear" w:color="auto" w:fill="FFFFFF"/>
          <w:lang w:val="en-US" w:eastAsia="zh-CN"/>
        </w:rPr>
        <w:t>刘燕霞</w:t>
      </w:r>
      <w:r>
        <w:rPr>
          <w:rFonts w:hint="eastAsia" w:ascii="仿宋_GB2312" w:hAnsi="仿宋_GB2312" w:eastAsia="仿宋_GB2312" w:cs="仿宋_GB2312"/>
          <w:sz w:val="32"/>
          <w:szCs w:val="32"/>
          <w:lang w:val="en-US" w:eastAsia="zh-CN"/>
        </w:rPr>
        <w:t>：女，</w:t>
      </w:r>
      <w:r>
        <w:rPr>
          <w:rFonts w:hint="eastAsia" w:ascii="仿宋_GB2312" w:hAnsi="仿宋_GB2312" w:eastAsia="仿宋_GB2312" w:cs="仿宋_GB2312"/>
          <w:color w:val="auto"/>
          <w:sz w:val="32"/>
          <w:szCs w:val="32"/>
          <w:lang w:val="en-US" w:eastAsia="zh-CN"/>
        </w:rPr>
        <w:t>深圳市鑫磊展示道具制品有限公司</w:t>
      </w:r>
      <w:r>
        <w:rPr>
          <w:rFonts w:hint="eastAsia" w:ascii="仿宋_GB2312" w:hAnsi="宋体" w:eastAsia="仿宋_GB2312" w:cs="仿宋_GB2312"/>
          <w:kern w:val="2"/>
          <w:sz w:val="32"/>
          <w:szCs w:val="32"/>
          <w:lang w:val="en-US" w:eastAsia="zh-CN" w:bidi="ar-SA"/>
        </w:rPr>
        <w:t>经理</w:t>
      </w:r>
      <w:r>
        <w:rPr>
          <w:rFonts w:hint="eastAsia" w:ascii="Times New Roman" w:hAnsi="Times New Roman" w:eastAsia="仿宋_GB2312" w:cs="Times New Roman"/>
          <w:sz w:val="32"/>
          <w:szCs w:val="32"/>
          <w:lang w:val="en-US" w:eastAsia="zh-CN"/>
        </w:rPr>
        <w:t>。</w:t>
      </w:r>
    </w:p>
    <w:p>
      <w:pPr>
        <w:pStyle w:val="2"/>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违法违规事实：</w:t>
      </w:r>
      <w:r>
        <w:rPr>
          <w:rFonts w:hint="eastAsia" w:ascii="仿宋_GB2312" w:hAnsi="仿宋_GB2312" w:eastAsia="仿宋_GB2312" w:cs="仿宋_GB2312"/>
          <w:b w:val="0"/>
          <w:bCs w:val="0"/>
          <w:sz w:val="32"/>
          <w:szCs w:val="32"/>
          <w:lang w:val="en-US" w:eastAsia="zh-CN"/>
        </w:rPr>
        <w:t>刘燕霞作为</w:t>
      </w:r>
      <w:r>
        <w:rPr>
          <w:rFonts w:hint="eastAsia" w:ascii="仿宋_GB2312" w:hAnsi="仿宋_GB2312" w:eastAsia="仿宋_GB2312" w:cs="仿宋_GB2312"/>
          <w:color w:val="auto"/>
          <w:sz w:val="32"/>
          <w:szCs w:val="32"/>
          <w:lang w:val="en-US" w:eastAsia="zh-CN"/>
        </w:rPr>
        <w:t>深圳市鑫磊展示道具制品有限公司经理该项目的负责人</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color w:val="auto"/>
          <w:sz w:val="32"/>
          <w:szCs w:val="32"/>
          <w:lang w:val="en-US" w:eastAsia="zh-CN"/>
        </w:rPr>
        <w:t>排死者参与此项目未进行安全技术交底，未与死者及海南琥珀装饰工程有限公司签订安全责任书，安全生产主体责任未落实</w:t>
      </w:r>
      <w:r>
        <w:rPr>
          <w:rFonts w:hint="eastAsia" w:ascii="仿宋_GB2312" w:hAnsi="仿宋_GB2312" w:eastAsia="仿宋_GB2312" w:cs="仿宋_GB2312"/>
          <w:b w:val="0"/>
          <w:bCs w:val="0"/>
          <w:sz w:val="32"/>
          <w:szCs w:val="32"/>
          <w:lang w:val="en-US" w:eastAsia="zh-CN"/>
        </w:rPr>
        <w:t>。由刘燕霞对该起事故承担其职责范围内的管理责任。</w:t>
      </w:r>
    </w:p>
    <w:p>
      <w:pPr>
        <w:pStyle w:val="2"/>
        <w:pageBreakBefore w:val="0"/>
        <w:kinsoku/>
        <w:wordWrap/>
        <w:overflowPunct/>
        <w:topLinePunct w:val="0"/>
        <w:autoSpaceDE/>
        <w:autoSpaceDN/>
        <w:bidi w:val="0"/>
        <w:spacing w:line="560" w:lineRule="exact"/>
        <w:ind w:left="0" w:leftChars="0" w:firstLine="643"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bidi="ar"/>
        </w:rPr>
        <w:t>违法违规条款：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违反了《中华人民共和国安全生产法》第五条</w:t>
      </w:r>
      <w:r>
        <w:rPr>
          <w:rFonts w:hint="eastAsia" w:eastAsia="仿宋_GB2312" w:cs="Times New Roman"/>
          <w:color w:val="000000" w:themeColor="text1"/>
          <w:sz w:val="32"/>
          <w:szCs w:val="32"/>
          <w:highlight w:val="none"/>
          <w:lang w:val="en-US" w:eastAsia="zh-CN"/>
          <w14:textFill>
            <w14:solidFill>
              <w14:schemeClr w14:val="tx1"/>
            </w14:solidFill>
          </w14:textFill>
        </w:rPr>
        <w:t>之</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规定</w:t>
      </w:r>
      <w:r>
        <w:rPr>
          <w:rFonts w:hint="eastAsia" w:eastAsia="仿宋_GB2312" w:cs="Times New Roman"/>
          <w:color w:val="000000" w:themeColor="text1"/>
          <w:sz w:val="32"/>
          <w:szCs w:val="32"/>
          <w:highlight w:val="none"/>
          <w:lang w:val="en-US" w:eastAsia="zh-CN"/>
          <w14:textFill>
            <w14:solidFill>
              <w14:schemeClr w14:val="tx1"/>
            </w14:solidFill>
          </w14:textFill>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仿宋_GB2312" w:hAnsi="微软雅黑" w:eastAsia="仿宋_GB2312" w:cs="仿宋_GB2312"/>
          <w:i w:val="0"/>
          <w:iCs w:val="0"/>
          <w:caps w:val="0"/>
          <w:color w:val="0000FF"/>
          <w:spacing w:val="0"/>
          <w:sz w:val="32"/>
          <w:szCs w:val="32"/>
          <w:shd w:val="clear" w:color="auto" w:fill="FFFFFF"/>
          <w:lang w:val="en-US" w:eastAsia="zh-CN"/>
        </w:rPr>
      </w:pPr>
      <w:r>
        <w:rPr>
          <w:rFonts w:hint="eastAsia" w:ascii="Times New Roman" w:hAnsi="Times New Roman" w:eastAsia="仿宋_GB2312" w:cs="Times New Roman"/>
          <w:b/>
          <w:bCs/>
          <w:sz w:val="32"/>
          <w:szCs w:val="32"/>
          <w:lang w:val="en-US" w:eastAsia="zh-CN"/>
        </w:rPr>
        <w:t>处理建议：</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建议由行政执法部门依照《中华人民共和国安全生产法》第九十五条之规定，对刘燕霞处以上一年年收入百分之四十的罚款。</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微软雅黑" w:eastAsia="仿宋_GB2312" w:cs="仿宋_GB2312"/>
          <w:b/>
          <w:bCs/>
          <w:i w:val="0"/>
          <w:iCs w:val="0"/>
          <w:caps w:val="0"/>
          <w:color w:val="000000"/>
          <w:spacing w:val="0"/>
          <w:sz w:val="32"/>
          <w:szCs w:val="32"/>
          <w:shd w:val="clear" w:color="auto" w:fill="FFFFFF"/>
          <w:lang w:val="en-US" w:eastAsia="zh-CN"/>
        </w:rPr>
        <w:t>裴寅超</w:t>
      </w:r>
      <w:r>
        <w:rPr>
          <w:rFonts w:hint="eastAsia" w:ascii="仿宋_GB2312" w:hAnsi="仿宋_GB2312" w:eastAsia="仿宋_GB2312" w:cs="仿宋_GB2312"/>
          <w:sz w:val="32"/>
          <w:szCs w:val="32"/>
          <w:lang w:val="en-US" w:eastAsia="zh-CN"/>
        </w:rPr>
        <w:t>：男，</w:t>
      </w:r>
      <w:r>
        <w:rPr>
          <w:rFonts w:hint="eastAsia" w:ascii="Times New Roman" w:hAnsi="Times New Roman" w:eastAsia="仿宋_GB2312" w:cs="Times New Roman"/>
          <w:b w:val="0"/>
          <w:bCs w:val="0"/>
          <w:kern w:val="0"/>
          <w:sz w:val="32"/>
          <w:szCs w:val="32"/>
          <w:lang w:val="en-US" w:eastAsia="zh-CN" w:bidi="ar"/>
        </w:rPr>
        <w:t>深圳市三木堂建筑设计顾问有限公司</w:t>
      </w:r>
      <w:r>
        <w:rPr>
          <w:rFonts w:hint="eastAsia" w:ascii="仿宋_GB2312" w:hAnsi="宋体" w:eastAsia="仿宋_GB2312" w:cs="仿宋_GB2312"/>
          <w:kern w:val="2"/>
          <w:sz w:val="32"/>
          <w:szCs w:val="32"/>
          <w:lang w:val="en-US" w:eastAsia="zh-CN" w:bidi="ar-SA"/>
        </w:rPr>
        <w:t>工程师</w:t>
      </w:r>
      <w:r>
        <w:rPr>
          <w:rFonts w:hint="eastAsia" w:ascii="Times New Roman" w:hAnsi="Times New Roman" w:eastAsia="仿宋_GB2312" w:cs="Times New Roman"/>
          <w:sz w:val="32"/>
          <w:szCs w:val="32"/>
          <w:lang w:val="en-US" w:eastAsia="zh-CN"/>
        </w:rPr>
        <w:t>。</w:t>
      </w:r>
    </w:p>
    <w:p>
      <w:pPr>
        <w:pStyle w:val="2"/>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违法违规事实：</w:t>
      </w:r>
      <w:r>
        <w:rPr>
          <w:rFonts w:hint="eastAsia" w:ascii="仿宋_GB2312" w:hAnsi="仿宋_GB2312" w:eastAsia="仿宋_GB2312" w:cs="仿宋_GB2312"/>
          <w:b w:val="0"/>
          <w:bCs w:val="0"/>
          <w:sz w:val="32"/>
          <w:szCs w:val="32"/>
          <w:lang w:val="en-US" w:eastAsia="zh-CN"/>
        </w:rPr>
        <w:t>裴寅超作为</w:t>
      </w:r>
      <w:r>
        <w:rPr>
          <w:rFonts w:hint="eastAsia" w:ascii="Times New Roman" w:hAnsi="Times New Roman" w:eastAsia="仿宋_GB2312" w:cs="Times New Roman"/>
          <w:b w:val="0"/>
          <w:bCs w:val="0"/>
          <w:kern w:val="0"/>
          <w:sz w:val="32"/>
          <w:szCs w:val="32"/>
          <w:lang w:val="en-US" w:eastAsia="zh-CN" w:bidi="ar"/>
        </w:rPr>
        <w:t>深圳市三木堂建筑设计顾问有限公司</w:t>
      </w:r>
      <w:r>
        <w:rPr>
          <w:rFonts w:hint="eastAsia" w:ascii="仿宋_GB2312" w:hAnsi="仿宋_GB2312" w:eastAsia="仿宋_GB2312" w:cs="仿宋_GB2312"/>
          <w:color w:val="auto"/>
          <w:sz w:val="32"/>
          <w:szCs w:val="32"/>
          <w:lang w:val="en-US" w:eastAsia="zh-CN"/>
        </w:rPr>
        <w:t>工程师该项目的负责人</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Times New Roman"/>
          <w:b w:val="0"/>
          <w:bCs w:val="0"/>
          <w:kern w:val="0"/>
          <w:sz w:val="32"/>
          <w:szCs w:val="32"/>
          <w:lang w:val="en-US" w:eastAsia="zh-CN" w:bidi="ar"/>
        </w:rPr>
        <w:t>未按劳务分包合同为作业人员提供劳动防护用品，</w:t>
      </w:r>
      <w:r>
        <w:rPr>
          <w:rFonts w:hint="default" w:ascii="仿宋_GB2312" w:hAnsi="仿宋_GB2312" w:eastAsia="仿宋_GB2312" w:cs="仿宋_GB2312"/>
          <w:color w:val="auto"/>
          <w:sz w:val="32"/>
          <w:szCs w:val="32"/>
          <w:lang w:val="en-US" w:eastAsia="zh-CN"/>
        </w:rPr>
        <w:t>违反了《中华人民共和国安全生产法》第四条的有关规定，导致发生一般生产安全事故</w:t>
      </w:r>
      <w:r>
        <w:rPr>
          <w:rFonts w:hint="eastAsia" w:ascii="仿宋_GB2312" w:hAnsi="仿宋_GB2312" w:eastAsia="仿宋_GB2312" w:cs="仿宋_GB2312"/>
          <w:b w:val="0"/>
          <w:bCs w:val="0"/>
          <w:sz w:val="32"/>
          <w:szCs w:val="32"/>
          <w:lang w:val="en-US" w:eastAsia="zh-CN"/>
        </w:rPr>
        <w:t>。由刘燕霞对该起事故承担其职责范围内的领导责任。</w:t>
      </w:r>
    </w:p>
    <w:p>
      <w:pPr>
        <w:pStyle w:val="2"/>
        <w:pageBreakBefore w:val="0"/>
        <w:kinsoku/>
        <w:wordWrap/>
        <w:overflowPunct/>
        <w:topLinePunct w:val="0"/>
        <w:autoSpaceDE/>
        <w:autoSpaceDN/>
        <w:bidi w:val="0"/>
        <w:spacing w:line="560" w:lineRule="exact"/>
        <w:ind w:left="0" w:leftChars="0" w:firstLine="643"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bidi="ar"/>
        </w:rPr>
        <w:t>违法违规条款：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违反了《中华人民共和国安全生产法》第五条</w:t>
      </w:r>
      <w:r>
        <w:rPr>
          <w:rFonts w:hint="eastAsia" w:eastAsia="仿宋_GB2312" w:cs="Times New Roman"/>
          <w:color w:val="000000" w:themeColor="text1"/>
          <w:sz w:val="32"/>
          <w:szCs w:val="32"/>
          <w:highlight w:val="none"/>
          <w:lang w:val="en-US" w:eastAsia="zh-CN"/>
          <w14:textFill>
            <w14:solidFill>
              <w14:schemeClr w14:val="tx1"/>
            </w14:solidFill>
          </w14:textFill>
        </w:rPr>
        <w:t>之</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规定</w:t>
      </w:r>
      <w:r>
        <w:rPr>
          <w:rFonts w:hint="eastAsia" w:eastAsia="仿宋_GB2312" w:cs="Times New Roman"/>
          <w:color w:val="000000" w:themeColor="text1"/>
          <w:sz w:val="32"/>
          <w:szCs w:val="32"/>
          <w:highlight w:val="none"/>
          <w:lang w:val="en-US" w:eastAsia="zh-CN"/>
          <w14:textFill>
            <w14:solidFill>
              <w14:schemeClr w14:val="tx1"/>
            </w14:solidFill>
          </w14:textFill>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仿宋_GB2312" w:hAnsi="微软雅黑" w:eastAsia="仿宋_GB2312" w:cs="仿宋_GB2312"/>
          <w:i w:val="0"/>
          <w:iCs w:val="0"/>
          <w:caps w:val="0"/>
          <w:color w:val="0000FF"/>
          <w:spacing w:val="0"/>
          <w:sz w:val="32"/>
          <w:szCs w:val="32"/>
          <w:shd w:val="clear" w:color="auto" w:fill="FFFFFF"/>
          <w:lang w:val="en-US" w:eastAsia="zh-CN"/>
        </w:rPr>
      </w:pPr>
      <w:r>
        <w:rPr>
          <w:rFonts w:hint="eastAsia" w:ascii="Times New Roman" w:hAnsi="Times New Roman" w:eastAsia="仿宋_GB2312" w:cs="Times New Roman"/>
          <w:b/>
          <w:bCs/>
          <w:sz w:val="32"/>
          <w:szCs w:val="32"/>
          <w:lang w:val="en-US" w:eastAsia="zh-CN"/>
        </w:rPr>
        <w:t>处理建议：</w:t>
      </w:r>
    </w:p>
    <w:p>
      <w:pPr>
        <w:pStyle w:val="2"/>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建议由行政执法部门依照《中华人民共和国安全生产法》第九十五条之规定，对刘燕霞处以上一年年收入百分之四十的罚款。</w:t>
      </w:r>
    </w:p>
    <w:p>
      <w:pPr>
        <w:pStyle w:val="2"/>
        <w:pageBreakBefore w:val="0"/>
        <w:kinsoku/>
        <w:wordWrap/>
        <w:overflowPunct/>
        <w:topLinePunct w:val="0"/>
        <w:autoSpaceDE/>
        <w:autoSpaceDN/>
        <w:bidi w:val="0"/>
        <w:spacing w:line="560" w:lineRule="exact"/>
        <w:ind w:left="0" w:leftChars="0" w:firstLine="643" w:firstLineChars="200"/>
        <w:outlineLvl w:val="1"/>
        <w:rPr>
          <w:rFonts w:hint="eastAsia" w:ascii="楷体_GB2312" w:hAnsi="楷体_GB2312" w:eastAsia="楷体_GB2312" w:cs="楷体_GB2312"/>
          <w:b w:val="0"/>
          <w:bCs/>
          <w:kern w:val="2"/>
          <w:sz w:val="32"/>
          <w:szCs w:val="24"/>
          <w:lang w:val="en-US" w:eastAsia="zh-CN" w:bidi="ar-SA"/>
        </w:rPr>
      </w:pPr>
      <w:bookmarkStart w:id="29" w:name="_Toc9182"/>
      <w:r>
        <w:rPr>
          <w:rFonts w:hint="eastAsia" w:ascii="楷体_GB2312" w:hAnsi="楷体_GB2312" w:eastAsia="楷体_GB2312" w:cs="楷体_GB2312"/>
          <w:b w:val="0"/>
          <w:bCs/>
          <w:kern w:val="2"/>
          <w:sz w:val="32"/>
          <w:szCs w:val="24"/>
          <w:lang w:val="en-US" w:eastAsia="zh-CN" w:bidi="ar-SA"/>
        </w:rPr>
        <w:t>（二）对事故有关责任单位的行政处罚落实情况：</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宋体" w:eastAsia="仿宋_GB2312" w:cs="仿宋_GB2312"/>
          <w:sz w:val="32"/>
          <w:szCs w:val="32"/>
        </w:rPr>
        <w:t>按照</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10</w:t>
      </w:r>
      <w:r>
        <w:rPr>
          <w:rFonts w:hint="default" w:ascii="仿宋_GB2312" w:hAnsi="宋体" w:eastAsia="仿宋_GB2312" w:cs="仿宋_GB2312"/>
          <w:sz w:val="32"/>
          <w:szCs w:val="32"/>
          <w:lang w:val="en-US" w:eastAsia="zh-CN"/>
        </w:rPr>
        <w:t>·</w:t>
      </w:r>
      <w:r>
        <w:rPr>
          <w:rFonts w:hint="eastAsia" w:ascii="仿宋_GB2312" w:hAnsi="宋体" w:eastAsia="仿宋_GB2312" w:cs="仿宋_GB2312"/>
          <w:sz w:val="32"/>
          <w:szCs w:val="32"/>
          <w:lang w:val="en-US" w:eastAsia="zh-CN"/>
        </w:rPr>
        <w:t>2</w:t>
      </w:r>
      <w:r>
        <w:rPr>
          <w:rFonts w:hint="eastAsia" w:ascii="仿宋_GB2312" w:hAnsi="宋体" w:eastAsia="仿宋_GB2312" w:cs="仿宋_GB2312"/>
          <w:sz w:val="32"/>
          <w:szCs w:val="32"/>
          <w:lang w:eastAsia="zh-CN"/>
        </w:rPr>
        <w:t>”</w:t>
      </w:r>
      <w:r>
        <w:rPr>
          <w:rFonts w:hint="default" w:ascii="仿宋_GB2312" w:hAnsi="宋体" w:eastAsia="仿宋_GB2312" w:cs="仿宋_GB2312"/>
          <w:sz w:val="32"/>
          <w:szCs w:val="32"/>
        </w:rPr>
        <w:t>事故责任认定及处理建议，由</w:t>
      </w:r>
      <w:r>
        <w:rPr>
          <w:rFonts w:hint="eastAsia" w:ascii="仿宋_GB2312" w:hAnsi="宋体" w:eastAsia="仿宋_GB2312" w:cs="仿宋_GB2312"/>
          <w:sz w:val="32"/>
          <w:szCs w:val="32"/>
          <w:lang w:eastAsia="zh-CN"/>
        </w:rPr>
        <w:t>三亚市综合行政执法局</w:t>
      </w:r>
      <w:r>
        <w:rPr>
          <w:rFonts w:hint="eastAsia" w:ascii="仿宋_GB2312" w:hAnsi="宋体" w:eastAsia="仿宋_GB2312" w:cs="仿宋_GB2312"/>
          <w:sz w:val="32"/>
          <w:szCs w:val="32"/>
          <w:lang w:val="en-US" w:eastAsia="zh-CN"/>
        </w:rPr>
        <w:t>进行行政处罚的</w:t>
      </w:r>
      <w:r>
        <w:rPr>
          <w:rFonts w:hint="default" w:ascii="仿宋_GB2312" w:hAnsi="宋体" w:eastAsia="仿宋_GB2312" w:cs="仿宋_GB2312"/>
          <w:sz w:val="32"/>
          <w:szCs w:val="32"/>
        </w:rPr>
        <w:t>责任</w:t>
      </w:r>
      <w:r>
        <w:rPr>
          <w:rFonts w:hint="eastAsia" w:ascii="仿宋_GB2312" w:hAnsi="宋体" w:eastAsia="仿宋_GB2312" w:cs="仿宋_GB2312"/>
          <w:sz w:val="32"/>
          <w:szCs w:val="32"/>
          <w:lang w:val="en-US" w:eastAsia="zh-CN"/>
        </w:rPr>
        <w:t>单位3个</w:t>
      </w:r>
      <w:r>
        <w:rPr>
          <w:rFonts w:hint="default" w:ascii="仿宋_GB2312" w:hAnsi="宋体"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1.</w:t>
      </w:r>
      <w:r>
        <w:rPr>
          <w:rFonts w:hint="eastAsia" w:ascii="仿宋_GB2312" w:hAnsi="仿宋_GB2312" w:eastAsia="仿宋_GB2312" w:cs="仿宋_GB2312"/>
          <w:b/>
          <w:bCs/>
          <w:color w:val="auto"/>
          <w:sz w:val="32"/>
          <w:szCs w:val="32"/>
          <w:lang w:val="en-US" w:eastAsia="zh-CN"/>
        </w:rPr>
        <w:t>海南琥珀装饰工程有限公司</w:t>
      </w:r>
      <w:r>
        <w:rPr>
          <w:rFonts w:hint="eastAsia" w:ascii="仿宋_GB2312" w:hAnsi="宋体" w:eastAsia="仿宋_GB2312" w:cs="仿宋_GB2312"/>
          <w:b/>
          <w:bCs/>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违法违规事实：</w:t>
      </w:r>
      <w:r>
        <w:rPr>
          <w:rFonts w:hint="eastAsia" w:ascii="仿宋_GB2312" w:hAnsi="仿宋_GB2312" w:eastAsia="仿宋_GB2312" w:cs="仿宋_GB2312"/>
          <w:sz w:val="32"/>
          <w:szCs w:val="32"/>
          <w:lang w:val="en-US" w:eastAsia="zh-CN"/>
        </w:rPr>
        <w:t>《事故调查报告》中指出：</w:t>
      </w:r>
      <w:r>
        <w:rPr>
          <w:rFonts w:hint="eastAsia" w:ascii="仿宋_GB2312" w:hAnsi="仿宋_GB2312" w:eastAsia="仿宋_GB2312" w:cs="仿宋_GB2312"/>
          <w:color w:val="auto"/>
          <w:sz w:val="32"/>
          <w:szCs w:val="32"/>
          <w:lang w:val="en-US" w:eastAsia="zh-CN"/>
        </w:rPr>
        <w:t>海南琥珀装饰工程有限公司作为施工单位，</w:t>
      </w:r>
      <w:r>
        <w:rPr>
          <w:rFonts w:hint="default" w:ascii="仿宋_GB2312" w:hAnsi="仿宋_GB2312" w:eastAsia="仿宋_GB2312" w:cs="仿宋_GB2312"/>
          <w:color w:val="auto"/>
          <w:sz w:val="32"/>
          <w:szCs w:val="32"/>
          <w:lang w:val="en-US" w:eastAsia="zh-CN"/>
        </w:rPr>
        <w:t>对项目没有落实安全生产管理职责，</w:t>
      </w:r>
      <w:r>
        <w:rPr>
          <w:rFonts w:hint="eastAsia" w:ascii="仿宋_GB2312" w:hAnsi="仿宋_GB2312" w:eastAsia="仿宋_GB2312" w:cs="仿宋_GB2312"/>
          <w:color w:val="auto"/>
          <w:sz w:val="32"/>
          <w:szCs w:val="32"/>
          <w:lang w:val="en-US" w:eastAsia="zh-CN"/>
        </w:rPr>
        <w:t>对从业人员安全教育培训不到位，未能督促从业人员严格执行安全操作规程，对现场作业安全监管不到位，隐患排查工作不到位</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未能提供施工方案，</w:t>
      </w:r>
      <w:r>
        <w:rPr>
          <w:rFonts w:hint="default" w:ascii="仿宋_GB2312" w:hAnsi="仿宋_GB2312" w:eastAsia="仿宋_GB2312" w:cs="仿宋_GB2312"/>
          <w:color w:val="auto"/>
          <w:sz w:val="32"/>
          <w:szCs w:val="32"/>
          <w:lang w:val="en-US" w:eastAsia="zh-CN"/>
        </w:rPr>
        <w:t>导致发生一般生产安全事故，</w:t>
      </w:r>
      <w:r>
        <w:rPr>
          <w:rFonts w:hint="eastAsia" w:ascii="仿宋_GB2312" w:hAnsi="仿宋_GB2312" w:eastAsia="仿宋_GB2312" w:cs="仿宋_GB2312"/>
          <w:color w:val="auto"/>
          <w:sz w:val="32"/>
          <w:szCs w:val="32"/>
          <w:lang w:val="en-US" w:eastAsia="zh-CN"/>
        </w:rPr>
        <w:t>对事故的发生负有主要责任</w:t>
      </w:r>
      <w:r>
        <w:rPr>
          <w:rFonts w:hint="default" w:ascii="仿宋_GB2312" w:hAnsi="微软雅黑" w:eastAsia="仿宋_GB2312" w:cs="仿宋_GB2312"/>
          <w:i w:val="0"/>
          <w:iCs w:val="0"/>
          <w:caps w:val="0"/>
          <w:color w:val="000000"/>
          <w:spacing w:val="0"/>
          <w:sz w:val="32"/>
          <w:szCs w:val="32"/>
          <w:shd w:val="clear" w:color="auto" w:fill="FFFFFF"/>
        </w:rPr>
        <w:t>。</w:t>
      </w:r>
    </w:p>
    <w:p>
      <w:pPr>
        <w:pStyle w:val="2"/>
        <w:pageBreakBefore w:val="0"/>
        <w:kinsoku/>
        <w:wordWrap/>
        <w:overflowPunct/>
        <w:topLinePunct w:val="0"/>
        <w:autoSpaceDE/>
        <w:autoSpaceDN/>
        <w:bidi w:val="0"/>
        <w:spacing w:line="560" w:lineRule="exact"/>
        <w:ind w:left="0" w:leftChars="0" w:firstLine="643" w:firstLineChars="200"/>
        <w:rPr>
          <w:rFonts w:hint="default" w:ascii="仿宋_GB2312" w:hAnsi="仿宋_GB2312" w:eastAsia="仿宋_GB2312" w:cs="仿宋_GB2312"/>
          <w:b/>
          <w:bCs/>
          <w:sz w:val="32"/>
          <w:szCs w:val="32"/>
          <w:lang w:val="en-US" w:eastAsia="zh-CN"/>
        </w:rPr>
      </w:pPr>
      <w:r>
        <w:rPr>
          <w:rFonts w:hint="eastAsia" w:eastAsia="仿宋_GB2312" w:cs="Times New Roman"/>
          <w:b/>
          <w:bCs/>
          <w:sz w:val="32"/>
          <w:szCs w:val="32"/>
          <w:lang w:val="en-US" w:eastAsia="zh-CN"/>
        </w:rPr>
        <w:t>违法违规条款：</w:t>
      </w:r>
      <w:r>
        <w:rPr>
          <w:rFonts w:hint="eastAsia" w:ascii="仿宋_GB2312" w:hAnsi="仿宋_GB2312" w:eastAsia="仿宋_GB2312" w:cs="仿宋_GB2312"/>
          <w:color w:val="auto"/>
          <w:sz w:val="32"/>
          <w:szCs w:val="32"/>
          <w:lang w:val="en-US" w:eastAsia="zh-CN"/>
        </w:rPr>
        <w:t>违反了《安全生产法》（中华人民共和国主席令第88号）、《建设工程质量管理条例》（国务院令第279号）、《</w:t>
      </w:r>
      <w:r>
        <w:rPr>
          <w:rFonts w:hint="default" w:ascii="仿宋_GB2312" w:hAnsi="仿宋_GB2312" w:eastAsia="仿宋_GB2312" w:cs="仿宋_GB2312"/>
          <w:color w:val="auto"/>
          <w:sz w:val="32"/>
          <w:szCs w:val="32"/>
          <w:lang w:val="en-US" w:eastAsia="zh-CN"/>
        </w:rPr>
        <w:t>建筑装饰装修管理规定</w:t>
      </w:r>
      <w:r>
        <w:rPr>
          <w:rFonts w:hint="eastAsia" w:ascii="仿宋_GB2312" w:hAnsi="仿宋_GB2312" w:eastAsia="仿宋_GB2312" w:cs="仿宋_GB2312"/>
          <w:color w:val="auto"/>
          <w:sz w:val="32"/>
          <w:szCs w:val="32"/>
          <w:lang w:val="en-US" w:eastAsia="zh-CN"/>
        </w:rPr>
        <w:t>》（中华人民共和国建设部第46号令）等相关规定</w:t>
      </w:r>
      <w:r>
        <w:rPr>
          <w:rFonts w:hint="eastAsia" w:ascii="仿宋_GB2312" w:hAnsi="仿宋_GB2312" w:eastAsia="仿宋_GB2312" w:cs="仿宋_GB2312"/>
          <w:sz w:val="32"/>
          <w:szCs w:val="32"/>
          <w:lang w:val="en-US"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处理建议：</w:t>
      </w:r>
      <w:bookmarkStart w:id="34" w:name="_GoBack"/>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微软雅黑" w:eastAsia="仿宋_GB2312" w:cs="仿宋_GB2312"/>
          <w:i w:val="0"/>
          <w:iCs w:val="0"/>
          <w:caps w:val="0"/>
          <w:color w:val="000000"/>
          <w:spacing w:val="0"/>
          <w:sz w:val="32"/>
          <w:szCs w:val="32"/>
          <w:shd w:val="clear" w:color="auto" w:fill="FFFFFF"/>
          <w:lang w:val="en-US" w:eastAsia="zh-CN"/>
        </w:rPr>
      </w:pPr>
      <w:r>
        <w:rPr>
          <w:rFonts w:hint="eastAsia" w:ascii="仿宋_GB2312" w:hAnsi="微软雅黑" w:eastAsia="仿宋_GB2312" w:cs="仿宋_GB2312"/>
          <w:i w:val="0"/>
          <w:iCs w:val="0"/>
          <w:caps w:val="0"/>
          <w:color w:val="000000"/>
          <w:spacing w:val="0"/>
          <w:sz w:val="32"/>
          <w:szCs w:val="32"/>
          <w:shd w:val="clear" w:color="auto" w:fill="FFFFFF"/>
          <w:lang w:val="en-US" w:eastAsia="zh-CN"/>
        </w:rPr>
        <w:t>建议由有关行政执法部门依据</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eastAsia" w:ascii="仿宋_GB2312" w:hAnsi="微软雅黑" w:eastAsia="仿宋_GB2312" w:cs="仿宋_GB2312"/>
          <w:i w:val="0"/>
          <w:iCs w:val="0"/>
          <w:caps w:val="0"/>
          <w:color w:val="000000"/>
          <w:spacing w:val="0"/>
          <w:sz w:val="32"/>
          <w:szCs w:val="32"/>
          <w:shd w:val="clear" w:color="auto" w:fill="FFFFFF"/>
          <w:lang w:val="en-US" w:eastAsia="zh-CN"/>
        </w:rPr>
        <w:t>中华人民共和国安全生产法</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default" w:ascii="仿宋_GB2312" w:hAnsi="微软雅黑" w:eastAsia="仿宋_GB2312" w:cs="仿宋_GB2312"/>
          <w:i w:val="0"/>
          <w:iCs w:val="0"/>
          <w:caps w:val="0"/>
          <w:color w:val="000000"/>
          <w:spacing w:val="0"/>
          <w:sz w:val="32"/>
          <w:szCs w:val="32"/>
          <w:shd w:val="clear" w:color="auto" w:fill="FFFFFF"/>
          <w:lang w:val="en-US" w:eastAsia="zh-CN"/>
        </w:rPr>
        <w:t>第一百一十四条</w:t>
      </w:r>
      <w:r>
        <w:rPr>
          <w:rFonts w:hint="eastAsia" w:ascii="仿宋_GB2312" w:hAnsi="微软雅黑" w:eastAsia="仿宋_GB2312" w:cs="仿宋_GB2312"/>
          <w:i w:val="0"/>
          <w:iCs w:val="0"/>
          <w:caps w:val="0"/>
          <w:color w:val="000000"/>
          <w:spacing w:val="0"/>
          <w:sz w:val="32"/>
          <w:szCs w:val="32"/>
          <w:shd w:val="clear" w:color="auto" w:fill="FFFFFF"/>
          <w:lang w:val="en-US" w:eastAsia="zh-CN"/>
        </w:rPr>
        <w:t>第一款之规定，</w:t>
      </w:r>
      <w:r>
        <w:rPr>
          <w:rFonts w:hint="default" w:ascii="仿宋_GB2312" w:hAnsi="微软雅黑" w:eastAsia="仿宋_GB2312" w:cs="仿宋_GB2312"/>
          <w:i w:val="0"/>
          <w:iCs w:val="0"/>
          <w:caps w:val="0"/>
          <w:color w:val="000000"/>
          <w:spacing w:val="0"/>
          <w:sz w:val="32"/>
          <w:szCs w:val="32"/>
          <w:shd w:val="clear" w:color="auto" w:fill="FFFFFF"/>
          <w:lang w:val="en-US" w:eastAsia="zh-CN"/>
        </w:rPr>
        <w:t>除要求其依法承担相应的赔偿等责任外，</w:t>
      </w:r>
      <w:r>
        <w:rPr>
          <w:rFonts w:hint="eastAsia" w:ascii="仿宋_GB2312" w:hAnsi="微软雅黑" w:eastAsia="仿宋_GB2312" w:cs="仿宋_GB2312"/>
          <w:i w:val="0"/>
          <w:iCs w:val="0"/>
          <w:caps w:val="0"/>
          <w:color w:val="000000"/>
          <w:spacing w:val="0"/>
          <w:sz w:val="32"/>
          <w:szCs w:val="32"/>
          <w:shd w:val="clear" w:color="auto" w:fill="FFFFFF"/>
          <w:lang w:val="en-US" w:eastAsia="zh-CN"/>
        </w:rPr>
        <w:t>对其处以三十</w:t>
      </w:r>
      <w:r>
        <w:rPr>
          <w:rFonts w:hint="default" w:ascii="仿宋_GB2312" w:hAnsi="微软雅黑" w:eastAsia="仿宋_GB2312" w:cs="仿宋_GB2312"/>
          <w:i w:val="0"/>
          <w:iCs w:val="0"/>
          <w:caps w:val="0"/>
          <w:color w:val="000000"/>
          <w:spacing w:val="0"/>
          <w:sz w:val="32"/>
          <w:szCs w:val="32"/>
          <w:shd w:val="clear" w:color="auto" w:fill="FFFFFF"/>
          <w:lang w:val="en-US" w:eastAsia="zh-CN"/>
        </w:rPr>
        <w:t>万元以上</w:t>
      </w:r>
      <w:r>
        <w:rPr>
          <w:rFonts w:hint="eastAsia" w:ascii="仿宋_GB2312" w:hAnsi="微软雅黑" w:eastAsia="仿宋_GB2312" w:cs="仿宋_GB2312"/>
          <w:i w:val="0"/>
          <w:iCs w:val="0"/>
          <w:caps w:val="0"/>
          <w:color w:val="000000"/>
          <w:spacing w:val="0"/>
          <w:sz w:val="32"/>
          <w:szCs w:val="32"/>
          <w:shd w:val="clear" w:color="auto" w:fill="FFFFFF"/>
          <w:lang w:val="en-US" w:eastAsia="zh-CN"/>
        </w:rPr>
        <w:t>一</w:t>
      </w:r>
      <w:r>
        <w:rPr>
          <w:rFonts w:hint="default" w:ascii="仿宋_GB2312" w:hAnsi="微软雅黑" w:eastAsia="仿宋_GB2312" w:cs="仿宋_GB2312"/>
          <w:i w:val="0"/>
          <w:iCs w:val="0"/>
          <w:caps w:val="0"/>
          <w:color w:val="000000"/>
          <w:spacing w:val="0"/>
          <w:sz w:val="32"/>
          <w:szCs w:val="32"/>
          <w:shd w:val="clear" w:color="auto" w:fill="FFFFFF"/>
          <w:lang w:val="en-US" w:eastAsia="zh-CN"/>
        </w:rPr>
        <w:t>百万元以下罚款。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2.</w:t>
      </w:r>
      <w:r>
        <w:rPr>
          <w:rFonts w:hint="eastAsia" w:ascii="仿宋_GB2312" w:hAnsi="仿宋_GB2312" w:eastAsia="仿宋_GB2312" w:cs="仿宋_GB2312"/>
          <w:b/>
          <w:bCs/>
          <w:color w:val="auto"/>
          <w:sz w:val="32"/>
          <w:szCs w:val="32"/>
          <w:lang w:val="en-US" w:eastAsia="zh-CN"/>
        </w:rPr>
        <w:t>深圳市鑫磊展示道具制品有限公司</w:t>
      </w:r>
      <w:r>
        <w:rPr>
          <w:rFonts w:hint="eastAsia" w:ascii="仿宋_GB2312" w:hAnsi="宋体" w:eastAsia="仿宋_GB2312" w:cs="仿宋_GB2312"/>
          <w:b/>
          <w:bCs/>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违法违规事实：</w:t>
      </w:r>
      <w:r>
        <w:rPr>
          <w:rFonts w:hint="eastAsia" w:ascii="仿宋_GB2312" w:hAnsi="仿宋_GB2312" w:eastAsia="仿宋_GB2312" w:cs="仿宋_GB2312"/>
          <w:sz w:val="32"/>
          <w:szCs w:val="32"/>
          <w:lang w:val="en-US" w:eastAsia="zh-CN"/>
        </w:rPr>
        <w:t>《事故调查报告》中指出：</w:t>
      </w:r>
      <w:r>
        <w:rPr>
          <w:rFonts w:hint="eastAsia" w:ascii="仿宋_GB2312" w:hAnsi="仿宋_GB2312" w:eastAsia="仿宋_GB2312" w:cs="仿宋_GB2312"/>
          <w:color w:val="auto"/>
          <w:sz w:val="32"/>
          <w:szCs w:val="32"/>
          <w:lang w:val="en-US" w:eastAsia="zh-CN"/>
        </w:rPr>
        <w:t>深圳市鑫磊展示道具制品有限公司安排死者参与此项目未进行安全技术交底，未与死者及海南琥珀装饰工程有限公司签订安全责任书，安全生产主体责任未落实</w:t>
      </w:r>
      <w:r>
        <w:rPr>
          <w:rFonts w:hint="default" w:ascii="仿宋_GB2312" w:hAnsi="微软雅黑" w:eastAsia="仿宋_GB2312" w:cs="仿宋_GB2312"/>
          <w:i w:val="0"/>
          <w:iCs w:val="0"/>
          <w:caps w:val="0"/>
          <w:color w:val="000000"/>
          <w:spacing w:val="0"/>
          <w:sz w:val="32"/>
          <w:szCs w:val="32"/>
          <w:shd w:val="clear" w:color="auto" w:fill="FFFFFF"/>
        </w:rPr>
        <w:t>。</w:t>
      </w:r>
    </w:p>
    <w:p>
      <w:pPr>
        <w:pStyle w:val="2"/>
        <w:pageBreakBefore w:val="0"/>
        <w:kinsoku/>
        <w:wordWrap/>
        <w:overflowPunct/>
        <w:topLinePunct w:val="0"/>
        <w:autoSpaceDE/>
        <w:autoSpaceDN/>
        <w:bidi w:val="0"/>
        <w:spacing w:line="560" w:lineRule="exact"/>
        <w:ind w:left="0" w:leftChars="0" w:firstLine="643" w:firstLineChars="200"/>
        <w:rPr>
          <w:rFonts w:hint="default" w:ascii="仿宋_GB2312" w:hAnsi="仿宋_GB2312" w:eastAsia="仿宋_GB2312" w:cs="仿宋_GB2312"/>
          <w:b/>
          <w:bCs/>
          <w:sz w:val="32"/>
          <w:szCs w:val="32"/>
          <w:lang w:val="en-US" w:eastAsia="zh-CN"/>
        </w:rPr>
      </w:pPr>
      <w:r>
        <w:rPr>
          <w:rFonts w:hint="eastAsia" w:eastAsia="仿宋_GB2312" w:cs="Times New Roman"/>
          <w:b/>
          <w:bCs/>
          <w:sz w:val="32"/>
          <w:szCs w:val="32"/>
          <w:lang w:val="en-US" w:eastAsia="zh-CN"/>
        </w:rPr>
        <w:t>违法违规条款：</w:t>
      </w:r>
      <w:r>
        <w:rPr>
          <w:rFonts w:hint="default" w:ascii="仿宋_GB2312" w:hAnsi="仿宋_GB2312" w:eastAsia="仿宋_GB2312" w:cs="仿宋_GB2312"/>
          <w:color w:val="auto"/>
          <w:sz w:val="32"/>
          <w:szCs w:val="32"/>
          <w:lang w:val="en-US" w:eastAsia="zh-CN"/>
        </w:rPr>
        <w:t>违反了《中华人民共和国安全生产法》第四条的有关规定</w:t>
      </w:r>
      <w:r>
        <w:rPr>
          <w:rFonts w:hint="eastAsia" w:ascii="仿宋_GB2312" w:hAnsi="仿宋_GB2312" w:eastAsia="仿宋_GB2312" w:cs="仿宋_GB2312"/>
          <w:sz w:val="32"/>
          <w:szCs w:val="32"/>
          <w:lang w:val="en-US"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处理建议：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微软雅黑" w:eastAsia="仿宋_GB2312" w:cs="仿宋_GB2312"/>
          <w:i w:val="0"/>
          <w:iCs w:val="0"/>
          <w:caps w:val="0"/>
          <w:color w:val="000000"/>
          <w:spacing w:val="0"/>
          <w:sz w:val="32"/>
          <w:szCs w:val="32"/>
          <w:shd w:val="clear" w:color="auto" w:fill="FFFFFF"/>
          <w:lang w:val="en-US" w:eastAsia="zh-CN"/>
        </w:rPr>
      </w:pPr>
      <w:r>
        <w:rPr>
          <w:rFonts w:hint="eastAsia" w:ascii="仿宋_GB2312" w:hAnsi="微软雅黑" w:eastAsia="仿宋_GB2312" w:cs="仿宋_GB2312"/>
          <w:i w:val="0"/>
          <w:iCs w:val="0"/>
          <w:caps w:val="0"/>
          <w:color w:val="000000"/>
          <w:spacing w:val="0"/>
          <w:sz w:val="32"/>
          <w:szCs w:val="32"/>
          <w:shd w:val="clear" w:color="auto" w:fill="FFFFFF"/>
          <w:lang w:val="en-US" w:eastAsia="zh-CN"/>
        </w:rPr>
        <w:t>建议由有关行政执法部门依据</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eastAsia" w:ascii="仿宋_GB2312" w:hAnsi="微软雅黑" w:eastAsia="仿宋_GB2312" w:cs="仿宋_GB2312"/>
          <w:i w:val="0"/>
          <w:iCs w:val="0"/>
          <w:caps w:val="0"/>
          <w:color w:val="000000"/>
          <w:spacing w:val="0"/>
          <w:sz w:val="32"/>
          <w:szCs w:val="32"/>
          <w:shd w:val="clear" w:color="auto" w:fill="FFFFFF"/>
          <w:lang w:val="en-US" w:eastAsia="zh-CN"/>
        </w:rPr>
        <w:t>中华人民共和国安全生产法</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default" w:ascii="仿宋_GB2312" w:hAnsi="微软雅黑" w:eastAsia="仿宋_GB2312" w:cs="仿宋_GB2312"/>
          <w:i w:val="0"/>
          <w:iCs w:val="0"/>
          <w:caps w:val="0"/>
          <w:color w:val="000000"/>
          <w:spacing w:val="0"/>
          <w:sz w:val="32"/>
          <w:szCs w:val="32"/>
          <w:shd w:val="clear" w:color="auto" w:fill="FFFFFF"/>
          <w:lang w:val="en-US" w:eastAsia="zh-CN"/>
        </w:rPr>
        <w:t>第一百一十四条</w:t>
      </w:r>
      <w:r>
        <w:rPr>
          <w:rFonts w:hint="eastAsia" w:ascii="仿宋_GB2312" w:hAnsi="微软雅黑" w:eastAsia="仿宋_GB2312" w:cs="仿宋_GB2312"/>
          <w:i w:val="0"/>
          <w:iCs w:val="0"/>
          <w:caps w:val="0"/>
          <w:color w:val="000000"/>
          <w:spacing w:val="0"/>
          <w:sz w:val="32"/>
          <w:szCs w:val="32"/>
          <w:shd w:val="clear" w:color="auto" w:fill="FFFFFF"/>
          <w:lang w:val="en-US" w:eastAsia="zh-CN"/>
        </w:rPr>
        <w:t>第一款之规定，</w:t>
      </w:r>
      <w:r>
        <w:rPr>
          <w:rFonts w:hint="default" w:ascii="仿宋_GB2312" w:hAnsi="微软雅黑" w:eastAsia="仿宋_GB2312" w:cs="仿宋_GB2312"/>
          <w:i w:val="0"/>
          <w:iCs w:val="0"/>
          <w:caps w:val="0"/>
          <w:color w:val="000000"/>
          <w:spacing w:val="0"/>
          <w:sz w:val="32"/>
          <w:szCs w:val="32"/>
          <w:shd w:val="clear" w:color="auto" w:fill="FFFFFF"/>
          <w:lang w:val="en-US" w:eastAsia="zh-CN"/>
        </w:rPr>
        <w:t>除要求其依法承担相应的赔偿等责任外，</w:t>
      </w:r>
      <w:r>
        <w:rPr>
          <w:rFonts w:hint="eastAsia" w:ascii="仿宋_GB2312" w:hAnsi="微软雅黑" w:eastAsia="仿宋_GB2312" w:cs="仿宋_GB2312"/>
          <w:i w:val="0"/>
          <w:iCs w:val="0"/>
          <w:caps w:val="0"/>
          <w:color w:val="000000"/>
          <w:spacing w:val="0"/>
          <w:sz w:val="32"/>
          <w:szCs w:val="32"/>
          <w:shd w:val="clear" w:color="auto" w:fill="FFFFFF"/>
          <w:lang w:val="en-US" w:eastAsia="zh-CN"/>
        </w:rPr>
        <w:t>对其处以三十</w:t>
      </w:r>
      <w:r>
        <w:rPr>
          <w:rFonts w:hint="default" w:ascii="仿宋_GB2312" w:hAnsi="微软雅黑" w:eastAsia="仿宋_GB2312" w:cs="仿宋_GB2312"/>
          <w:i w:val="0"/>
          <w:iCs w:val="0"/>
          <w:caps w:val="0"/>
          <w:color w:val="000000"/>
          <w:spacing w:val="0"/>
          <w:sz w:val="32"/>
          <w:szCs w:val="32"/>
          <w:shd w:val="clear" w:color="auto" w:fill="FFFFFF"/>
          <w:lang w:val="en-US" w:eastAsia="zh-CN"/>
        </w:rPr>
        <w:t>万元以上</w:t>
      </w:r>
      <w:r>
        <w:rPr>
          <w:rFonts w:hint="eastAsia" w:ascii="仿宋_GB2312" w:hAnsi="微软雅黑" w:eastAsia="仿宋_GB2312" w:cs="仿宋_GB2312"/>
          <w:i w:val="0"/>
          <w:iCs w:val="0"/>
          <w:caps w:val="0"/>
          <w:color w:val="000000"/>
          <w:spacing w:val="0"/>
          <w:sz w:val="32"/>
          <w:szCs w:val="32"/>
          <w:shd w:val="clear" w:color="auto" w:fill="FFFFFF"/>
          <w:lang w:val="en-US" w:eastAsia="zh-CN"/>
        </w:rPr>
        <w:t>一</w:t>
      </w:r>
      <w:r>
        <w:rPr>
          <w:rFonts w:hint="default" w:ascii="仿宋_GB2312" w:hAnsi="微软雅黑" w:eastAsia="仿宋_GB2312" w:cs="仿宋_GB2312"/>
          <w:i w:val="0"/>
          <w:iCs w:val="0"/>
          <w:caps w:val="0"/>
          <w:color w:val="000000"/>
          <w:spacing w:val="0"/>
          <w:sz w:val="32"/>
          <w:szCs w:val="32"/>
          <w:shd w:val="clear" w:color="auto" w:fill="FFFFFF"/>
          <w:lang w:val="en-US" w:eastAsia="zh-CN"/>
        </w:rPr>
        <w:t>百万元以下罚款。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3.</w:t>
      </w:r>
      <w:r>
        <w:rPr>
          <w:rFonts w:hint="eastAsia" w:ascii="Times New Roman" w:hAnsi="Times New Roman" w:eastAsia="仿宋_GB2312" w:cs="Times New Roman"/>
          <w:b/>
          <w:bCs/>
          <w:kern w:val="0"/>
          <w:sz w:val="32"/>
          <w:szCs w:val="32"/>
          <w:lang w:val="en-US" w:eastAsia="zh-CN" w:bidi="ar"/>
        </w:rPr>
        <w:t>深圳市三木堂建筑设计顾问有限公司</w:t>
      </w:r>
      <w:r>
        <w:rPr>
          <w:rFonts w:hint="eastAsia" w:ascii="仿宋_GB2312" w:hAnsi="宋体" w:eastAsia="仿宋_GB2312" w:cs="仿宋_GB2312"/>
          <w:b/>
          <w:bCs/>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违法违规事实：</w:t>
      </w:r>
      <w:r>
        <w:rPr>
          <w:rFonts w:hint="eastAsia" w:ascii="仿宋_GB2312" w:hAnsi="仿宋_GB2312" w:eastAsia="仿宋_GB2312" w:cs="仿宋_GB2312"/>
          <w:sz w:val="32"/>
          <w:szCs w:val="32"/>
          <w:lang w:val="en-US" w:eastAsia="zh-CN"/>
        </w:rPr>
        <w:t>《事故调查报告》中指出：</w:t>
      </w:r>
      <w:r>
        <w:rPr>
          <w:rFonts w:hint="eastAsia" w:ascii="Times New Roman" w:hAnsi="Times New Roman" w:eastAsia="仿宋_GB2312" w:cs="Times New Roman"/>
          <w:b w:val="0"/>
          <w:bCs w:val="0"/>
          <w:kern w:val="0"/>
          <w:sz w:val="32"/>
          <w:szCs w:val="32"/>
          <w:lang w:val="en-US" w:eastAsia="zh-CN" w:bidi="ar"/>
        </w:rPr>
        <w:t>深圳市三木堂建筑设计顾问有限公司未按劳务分包合同为作业人员提供劳动防护用品</w:t>
      </w:r>
      <w:r>
        <w:rPr>
          <w:rFonts w:hint="default" w:ascii="仿宋_GB2312" w:hAnsi="微软雅黑" w:eastAsia="仿宋_GB2312" w:cs="仿宋_GB2312"/>
          <w:i w:val="0"/>
          <w:iCs w:val="0"/>
          <w:caps w:val="0"/>
          <w:color w:val="000000"/>
          <w:spacing w:val="0"/>
          <w:sz w:val="32"/>
          <w:szCs w:val="32"/>
          <w:shd w:val="clear" w:color="auto" w:fill="FFFFFF"/>
        </w:rPr>
        <w:t>。</w:t>
      </w:r>
    </w:p>
    <w:p>
      <w:pPr>
        <w:pStyle w:val="2"/>
        <w:pageBreakBefore w:val="0"/>
        <w:kinsoku/>
        <w:wordWrap/>
        <w:overflowPunct/>
        <w:topLinePunct w:val="0"/>
        <w:autoSpaceDE/>
        <w:autoSpaceDN/>
        <w:bidi w:val="0"/>
        <w:spacing w:line="560" w:lineRule="exact"/>
        <w:ind w:left="0" w:leftChars="0" w:firstLine="643" w:firstLineChars="200"/>
        <w:rPr>
          <w:rFonts w:hint="default" w:ascii="仿宋_GB2312" w:hAnsi="仿宋_GB2312" w:eastAsia="仿宋_GB2312" w:cs="仿宋_GB2312"/>
          <w:b/>
          <w:bCs/>
          <w:sz w:val="32"/>
          <w:szCs w:val="32"/>
          <w:lang w:val="en-US" w:eastAsia="zh-CN"/>
        </w:rPr>
      </w:pPr>
      <w:r>
        <w:rPr>
          <w:rFonts w:hint="eastAsia" w:eastAsia="仿宋_GB2312" w:cs="Times New Roman"/>
          <w:b/>
          <w:bCs/>
          <w:sz w:val="32"/>
          <w:szCs w:val="32"/>
          <w:lang w:val="en-US" w:eastAsia="zh-CN"/>
        </w:rPr>
        <w:t>违法违规条款：</w:t>
      </w:r>
      <w:r>
        <w:rPr>
          <w:rFonts w:hint="default" w:ascii="仿宋_GB2312" w:hAnsi="仿宋_GB2312" w:eastAsia="仿宋_GB2312" w:cs="仿宋_GB2312"/>
          <w:color w:val="auto"/>
          <w:sz w:val="32"/>
          <w:szCs w:val="32"/>
          <w:lang w:val="en-US" w:eastAsia="zh-CN"/>
        </w:rPr>
        <w:t>违反了《中华人民共和国安全生产法》第四条的有关规定</w:t>
      </w:r>
      <w:r>
        <w:rPr>
          <w:rFonts w:hint="eastAsia" w:ascii="仿宋_GB2312" w:hAnsi="仿宋_GB2312" w:eastAsia="仿宋_GB2312" w:cs="仿宋_GB2312"/>
          <w:sz w:val="32"/>
          <w:szCs w:val="32"/>
          <w:lang w:val="en-US"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处理建议：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仿宋_GB2312" w:hAnsi="微软雅黑" w:eastAsia="仿宋_GB2312" w:cs="仿宋_GB2312"/>
          <w:i w:val="0"/>
          <w:iCs w:val="0"/>
          <w:caps w:val="0"/>
          <w:color w:val="000000"/>
          <w:spacing w:val="0"/>
          <w:sz w:val="32"/>
          <w:szCs w:val="32"/>
          <w:shd w:val="clear" w:color="auto" w:fill="FFFFFF"/>
          <w:lang w:val="en-US" w:eastAsia="zh-CN"/>
        </w:rPr>
      </w:pPr>
      <w:r>
        <w:rPr>
          <w:rFonts w:hint="eastAsia" w:ascii="仿宋_GB2312" w:hAnsi="微软雅黑" w:eastAsia="仿宋_GB2312" w:cs="仿宋_GB2312"/>
          <w:i w:val="0"/>
          <w:iCs w:val="0"/>
          <w:caps w:val="0"/>
          <w:color w:val="000000"/>
          <w:spacing w:val="0"/>
          <w:sz w:val="32"/>
          <w:szCs w:val="32"/>
          <w:shd w:val="clear" w:color="auto" w:fill="FFFFFF"/>
          <w:lang w:val="en-US" w:eastAsia="zh-CN"/>
        </w:rPr>
        <w:t>建议由有关行政执法部门依据</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eastAsia" w:ascii="仿宋_GB2312" w:hAnsi="微软雅黑" w:eastAsia="仿宋_GB2312" w:cs="仿宋_GB2312"/>
          <w:i w:val="0"/>
          <w:iCs w:val="0"/>
          <w:caps w:val="0"/>
          <w:color w:val="000000"/>
          <w:spacing w:val="0"/>
          <w:sz w:val="32"/>
          <w:szCs w:val="32"/>
          <w:shd w:val="clear" w:color="auto" w:fill="FFFFFF"/>
          <w:lang w:val="en-US" w:eastAsia="zh-CN"/>
        </w:rPr>
        <w:t>中华人民共和国安全生产法</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default" w:ascii="仿宋_GB2312" w:hAnsi="微软雅黑" w:eastAsia="仿宋_GB2312" w:cs="仿宋_GB2312"/>
          <w:i w:val="0"/>
          <w:iCs w:val="0"/>
          <w:caps w:val="0"/>
          <w:color w:val="000000"/>
          <w:spacing w:val="0"/>
          <w:sz w:val="32"/>
          <w:szCs w:val="32"/>
          <w:shd w:val="clear" w:color="auto" w:fill="FFFFFF"/>
          <w:lang w:val="en-US" w:eastAsia="zh-CN"/>
        </w:rPr>
        <w:t>第一百一十四条</w:t>
      </w:r>
      <w:r>
        <w:rPr>
          <w:rFonts w:hint="eastAsia" w:ascii="仿宋_GB2312" w:hAnsi="微软雅黑" w:eastAsia="仿宋_GB2312" w:cs="仿宋_GB2312"/>
          <w:i w:val="0"/>
          <w:iCs w:val="0"/>
          <w:caps w:val="0"/>
          <w:color w:val="000000"/>
          <w:spacing w:val="0"/>
          <w:sz w:val="32"/>
          <w:szCs w:val="32"/>
          <w:shd w:val="clear" w:color="auto" w:fill="FFFFFF"/>
          <w:lang w:val="en-US" w:eastAsia="zh-CN"/>
        </w:rPr>
        <w:t>第一款之规定，</w:t>
      </w:r>
      <w:r>
        <w:rPr>
          <w:rFonts w:hint="default" w:ascii="仿宋_GB2312" w:hAnsi="微软雅黑" w:eastAsia="仿宋_GB2312" w:cs="仿宋_GB2312"/>
          <w:i w:val="0"/>
          <w:iCs w:val="0"/>
          <w:caps w:val="0"/>
          <w:color w:val="000000"/>
          <w:spacing w:val="0"/>
          <w:sz w:val="32"/>
          <w:szCs w:val="32"/>
          <w:shd w:val="clear" w:color="auto" w:fill="FFFFFF"/>
          <w:lang w:val="en-US" w:eastAsia="zh-CN"/>
        </w:rPr>
        <w:t>除要求其依法承担相应的赔偿等责任外，</w:t>
      </w:r>
      <w:r>
        <w:rPr>
          <w:rFonts w:hint="eastAsia" w:ascii="仿宋_GB2312" w:hAnsi="微软雅黑" w:eastAsia="仿宋_GB2312" w:cs="仿宋_GB2312"/>
          <w:i w:val="0"/>
          <w:iCs w:val="0"/>
          <w:caps w:val="0"/>
          <w:color w:val="000000"/>
          <w:spacing w:val="0"/>
          <w:sz w:val="32"/>
          <w:szCs w:val="32"/>
          <w:shd w:val="clear" w:color="auto" w:fill="FFFFFF"/>
          <w:lang w:val="en-US" w:eastAsia="zh-CN"/>
        </w:rPr>
        <w:t>对其处以三十</w:t>
      </w:r>
      <w:r>
        <w:rPr>
          <w:rFonts w:hint="default" w:ascii="仿宋_GB2312" w:hAnsi="微软雅黑" w:eastAsia="仿宋_GB2312" w:cs="仿宋_GB2312"/>
          <w:i w:val="0"/>
          <w:iCs w:val="0"/>
          <w:caps w:val="0"/>
          <w:color w:val="000000"/>
          <w:spacing w:val="0"/>
          <w:sz w:val="32"/>
          <w:szCs w:val="32"/>
          <w:shd w:val="clear" w:color="auto" w:fill="FFFFFF"/>
          <w:lang w:val="en-US" w:eastAsia="zh-CN"/>
        </w:rPr>
        <w:t>万元以上</w:t>
      </w:r>
      <w:r>
        <w:rPr>
          <w:rFonts w:hint="eastAsia" w:ascii="仿宋_GB2312" w:hAnsi="微软雅黑" w:eastAsia="仿宋_GB2312" w:cs="仿宋_GB2312"/>
          <w:i w:val="0"/>
          <w:iCs w:val="0"/>
          <w:caps w:val="0"/>
          <w:color w:val="000000"/>
          <w:spacing w:val="0"/>
          <w:sz w:val="32"/>
          <w:szCs w:val="32"/>
          <w:shd w:val="clear" w:color="auto" w:fill="FFFFFF"/>
          <w:lang w:val="en-US" w:eastAsia="zh-CN"/>
        </w:rPr>
        <w:t>一</w:t>
      </w:r>
      <w:r>
        <w:rPr>
          <w:rFonts w:hint="default" w:ascii="仿宋_GB2312" w:hAnsi="微软雅黑" w:eastAsia="仿宋_GB2312" w:cs="仿宋_GB2312"/>
          <w:i w:val="0"/>
          <w:iCs w:val="0"/>
          <w:caps w:val="0"/>
          <w:color w:val="000000"/>
          <w:spacing w:val="0"/>
          <w:sz w:val="32"/>
          <w:szCs w:val="32"/>
          <w:shd w:val="clear" w:color="auto" w:fill="FFFFFF"/>
          <w:lang w:val="en-US" w:eastAsia="zh-CN"/>
        </w:rPr>
        <w:t>百万元以下罚款。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bookmarkStart w:id="30" w:name="_Toc8493"/>
      <w:r>
        <w:rPr>
          <w:rFonts w:hint="eastAsia" w:ascii="黑体" w:hAnsi="黑体" w:eastAsia="黑体" w:cs="黑体"/>
          <w:sz w:val="32"/>
          <w:szCs w:val="32"/>
          <w:lang w:val="en-US" w:eastAsia="zh-CN"/>
        </w:rPr>
        <w:t>五、事故防范和整改建议落实情况调查</w:t>
      </w:r>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按照区政府批复的《</w:t>
      </w:r>
      <w:r>
        <w:rPr>
          <w:rFonts w:hint="eastAsia" w:ascii="仿宋_GB2312" w:hAnsi="仿宋_GB2312" w:eastAsia="仿宋_GB2312" w:cs="仿宋_GB2312"/>
          <w:sz w:val="32"/>
          <w:szCs w:val="32"/>
          <w:lang w:val="en-US" w:eastAsia="zh-CN"/>
        </w:rPr>
        <w:t>三亚市海棠区</w:t>
      </w:r>
      <w:r>
        <w:rPr>
          <w:rFonts w:hint="eastAsia" w:ascii="仿宋_GB2312" w:hAnsi="仿宋_GB2312" w:eastAsia="仿宋_GB2312" w:cs="仿宋_GB2312"/>
          <w:sz w:val="32"/>
          <w:szCs w:val="32"/>
        </w:rPr>
        <w:t>三亚国际免税城纪梵希品牌岛柜“10·2”触电事故</w:t>
      </w:r>
      <w:r>
        <w:rPr>
          <w:rFonts w:hint="default" w:ascii="仿宋_GB2312" w:hAnsi="宋体" w:eastAsia="仿宋_GB2312" w:cs="仿宋_GB2312"/>
          <w:sz w:val="32"/>
          <w:szCs w:val="32"/>
          <w:lang w:val="en-US" w:eastAsia="zh-CN"/>
        </w:rPr>
        <w:t>调查报告</w:t>
      </w:r>
      <w:r>
        <w:rPr>
          <w:rFonts w:hint="eastAsia" w:ascii="Times New Roman" w:hAnsi="Times New Roman" w:eastAsia="仿宋_GB2312" w:cs="Times New Roman"/>
          <w:sz w:val="32"/>
          <w:szCs w:val="32"/>
          <w:lang w:val="en-US" w:eastAsia="zh-CN"/>
        </w:rPr>
        <w:t>》，根据《生产安全事故报告和调查处理条例》的有关规定要求，事故相关</w:t>
      </w:r>
      <w:r>
        <w:rPr>
          <w:rFonts w:hint="eastAsia" w:eastAsia="仿宋_GB2312" w:cs="Times New Roman"/>
          <w:sz w:val="32"/>
          <w:szCs w:val="32"/>
          <w:lang w:val="en-US" w:eastAsia="zh-CN"/>
        </w:rPr>
        <w:t>部门及</w:t>
      </w:r>
      <w:r>
        <w:rPr>
          <w:rFonts w:hint="eastAsia" w:ascii="Times New Roman" w:hAnsi="Times New Roman" w:eastAsia="仿宋_GB2312" w:cs="Times New Roman"/>
          <w:sz w:val="32"/>
          <w:szCs w:val="32"/>
          <w:lang w:val="en-US" w:eastAsia="zh-CN"/>
        </w:rPr>
        <w:t>单位认真落实了事故报告提出的整改措施建议。</w:t>
      </w:r>
    </w:p>
    <w:p>
      <w:pPr>
        <w:pageBreakBefore w:val="0"/>
        <w:kinsoku/>
        <w:wordWrap/>
        <w:overflowPunct/>
        <w:topLinePunct w:val="0"/>
        <w:autoSpaceDE/>
        <w:autoSpaceDN/>
        <w:bidi w:val="0"/>
        <w:adjustRightInd/>
        <w:snapToGrid/>
        <w:spacing w:line="560" w:lineRule="exact"/>
        <w:ind w:firstLine="601"/>
        <w:textAlignment w:val="auto"/>
        <w:rPr>
          <w:rFonts w:hint="default" w:ascii="仿宋_GB2312" w:hAnsi="微软雅黑"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事故防范和整改建议：</w:t>
      </w:r>
      <w:r>
        <w:rPr>
          <w:rFonts w:hint="eastAsia" w:ascii="仿宋_GB2312" w:hAnsi="仿宋_GB2312" w:eastAsia="仿宋_GB2312" w:cs="仿宋_GB2312"/>
          <w:sz w:val="32"/>
          <w:szCs w:val="32"/>
          <w:lang w:val="en-US" w:eastAsia="zh-CN"/>
        </w:rPr>
        <w:t>《事故调查报告》指出：</w:t>
      </w:r>
      <w:r>
        <w:rPr>
          <w:rFonts w:hint="eastAsia" w:ascii="仿宋_GB2312" w:hAnsi="仿宋_GB2312" w:eastAsia="仿宋_GB2312" w:cs="仿宋_GB2312"/>
          <w:color w:val="auto"/>
          <w:sz w:val="32"/>
          <w:szCs w:val="32"/>
          <w:lang w:val="en-US" w:eastAsia="zh-CN"/>
        </w:rPr>
        <w:t>施工单位应深刻汲取事故教训，严格执行国家的安全生产法律法规，建立健全本单位安全生产规章制度及安全操作规程，认真开展隐患排查治理，加大对作业现场的监管力度，及时消除各类事故隐患。施工单位应加强从业人员安全教育培训，确保特种作业人员持证上岗，教育督促从业人员严格执行安全操作规程，不断提高自身安全和自我防范意识。场地租赁单位应加强现场安全隐患排查治理，对所有电源漏电保护器进行排查，确保不再发生类似事故发生。</w:t>
      </w:r>
    </w:p>
    <w:p>
      <w:pPr>
        <w:pageBreakBefore w:val="0"/>
        <w:kinsoku/>
        <w:wordWrap/>
        <w:overflowPunct/>
        <w:topLinePunct w:val="0"/>
        <w:autoSpaceDE/>
        <w:autoSpaceDN/>
        <w:bidi w:val="0"/>
        <w:adjustRightInd/>
        <w:snapToGrid/>
        <w:spacing w:line="560" w:lineRule="exact"/>
        <w:ind w:firstLine="601"/>
        <w:textAlignment w:val="auto"/>
        <w:rPr>
          <w:rFonts w:hint="default" w:ascii="仿宋_GB2312" w:hAnsi="仿宋_GB2312" w:eastAsia="仿宋_GB2312" w:cs="仿宋_GB2312"/>
          <w:b w:val="0"/>
          <w:kern w:val="2"/>
          <w:sz w:val="32"/>
          <w:szCs w:val="32"/>
          <w:lang w:val="en-US" w:eastAsia="zh-CN" w:bidi="ar-SA"/>
        </w:rPr>
      </w:pPr>
      <w:r>
        <w:rPr>
          <w:rFonts w:hint="eastAsia" w:ascii="Times New Roman" w:hAnsi="Times New Roman" w:eastAsia="仿宋_GB2312" w:cs="Times New Roman"/>
          <w:b/>
          <w:bCs/>
          <w:sz w:val="32"/>
          <w:szCs w:val="32"/>
          <w:lang w:val="en-US" w:eastAsia="zh-CN"/>
        </w:rPr>
        <w:t>落实情况：</w:t>
      </w:r>
      <w:r>
        <w:rPr>
          <w:rFonts w:hint="eastAsia" w:ascii="Times New Roman" w:hAnsi="Times New Roman" w:eastAsia="仿宋_GB2312" w:cs="Times New Roman"/>
          <w:sz w:val="32"/>
          <w:szCs w:val="32"/>
          <w:lang w:val="en-US" w:eastAsia="zh-CN"/>
        </w:rPr>
        <w:t>经评估工作小组调查，事故发生后，</w:t>
      </w:r>
      <w:r>
        <w:rPr>
          <w:rFonts w:hint="eastAsia" w:ascii="仿宋_GB2312" w:hAnsi="仿宋_GB2312" w:eastAsia="仿宋_GB2312" w:cs="仿宋_GB2312"/>
          <w:color w:val="auto"/>
          <w:sz w:val="32"/>
          <w:szCs w:val="32"/>
          <w:lang w:val="en-US" w:eastAsia="zh-CN"/>
        </w:rPr>
        <w:t>海南琥珀装饰工程有限公司、深圳市鑫磊展示道具制品有限公司、</w:t>
      </w:r>
      <w:r>
        <w:rPr>
          <w:rFonts w:hint="eastAsia" w:ascii="Times New Roman" w:hAnsi="Times New Roman" w:eastAsia="仿宋_GB2312" w:cs="Times New Roman"/>
          <w:b w:val="0"/>
          <w:bCs w:val="0"/>
          <w:kern w:val="0"/>
          <w:sz w:val="32"/>
          <w:szCs w:val="32"/>
          <w:lang w:val="en-US" w:eastAsia="zh-CN" w:bidi="ar"/>
        </w:rPr>
        <w:t>深圳市三木堂建筑设计顾问有限公司</w:t>
      </w:r>
      <w:r>
        <w:rPr>
          <w:rFonts w:hint="eastAsia" w:ascii="仿宋_GB2312" w:hAnsi="仿宋_GB2312" w:eastAsia="仿宋_GB2312" w:cs="仿宋_GB2312"/>
          <w:color w:val="auto"/>
          <w:sz w:val="32"/>
          <w:szCs w:val="32"/>
          <w:lang w:val="en-US" w:eastAsia="zh-CN"/>
        </w:rPr>
        <w:t>深刻汲取事故教训，严格执行国家的安全生产法律法规，建立健全本单位安全生产规章制度及安全操作规程，认真开展隐患排查治理，加大对作业现场的监管力度，及时消除各类事故隐患。海南琥珀装饰工程有限公司、深圳市鑫磊展示道具制品有限公司、</w:t>
      </w:r>
      <w:r>
        <w:rPr>
          <w:rFonts w:hint="eastAsia" w:ascii="Times New Roman" w:hAnsi="Times New Roman" w:eastAsia="仿宋_GB2312" w:cs="Times New Roman"/>
          <w:b w:val="0"/>
          <w:bCs w:val="0"/>
          <w:kern w:val="0"/>
          <w:sz w:val="32"/>
          <w:szCs w:val="32"/>
          <w:lang w:val="en-US" w:eastAsia="zh-CN" w:bidi="ar"/>
        </w:rPr>
        <w:t>深圳市三木堂建筑设计顾问有限公司</w:t>
      </w:r>
      <w:r>
        <w:rPr>
          <w:rFonts w:hint="eastAsia" w:ascii="仿宋_GB2312" w:hAnsi="仿宋_GB2312" w:eastAsia="仿宋_GB2312" w:cs="仿宋_GB2312"/>
          <w:color w:val="auto"/>
          <w:sz w:val="32"/>
          <w:szCs w:val="32"/>
          <w:lang w:val="en-US" w:eastAsia="zh-CN"/>
        </w:rPr>
        <w:t>加强从业人员安全教育培训，确保特种作业人员持证上岗，教育督促从业人员严格执行安全操作规程，不断提高自身安全和自我防范意识。三亚国际免税城加强现场安全隐患排查治理，对所有电源漏电保护器进行排查，确保不再发生类似事故发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bookmarkStart w:id="31" w:name="_Toc32172"/>
      <w:bookmarkStart w:id="32" w:name="_Toc28136"/>
      <w:r>
        <w:rPr>
          <w:rFonts w:hint="eastAsia" w:ascii="黑体" w:hAnsi="黑体" w:eastAsia="黑体" w:cs="黑体"/>
          <w:sz w:val="32"/>
          <w:szCs w:val="32"/>
          <w:lang w:val="en-US" w:eastAsia="zh-CN"/>
        </w:rPr>
        <w:t>六、</w:t>
      </w:r>
      <w:bookmarkStart w:id="33" w:name="_Toc17429"/>
      <w:bookmarkEnd w:id="31"/>
      <w:bookmarkEnd w:id="32"/>
      <w:r>
        <w:rPr>
          <w:rFonts w:hint="eastAsia" w:ascii="黑体" w:hAnsi="黑体" w:eastAsia="黑体" w:cs="黑体"/>
          <w:sz w:val="32"/>
          <w:szCs w:val="32"/>
          <w:lang w:val="en-US" w:eastAsia="zh-CN"/>
        </w:rPr>
        <w:t>总体评估意见</w:t>
      </w:r>
      <w:bookmarkEnd w:id="33"/>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事故评估组认真核查了本起事故处理建议和整改措施落实情况</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相关文件资料，有关单位及部门能认真吸取此次事故教训，较好</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rPr>
        <w:t>落实了事故调查报告提出的事故防范措施。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60" w:lineRule="exact"/>
        <w:ind w:left="4800" w:leftChars="0" w:hanging="4800" w:hangingChars="1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三亚市海棠区</w:t>
      </w:r>
      <w:r>
        <w:rPr>
          <w:rFonts w:hint="eastAsia" w:ascii="仿宋_GB2312" w:hAnsi="仿宋_GB2312" w:eastAsia="仿宋_GB2312" w:cs="仿宋_GB2312"/>
          <w:sz w:val="32"/>
          <w:szCs w:val="32"/>
          <w:lang w:eastAsia="zh-CN"/>
        </w:rPr>
        <w:t>安全生产委员会办公室</w:t>
      </w:r>
    </w:p>
    <w:p>
      <w:pPr>
        <w:pageBreakBefore w:val="0"/>
        <w:kinsoku/>
        <w:wordWrap/>
        <w:overflowPunct/>
        <w:topLinePunct w:val="0"/>
        <w:autoSpaceDE/>
        <w:autoSpaceDN/>
        <w:bidi w:val="0"/>
        <w:spacing w:line="560" w:lineRule="exact"/>
        <w:jc w:val="left"/>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宋体" w:eastAsia="仿宋_GB2312" w:cs="仿宋_GB2312"/>
          <w:b w:val="0"/>
          <w:bCs w:val="0"/>
          <w:color w:val="auto"/>
          <w:sz w:val="32"/>
          <w:szCs w:val="32"/>
          <w:lang w:val="en-US" w:eastAsia="zh-CN"/>
        </w:rPr>
        <w:t>2023年10</w:t>
      </w:r>
      <w:r>
        <w:rPr>
          <w:rFonts w:hint="default" w:ascii="仿宋_GB2312" w:hAnsi="宋体" w:eastAsia="仿宋_GB2312" w:cs="仿宋_GB2312"/>
          <w:b w:val="0"/>
          <w:bCs w:val="0"/>
          <w:color w:val="auto"/>
          <w:sz w:val="32"/>
          <w:szCs w:val="32"/>
        </w:rPr>
        <w:t>月</w:t>
      </w:r>
      <w:r>
        <w:rPr>
          <w:rFonts w:hint="eastAsia" w:ascii="仿宋_GB2312" w:hAnsi="宋体" w:eastAsia="仿宋_GB2312" w:cs="仿宋_GB2312"/>
          <w:b w:val="0"/>
          <w:bCs w:val="0"/>
          <w:color w:val="auto"/>
          <w:sz w:val="32"/>
          <w:szCs w:val="32"/>
          <w:lang w:val="en-US" w:eastAsia="zh-CN"/>
        </w:rPr>
        <w:t>30</w:t>
      </w:r>
      <w:r>
        <w:rPr>
          <w:rFonts w:hint="default" w:ascii="仿宋_GB2312" w:hAnsi="宋体" w:eastAsia="仿宋_GB2312" w:cs="仿宋_GB2312"/>
          <w:b w:val="0"/>
          <w:bCs w:val="0"/>
          <w:color w:val="auto"/>
          <w:sz w:val="32"/>
          <w:szCs w:val="32"/>
        </w:rPr>
        <w:t>日</w:t>
      </w:r>
    </w:p>
    <w:sectPr>
      <w:footerReference r:id="rId4" w:type="default"/>
      <w:pgSz w:w="11906" w:h="16838"/>
      <w:pgMar w:top="2098" w:right="1474" w:bottom="1984" w:left="1587" w:header="851" w:footer="1134" w:gutter="0"/>
      <w:pgNumType w:fmt="decimal"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7BFFF5-20D2-4F87-86A1-31CF8F20AC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embedRegular r:id="rId2" w:fontKey="{A643CB8D-4ECD-4DE7-A1F6-44DA44E421A2}"/>
  </w:font>
  <w:font w:name="仿宋">
    <w:panose1 w:val="02010609060101010101"/>
    <w:charset w:val="86"/>
    <w:family w:val="auto"/>
    <w:pitch w:val="default"/>
    <w:sig w:usb0="800002BF" w:usb1="38CF7CFA" w:usb2="00000016" w:usb3="00000000" w:csb0="00040001" w:csb1="00000000"/>
    <w:embedRegular r:id="rId3" w:fontKey="{4D697439-2DEC-4784-8A09-82927ED6718C}"/>
  </w:font>
  <w:font w:name="Cambria Math">
    <w:panose1 w:val="02040503050406030204"/>
    <w:charset w:val="00"/>
    <w:family w:val="roman"/>
    <w:pitch w:val="default"/>
    <w:sig w:usb0="E00002FF" w:usb1="420024FF" w:usb2="00000000" w:usb3="00000000" w:csb0="2000019F" w:csb1="00000000"/>
    <w:embedRegular r:id="rId4" w:fontKey="{22C034FD-A208-4D2E-8AAD-5DB3A6AED04E}"/>
  </w:font>
  <w:font w:name="方正小标宋简体">
    <w:panose1 w:val="03000509000000000000"/>
    <w:charset w:val="86"/>
    <w:family w:val="auto"/>
    <w:pitch w:val="default"/>
    <w:sig w:usb0="00000001" w:usb1="080E0000" w:usb2="00000000" w:usb3="00000000" w:csb0="00040000" w:csb1="00000000"/>
    <w:embedRegular r:id="rId5" w:fontKey="{2D0858B1-331F-4EFE-A218-F6B52E2CFE39}"/>
  </w:font>
  <w:font w:name="仿宋_GB2312">
    <w:panose1 w:val="02010609030101010101"/>
    <w:charset w:val="86"/>
    <w:family w:val="modern"/>
    <w:pitch w:val="default"/>
    <w:sig w:usb0="00000001" w:usb1="080E0000" w:usb2="00000000" w:usb3="00000000" w:csb0="00040000" w:csb1="00000000"/>
    <w:embedRegular r:id="rId6" w:fontKey="{15BAA344-CF77-4A16-B84F-B61E3BAF878D}"/>
  </w:font>
  <w:font w:name="楷体_GB2312">
    <w:panose1 w:val="02010609030101010101"/>
    <w:charset w:val="86"/>
    <w:family w:val="auto"/>
    <w:pitch w:val="default"/>
    <w:sig w:usb0="00000001" w:usb1="080E0000" w:usb2="00000000" w:usb3="00000000" w:csb0="00040000" w:csb1="00000000"/>
    <w:embedRegular r:id="rId7" w:fontKey="{4DA10DD5-D34D-4194-BA07-6370FD7655AA}"/>
  </w:font>
  <w:font w:name="楷体">
    <w:panose1 w:val="02010609060101010101"/>
    <w:charset w:val="86"/>
    <w:family w:val="auto"/>
    <w:pitch w:val="default"/>
    <w:sig w:usb0="800002BF" w:usb1="38CF7CFA" w:usb2="00000016" w:usb3="00000000" w:csb0="00040001" w:csb1="00000000"/>
    <w:embedRegular r:id="rId8" w:fontKey="{4489DF2B-82AD-47D1-B59F-3AFB3C036E9F}"/>
  </w:font>
  <w:font w:name="Arial">
    <w:panose1 w:val="020B0604020202020204"/>
    <w:charset w:val="00"/>
    <w:family w:val="auto"/>
    <w:pitch w:val="default"/>
    <w:sig w:usb0="E0002AFF" w:usb1="C0007843" w:usb2="00000009" w:usb3="00000000" w:csb0="400001FF" w:csb1="FFFF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MzQ3NmFlMWRlNWU5NmQ4Y2ZiYThkMzQ2YjRjYWYifQ=="/>
  </w:docVars>
  <w:rsids>
    <w:rsidRoot w:val="00000000"/>
    <w:rsid w:val="00241F11"/>
    <w:rsid w:val="00423C6D"/>
    <w:rsid w:val="01341807"/>
    <w:rsid w:val="01BD17FD"/>
    <w:rsid w:val="020220CB"/>
    <w:rsid w:val="02355C85"/>
    <w:rsid w:val="02D64A61"/>
    <w:rsid w:val="03397263"/>
    <w:rsid w:val="033B6E7D"/>
    <w:rsid w:val="044464F4"/>
    <w:rsid w:val="05C90894"/>
    <w:rsid w:val="0609042C"/>
    <w:rsid w:val="061924BA"/>
    <w:rsid w:val="063B3638"/>
    <w:rsid w:val="063F67CE"/>
    <w:rsid w:val="06504EDF"/>
    <w:rsid w:val="069A3EBB"/>
    <w:rsid w:val="06E201E0"/>
    <w:rsid w:val="076D5634"/>
    <w:rsid w:val="077A36B1"/>
    <w:rsid w:val="07C17B6D"/>
    <w:rsid w:val="082779D0"/>
    <w:rsid w:val="08EC7C32"/>
    <w:rsid w:val="09036B8C"/>
    <w:rsid w:val="09224DB4"/>
    <w:rsid w:val="09523BB6"/>
    <w:rsid w:val="09864BCA"/>
    <w:rsid w:val="0994574F"/>
    <w:rsid w:val="09F54EC3"/>
    <w:rsid w:val="0A3B7763"/>
    <w:rsid w:val="0A7B2255"/>
    <w:rsid w:val="0B886BAA"/>
    <w:rsid w:val="0CC003F3"/>
    <w:rsid w:val="0D890257"/>
    <w:rsid w:val="0E386E38"/>
    <w:rsid w:val="0E4A266A"/>
    <w:rsid w:val="0F492792"/>
    <w:rsid w:val="0F8676D2"/>
    <w:rsid w:val="101D355F"/>
    <w:rsid w:val="106F63B8"/>
    <w:rsid w:val="113413B0"/>
    <w:rsid w:val="12F1229B"/>
    <w:rsid w:val="13315BA7"/>
    <w:rsid w:val="135950FD"/>
    <w:rsid w:val="13855B0D"/>
    <w:rsid w:val="13EE5846"/>
    <w:rsid w:val="156A390E"/>
    <w:rsid w:val="1615355E"/>
    <w:rsid w:val="16FD0BFE"/>
    <w:rsid w:val="17045380"/>
    <w:rsid w:val="179C380B"/>
    <w:rsid w:val="17C072F8"/>
    <w:rsid w:val="17F61E06"/>
    <w:rsid w:val="194903EC"/>
    <w:rsid w:val="19BD31DA"/>
    <w:rsid w:val="19E05A09"/>
    <w:rsid w:val="1A355F5C"/>
    <w:rsid w:val="1A9A604F"/>
    <w:rsid w:val="1AE40D6B"/>
    <w:rsid w:val="1B682381"/>
    <w:rsid w:val="1BFB31F6"/>
    <w:rsid w:val="1D1B4B41"/>
    <w:rsid w:val="1D7F2D11"/>
    <w:rsid w:val="1DD50530"/>
    <w:rsid w:val="1E03530F"/>
    <w:rsid w:val="1F2078F1"/>
    <w:rsid w:val="1F6149D3"/>
    <w:rsid w:val="1F9C52BC"/>
    <w:rsid w:val="20684B9E"/>
    <w:rsid w:val="209459C7"/>
    <w:rsid w:val="22CF5546"/>
    <w:rsid w:val="243D4ED1"/>
    <w:rsid w:val="243F6497"/>
    <w:rsid w:val="256E4A38"/>
    <w:rsid w:val="27337CE7"/>
    <w:rsid w:val="27A80D9F"/>
    <w:rsid w:val="28C4605E"/>
    <w:rsid w:val="2A00655D"/>
    <w:rsid w:val="2A6F54DA"/>
    <w:rsid w:val="2A862D06"/>
    <w:rsid w:val="2A905451"/>
    <w:rsid w:val="2AA915E9"/>
    <w:rsid w:val="2AB61FD6"/>
    <w:rsid w:val="2AD92954"/>
    <w:rsid w:val="2AFE6F2D"/>
    <w:rsid w:val="2B464BEB"/>
    <w:rsid w:val="2B4E031E"/>
    <w:rsid w:val="2B5E72FD"/>
    <w:rsid w:val="2BE07D12"/>
    <w:rsid w:val="2C3D68C4"/>
    <w:rsid w:val="2CFC6DCE"/>
    <w:rsid w:val="2DAF7046"/>
    <w:rsid w:val="2E644890"/>
    <w:rsid w:val="2FA33530"/>
    <w:rsid w:val="304011BA"/>
    <w:rsid w:val="308B46F0"/>
    <w:rsid w:val="30AB4D93"/>
    <w:rsid w:val="314B0324"/>
    <w:rsid w:val="31864691"/>
    <w:rsid w:val="318A6971"/>
    <w:rsid w:val="31A17F44"/>
    <w:rsid w:val="31C52712"/>
    <w:rsid w:val="349A75F8"/>
    <w:rsid w:val="34BF2E0B"/>
    <w:rsid w:val="370D2F7A"/>
    <w:rsid w:val="375975D7"/>
    <w:rsid w:val="38264224"/>
    <w:rsid w:val="384A684A"/>
    <w:rsid w:val="38691D09"/>
    <w:rsid w:val="392B10FC"/>
    <w:rsid w:val="3994007E"/>
    <w:rsid w:val="3AB804D4"/>
    <w:rsid w:val="3B53405D"/>
    <w:rsid w:val="3B935024"/>
    <w:rsid w:val="3C836BC3"/>
    <w:rsid w:val="3CDD7B2C"/>
    <w:rsid w:val="3D4F4CF8"/>
    <w:rsid w:val="3D843666"/>
    <w:rsid w:val="3DD60B28"/>
    <w:rsid w:val="3E810EE1"/>
    <w:rsid w:val="3FCB338F"/>
    <w:rsid w:val="401C39DE"/>
    <w:rsid w:val="40B3559D"/>
    <w:rsid w:val="41214BFD"/>
    <w:rsid w:val="41CC4B69"/>
    <w:rsid w:val="425C413F"/>
    <w:rsid w:val="44240665"/>
    <w:rsid w:val="448B259E"/>
    <w:rsid w:val="45803A95"/>
    <w:rsid w:val="45FF48E2"/>
    <w:rsid w:val="46AE0CE1"/>
    <w:rsid w:val="46B430F9"/>
    <w:rsid w:val="48027536"/>
    <w:rsid w:val="480C76ED"/>
    <w:rsid w:val="48F86243"/>
    <w:rsid w:val="492E7C32"/>
    <w:rsid w:val="4A01009A"/>
    <w:rsid w:val="4A1452FF"/>
    <w:rsid w:val="4B026FF0"/>
    <w:rsid w:val="4B35546A"/>
    <w:rsid w:val="4B88334E"/>
    <w:rsid w:val="4BD27749"/>
    <w:rsid w:val="4BE40D01"/>
    <w:rsid w:val="4C4377E0"/>
    <w:rsid w:val="4C940979"/>
    <w:rsid w:val="4E453CD9"/>
    <w:rsid w:val="4E9823FF"/>
    <w:rsid w:val="50D75ECD"/>
    <w:rsid w:val="50D901C7"/>
    <w:rsid w:val="516E0BBA"/>
    <w:rsid w:val="52716B96"/>
    <w:rsid w:val="531C6FD2"/>
    <w:rsid w:val="53455A98"/>
    <w:rsid w:val="54534C76"/>
    <w:rsid w:val="54ED6E78"/>
    <w:rsid w:val="55432327"/>
    <w:rsid w:val="55BD2D48"/>
    <w:rsid w:val="56E20573"/>
    <w:rsid w:val="586A1D26"/>
    <w:rsid w:val="58C61407"/>
    <w:rsid w:val="590E1F88"/>
    <w:rsid w:val="5C9748B0"/>
    <w:rsid w:val="5D402163"/>
    <w:rsid w:val="5D4E1EA4"/>
    <w:rsid w:val="5D5C103F"/>
    <w:rsid w:val="5D7C49E0"/>
    <w:rsid w:val="5DDB01B6"/>
    <w:rsid w:val="5DDD65A9"/>
    <w:rsid w:val="5F037C36"/>
    <w:rsid w:val="603A63E4"/>
    <w:rsid w:val="61196693"/>
    <w:rsid w:val="61333E65"/>
    <w:rsid w:val="61B12A61"/>
    <w:rsid w:val="62E85C7D"/>
    <w:rsid w:val="637F3CAB"/>
    <w:rsid w:val="63873E85"/>
    <w:rsid w:val="63B902E6"/>
    <w:rsid w:val="63CB55DB"/>
    <w:rsid w:val="65067706"/>
    <w:rsid w:val="65506B62"/>
    <w:rsid w:val="656767D3"/>
    <w:rsid w:val="65777A1F"/>
    <w:rsid w:val="66432D9C"/>
    <w:rsid w:val="66AA4BC9"/>
    <w:rsid w:val="66B351BD"/>
    <w:rsid w:val="66FF3BBB"/>
    <w:rsid w:val="680453DF"/>
    <w:rsid w:val="68070E71"/>
    <w:rsid w:val="68CB0E27"/>
    <w:rsid w:val="69923E7A"/>
    <w:rsid w:val="69AD0D0B"/>
    <w:rsid w:val="6B9876E6"/>
    <w:rsid w:val="6C27117C"/>
    <w:rsid w:val="6D61266F"/>
    <w:rsid w:val="6DCA26EA"/>
    <w:rsid w:val="6EB02F99"/>
    <w:rsid w:val="6EBC7B8F"/>
    <w:rsid w:val="6F4B1159"/>
    <w:rsid w:val="6F563B40"/>
    <w:rsid w:val="71634F44"/>
    <w:rsid w:val="717B5AE0"/>
    <w:rsid w:val="71B263C8"/>
    <w:rsid w:val="734F0FD2"/>
    <w:rsid w:val="73B51323"/>
    <w:rsid w:val="73D87A15"/>
    <w:rsid w:val="757F1917"/>
    <w:rsid w:val="76756284"/>
    <w:rsid w:val="7750356B"/>
    <w:rsid w:val="77AB55D5"/>
    <w:rsid w:val="78237E86"/>
    <w:rsid w:val="789E0306"/>
    <w:rsid w:val="792F7AF9"/>
    <w:rsid w:val="797D7F1B"/>
    <w:rsid w:val="7ABC51E6"/>
    <w:rsid w:val="7B0408F4"/>
    <w:rsid w:val="7BED75DA"/>
    <w:rsid w:val="7C030BAC"/>
    <w:rsid w:val="7C381A30"/>
    <w:rsid w:val="7E39404C"/>
    <w:rsid w:val="7ED172C0"/>
    <w:rsid w:val="7EDE145C"/>
    <w:rsid w:val="7F233313"/>
    <w:rsid w:val="7F29611F"/>
    <w:rsid w:val="7FEC70D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szCs w:val="44"/>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120"/>
    </w:pPr>
    <w:rPr>
      <w:sz w:val="32"/>
      <w:szCs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unhideWhenUsed/>
    <w:qFormat/>
    <w:uiPriority w:val="99"/>
    <w:pPr>
      <w:widowControl/>
      <w:adjustRightInd w:val="0"/>
      <w:snapToGrid w:val="0"/>
      <w:spacing w:beforeAutospacing="1" w:afterAutospacing="1"/>
      <w:jc w:val="left"/>
    </w:pPr>
    <w:rPr>
      <w:rFonts w:ascii="Tahoma" w:hAnsi="Tahoma" w:eastAsia="微软雅黑"/>
      <w:kern w:val="0"/>
      <w:sz w:val="24"/>
      <w:szCs w:val="22"/>
    </w:rPr>
  </w:style>
  <w:style w:type="paragraph" w:customStyle="1" w:styleId="13">
    <w:name w:val="Heading2"/>
    <w:basedOn w:val="1"/>
    <w:next w:val="1"/>
    <w:qFormat/>
    <w:uiPriority w:val="0"/>
    <w:pPr>
      <w:keepNext/>
      <w:keepLines/>
      <w:spacing w:line="413" w:lineRule="auto"/>
      <w:jc w:val="both"/>
      <w:textAlignment w:val="baseline"/>
    </w:pPr>
    <w:rPr>
      <w:rFonts w:ascii="Arial" w:hAnsi="Arial" w:eastAsia="黑体"/>
      <w:b/>
      <w:kern w:val="2"/>
      <w:sz w:val="21"/>
      <w:szCs w:val="24"/>
      <w:lang w:val="en-US" w:eastAsia="zh-CN" w:bidi="ar-SA"/>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4396</Words>
  <Characters>4535</Characters>
  <Lines>0</Lines>
  <Paragraphs>0</Paragraphs>
  <ScaleCrop>false</ScaleCrop>
  <LinksUpToDate>false</LinksUpToDate>
  <CharactersWithSpaces>4649</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2023-02-21T02:40:00Z</dcterms:created>
  <dc:creator>Lenovo</dc:creator>
  <cp:lastModifiedBy>冯喜龙</cp:lastModifiedBy>
  <dcterms:modified xsi:type="dcterms:W3CDTF">2024-03-05T09:10:48Z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D8851E480AD24B65A72054CE4D7642AA</vt:lpwstr>
  </property>
</Properties>
</file>