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jc w:val="center"/>
        <w:outlineLvl w:val="9"/>
        <w:rPr>
          <w:rFonts w:hint="eastAsia" w:ascii="仿宋" w:hAnsi="仿宋" w:eastAsia="仿宋" w:cs="Cambria Math"/>
          <w:b/>
          <w:spacing w:val="20"/>
          <w:sz w:val="44"/>
          <w:szCs w:val="44"/>
        </w:rPr>
      </w:pPr>
      <w:bookmarkStart w:id="0" w:name="_Toc23589"/>
      <w:bookmarkStart w:id="1" w:name="_Toc13284"/>
      <w:bookmarkStart w:id="2" w:name="_Toc26119"/>
      <w:bookmarkStart w:id="3" w:name="_Toc24895"/>
      <w:bookmarkStart w:id="4" w:name="_Toc19229"/>
      <w:bookmarkStart w:id="37" w:name="_GoBack"/>
      <w:bookmarkEnd w:id="37"/>
    </w:p>
    <w:p>
      <w:pPr>
        <w:pStyle w:val="13"/>
        <w:pageBreakBefore w:val="0"/>
        <w:kinsoku/>
        <w:wordWrap/>
        <w:overflowPunct/>
        <w:topLinePunct w:val="0"/>
        <w:autoSpaceDE/>
        <w:autoSpaceDN/>
        <w:bidi w:val="0"/>
        <w:spacing w:line="560" w:lineRule="exact"/>
        <w:rPr>
          <w:rFonts w:hint="eastAsia"/>
        </w:rPr>
      </w:pPr>
    </w:p>
    <w:bookmarkEnd w:id="0"/>
    <w:bookmarkEnd w:id="1"/>
    <w:bookmarkEnd w:id="2"/>
    <w:bookmarkEnd w:id="3"/>
    <w:bookmarkEnd w:id="4"/>
    <w:p>
      <w:pPr>
        <w:pageBreakBefore w:val="0"/>
        <w:kinsoku/>
        <w:wordWrap/>
        <w:overflowPunct/>
        <w:topLinePunct w:val="0"/>
        <w:autoSpaceDE/>
        <w:autoSpaceDN/>
        <w:bidi w:val="0"/>
        <w:spacing w:line="560" w:lineRule="exact"/>
        <w:jc w:val="both"/>
        <w:rPr>
          <w:rFonts w:hint="eastAsia" w:ascii="方正小标宋简体" w:hAnsi="方正小标宋简体" w:eastAsia="方正小标宋简体" w:cs="方正小标宋简体"/>
          <w:b w:val="0"/>
          <w:bCs/>
          <w:spacing w:val="2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spacing w:val="20"/>
          <w:sz w:val="44"/>
          <w:szCs w:val="44"/>
        </w:rPr>
      </w:pPr>
      <w:bookmarkStart w:id="5" w:name="_Toc27055"/>
      <w:r>
        <w:rPr>
          <w:rFonts w:hint="eastAsia" w:ascii="方正小标宋简体" w:hAnsi="方正小标宋简体" w:eastAsia="方正小标宋简体" w:cs="方正小标宋简体"/>
          <w:b w:val="0"/>
          <w:bCs/>
          <w:spacing w:val="20"/>
          <w:sz w:val="44"/>
          <w:szCs w:val="44"/>
        </w:rPr>
        <w:t>三亚市海棠区三亚民生旅业有限责任公司“6.9”海棠湾民生威斯汀度假酒店亡人</w:t>
      </w:r>
      <w:bookmarkEnd w:id="5"/>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spacing w:val="20"/>
          <w:sz w:val="44"/>
          <w:szCs w:val="44"/>
        </w:rPr>
      </w:pPr>
      <w:bookmarkStart w:id="6" w:name="_Toc17858"/>
      <w:r>
        <w:rPr>
          <w:rFonts w:hint="eastAsia" w:ascii="方正小标宋简体" w:hAnsi="方正小标宋简体" w:eastAsia="方正小标宋简体" w:cs="方正小标宋简体"/>
          <w:b w:val="0"/>
          <w:bCs/>
          <w:spacing w:val="20"/>
          <w:sz w:val="44"/>
          <w:szCs w:val="44"/>
        </w:rPr>
        <w:t>事故调查报告处理工作情况评估报告</w:t>
      </w:r>
      <w:bookmarkEnd w:id="6"/>
    </w:p>
    <w:p>
      <w:pPr>
        <w:pageBreakBefore w:val="0"/>
        <w:kinsoku/>
        <w:wordWrap/>
        <w:overflowPunct/>
        <w:topLinePunct w:val="0"/>
        <w:autoSpaceDE/>
        <w:autoSpaceDN/>
        <w:bidi w:val="0"/>
        <w:spacing w:line="560" w:lineRule="exact"/>
        <w:rPr>
          <w:rFonts w:hint="eastAsia"/>
          <w:b w:val="0"/>
          <w:bCs/>
        </w:rPr>
      </w:pPr>
    </w:p>
    <w:p>
      <w:pPr>
        <w:pageBreakBefore w:val="0"/>
        <w:kinsoku/>
        <w:wordWrap/>
        <w:overflowPunct/>
        <w:topLinePunct w:val="0"/>
        <w:autoSpaceDE/>
        <w:autoSpaceDN/>
        <w:bidi w:val="0"/>
        <w:spacing w:line="560" w:lineRule="exact"/>
        <w:rPr>
          <w:rFonts w:hint="eastAsia"/>
        </w:rPr>
      </w:pPr>
    </w:p>
    <w:p>
      <w:pPr>
        <w:pageBreakBefore w:val="0"/>
        <w:kinsoku/>
        <w:wordWrap/>
        <w:overflowPunct/>
        <w:topLinePunct w:val="0"/>
        <w:autoSpaceDE/>
        <w:autoSpaceDN/>
        <w:bidi w:val="0"/>
        <w:spacing w:line="560" w:lineRule="exact"/>
        <w:rPr>
          <w:rFonts w:hint="eastAsia"/>
        </w:rPr>
      </w:pPr>
    </w:p>
    <w:p>
      <w:pPr>
        <w:pageBreakBefore w:val="0"/>
        <w:kinsoku/>
        <w:wordWrap/>
        <w:overflowPunct/>
        <w:topLinePunct w:val="0"/>
        <w:autoSpaceDE/>
        <w:autoSpaceDN/>
        <w:bidi w:val="0"/>
        <w:spacing w:line="560" w:lineRule="exact"/>
        <w:rPr>
          <w:rFonts w:hint="eastAsia"/>
        </w:rPr>
      </w:pPr>
    </w:p>
    <w:p>
      <w:pPr>
        <w:pageBreakBefore w:val="0"/>
        <w:kinsoku/>
        <w:wordWrap/>
        <w:overflowPunct/>
        <w:topLinePunct w:val="0"/>
        <w:autoSpaceDE/>
        <w:autoSpaceDN/>
        <w:bidi w:val="0"/>
        <w:spacing w:line="560" w:lineRule="exact"/>
        <w:rPr>
          <w:rFonts w:hint="eastAsia"/>
        </w:rPr>
      </w:pPr>
    </w:p>
    <w:p>
      <w:pPr>
        <w:pageBreakBefore w:val="0"/>
        <w:kinsoku/>
        <w:wordWrap/>
        <w:overflowPunct/>
        <w:topLinePunct w:val="0"/>
        <w:autoSpaceDE/>
        <w:autoSpaceDN/>
        <w:bidi w:val="0"/>
        <w:spacing w:line="560" w:lineRule="exact"/>
        <w:rPr>
          <w:rFonts w:hint="eastAsia"/>
        </w:rPr>
      </w:pPr>
    </w:p>
    <w:p>
      <w:pPr>
        <w:pageBreakBefore w:val="0"/>
        <w:kinsoku/>
        <w:wordWrap/>
        <w:overflowPunct/>
        <w:topLinePunct w:val="0"/>
        <w:autoSpaceDE/>
        <w:autoSpaceDN/>
        <w:bidi w:val="0"/>
        <w:spacing w:line="560" w:lineRule="exact"/>
        <w:rPr>
          <w:rFonts w:hint="eastAsia"/>
        </w:rPr>
      </w:pPr>
    </w:p>
    <w:p>
      <w:pPr>
        <w:pageBreakBefore w:val="0"/>
        <w:kinsoku/>
        <w:wordWrap/>
        <w:overflowPunct/>
        <w:topLinePunct w:val="0"/>
        <w:autoSpaceDE/>
        <w:autoSpaceDN/>
        <w:bidi w:val="0"/>
        <w:spacing w:line="560" w:lineRule="exact"/>
        <w:rPr>
          <w:rFonts w:hint="eastAsia"/>
        </w:rPr>
      </w:pPr>
    </w:p>
    <w:p>
      <w:pPr>
        <w:pageBreakBefore w:val="0"/>
        <w:kinsoku/>
        <w:wordWrap/>
        <w:overflowPunct/>
        <w:topLinePunct w:val="0"/>
        <w:autoSpaceDE/>
        <w:autoSpaceDN/>
        <w:bidi w:val="0"/>
        <w:spacing w:line="560" w:lineRule="exact"/>
        <w:rPr>
          <w:rFonts w:hint="eastAsia"/>
        </w:rPr>
      </w:pPr>
    </w:p>
    <w:p>
      <w:pPr>
        <w:pageBreakBefore w:val="0"/>
        <w:kinsoku/>
        <w:wordWrap/>
        <w:overflowPunct/>
        <w:topLinePunct w:val="0"/>
        <w:autoSpaceDE/>
        <w:autoSpaceDN/>
        <w:bidi w:val="0"/>
        <w:spacing w:line="560" w:lineRule="exact"/>
        <w:rPr>
          <w:rFonts w:hint="eastAsia"/>
        </w:rPr>
      </w:pPr>
    </w:p>
    <w:p>
      <w:pPr>
        <w:pageBreakBefore w:val="0"/>
        <w:kinsoku/>
        <w:wordWrap/>
        <w:overflowPunct/>
        <w:topLinePunct w:val="0"/>
        <w:autoSpaceDE/>
        <w:autoSpaceDN/>
        <w:bidi w:val="0"/>
        <w:spacing w:line="560" w:lineRule="exact"/>
        <w:rPr>
          <w:rFonts w:hint="eastAsia"/>
        </w:rPr>
      </w:pPr>
    </w:p>
    <w:p>
      <w:pPr>
        <w:pageBreakBefore w:val="0"/>
        <w:kinsoku/>
        <w:wordWrap/>
        <w:overflowPunct/>
        <w:topLinePunct w:val="0"/>
        <w:autoSpaceDE/>
        <w:autoSpaceDN/>
        <w:bidi w:val="0"/>
        <w:spacing w:line="560" w:lineRule="exact"/>
        <w:rPr>
          <w:rFonts w:hint="eastAsia"/>
        </w:rPr>
      </w:pPr>
    </w:p>
    <w:p>
      <w:pPr>
        <w:pageBreakBefore w:val="0"/>
        <w:kinsoku/>
        <w:wordWrap/>
        <w:overflowPunct/>
        <w:topLinePunct w:val="0"/>
        <w:autoSpaceDE/>
        <w:autoSpaceDN/>
        <w:bidi w:val="0"/>
        <w:spacing w:line="560" w:lineRule="exact"/>
        <w:rPr>
          <w:rFonts w:hint="eastAsia" w:ascii="方正小标宋简体" w:hAnsi="方正小标宋简体" w:eastAsia="方正小标宋简体" w:cs="方正小标宋简体"/>
          <w:b w:val="0"/>
          <w:bCs/>
          <w:sz w:val="40"/>
          <w:szCs w:val="40"/>
        </w:rPr>
      </w:pPr>
    </w:p>
    <w:p>
      <w:pPr>
        <w:pageBreakBefore w:val="0"/>
        <w:kinsoku/>
        <w:wordWrap/>
        <w:overflowPunct/>
        <w:topLinePunct w:val="0"/>
        <w:autoSpaceDE/>
        <w:autoSpaceDN/>
        <w:bidi w:val="0"/>
        <w:spacing w:line="560" w:lineRule="exact"/>
        <w:jc w:val="center"/>
        <w:outlineLvl w:val="0"/>
        <w:rPr>
          <w:rFonts w:hint="eastAsia" w:ascii="仿宋_GB2312" w:hAnsi="仿宋_GB2312" w:eastAsia="仿宋_GB2312" w:cs="仿宋_GB2312"/>
          <w:sz w:val="32"/>
          <w:szCs w:val="32"/>
          <w:lang w:eastAsia="zh-CN"/>
        </w:rPr>
      </w:pPr>
      <w:bookmarkStart w:id="7" w:name="_Toc11789"/>
      <w:bookmarkStart w:id="8" w:name="_Toc10374"/>
      <w:bookmarkStart w:id="9" w:name="_Toc11251"/>
      <w:bookmarkStart w:id="10" w:name="_Toc13870"/>
      <w:bookmarkStart w:id="11" w:name="_Toc2554"/>
      <w:r>
        <w:rPr>
          <w:rFonts w:hint="eastAsia" w:ascii="仿宋_GB2312" w:hAnsi="仿宋_GB2312" w:eastAsia="仿宋_GB2312" w:cs="仿宋_GB2312"/>
          <w:sz w:val="32"/>
          <w:szCs w:val="32"/>
          <w:lang w:val="en-US" w:eastAsia="zh-CN"/>
        </w:rPr>
        <w:t>三亚市海棠区</w:t>
      </w:r>
      <w:bookmarkEnd w:id="7"/>
      <w:bookmarkEnd w:id="8"/>
      <w:bookmarkEnd w:id="9"/>
      <w:bookmarkEnd w:id="10"/>
      <w:r>
        <w:rPr>
          <w:rFonts w:hint="eastAsia" w:ascii="仿宋_GB2312" w:hAnsi="仿宋_GB2312" w:eastAsia="仿宋_GB2312" w:cs="仿宋_GB2312"/>
          <w:sz w:val="32"/>
          <w:szCs w:val="32"/>
          <w:lang w:eastAsia="zh-CN"/>
        </w:rPr>
        <w:t>应急管理局</w:t>
      </w:r>
      <w:bookmarkEnd w:id="11"/>
    </w:p>
    <w:p>
      <w:pPr>
        <w:pageBreakBefore w:val="0"/>
        <w:kinsoku/>
        <w:wordWrap/>
        <w:overflowPunct/>
        <w:topLinePunct w:val="0"/>
        <w:autoSpaceDE/>
        <w:autoSpaceDN/>
        <w:bidi w:val="0"/>
        <w:spacing w:line="560" w:lineRule="exact"/>
        <w:jc w:val="center"/>
        <w:outlineLvl w:val="0"/>
        <w:rPr>
          <w:rFonts w:hint="eastAsia" w:ascii="仿宋_GB2312" w:hAnsi="仿宋_GB2312" w:eastAsia="仿宋_GB2312" w:cs="仿宋_GB2312"/>
          <w:sz w:val="32"/>
          <w:szCs w:val="32"/>
          <w:lang w:val="en-US" w:eastAsia="zh-CN"/>
        </w:rPr>
        <w:sectPr>
          <w:pgSz w:w="11906" w:h="16838"/>
          <w:pgMar w:top="2098" w:right="1474" w:bottom="1984" w:left="1587" w:header="851" w:footer="1587" w:gutter="0"/>
          <w:pgNumType w:fmt="decimal"/>
          <w:cols w:space="720" w:num="1"/>
          <w:docGrid w:type="lines" w:linePitch="312" w:charSpace="0"/>
        </w:sectPr>
      </w:pPr>
      <w:bookmarkStart w:id="12" w:name="_Toc14272"/>
      <w:bookmarkStart w:id="13" w:name="_Toc13651"/>
      <w:bookmarkStart w:id="14" w:name="_Toc28553"/>
      <w:bookmarkStart w:id="15" w:name="_Toc2986"/>
      <w:r>
        <w:rPr>
          <w:rFonts w:hint="eastAsia" w:ascii="仿宋_GB2312" w:hAnsi="宋体" w:eastAsia="仿宋_GB2312" w:cs="仿宋_GB2312"/>
          <w:b w:val="0"/>
          <w:bCs w:val="0"/>
          <w:color w:val="auto"/>
          <w:sz w:val="32"/>
          <w:szCs w:val="32"/>
          <w:lang w:val="en-US" w:eastAsia="zh-CN"/>
        </w:rPr>
        <w:t>2024年5</w:t>
      </w:r>
      <w:r>
        <w:rPr>
          <w:rFonts w:hint="default" w:ascii="仿宋_GB2312" w:hAnsi="宋体" w:eastAsia="仿宋_GB2312" w:cs="仿宋_GB2312"/>
          <w:b w:val="0"/>
          <w:bCs w:val="0"/>
          <w:color w:val="auto"/>
          <w:sz w:val="32"/>
          <w:szCs w:val="32"/>
        </w:rPr>
        <w:t>月</w:t>
      </w:r>
      <w:r>
        <w:rPr>
          <w:rFonts w:hint="eastAsia" w:ascii="仿宋_GB2312" w:hAnsi="宋体" w:eastAsia="仿宋_GB2312" w:cs="仿宋_GB2312"/>
          <w:b w:val="0"/>
          <w:bCs w:val="0"/>
          <w:color w:val="auto"/>
          <w:sz w:val="32"/>
          <w:szCs w:val="32"/>
          <w:lang w:val="en-US" w:eastAsia="zh-CN"/>
        </w:rPr>
        <w:t>25</w:t>
      </w:r>
      <w:r>
        <w:rPr>
          <w:rFonts w:hint="default" w:ascii="仿宋_GB2312" w:hAnsi="宋体" w:eastAsia="仿宋_GB2312" w:cs="仿宋_GB2312"/>
          <w:b w:val="0"/>
          <w:bCs w:val="0"/>
          <w:color w:val="auto"/>
          <w:sz w:val="32"/>
          <w:szCs w:val="32"/>
        </w:rPr>
        <w:t>日</w:t>
      </w:r>
      <w:r>
        <w:rPr>
          <w:rFonts w:hint="eastAsia" w:ascii="仿宋_GB2312" w:hAnsi="仿宋_GB2312" w:eastAsia="仿宋_GB2312" w:cs="仿宋_GB2312"/>
          <w:sz w:val="32"/>
          <w:szCs w:val="32"/>
          <w:lang w:val="en-US" w:eastAsia="zh-CN"/>
        </w:rPr>
        <w:t xml:space="preserve"> </w:t>
      </w:r>
      <w:bookmarkEnd w:id="12"/>
      <w:bookmarkEnd w:id="13"/>
      <w:bookmarkEnd w:id="14"/>
      <w:bookmarkEnd w:id="15"/>
    </w:p>
    <w:sdt>
      <w:sdtPr>
        <w:rPr>
          <w:rFonts w:ascii="宋体" w:hAnsi="宋体" w:eastAsia="宋体" w:cs="Times New Roman"/>
          <w:kern w:val="2"/>
          <w:sz w:val="21"/>
          <w:szCs w:val="24"/>
          <w:lang w:val="en-US" w:eastAsia="zh-CN" w:bidi="ar-SA"/>
        </w:rPr>
        <w:id w:val="147479156"/>
        <w15:color w:val="DBDBDB"/>
      </w:sdtPr>
      <w:sdtEndPr>
        <w:rPr>
          <w:rFonts w:hint="eastAsia" w:ascii="Times New Roman" w:hAnsi="Times New Roman" w:eastAsia="宋体" w:cs="Times New Roman"/>
          <w:b/>
          <w:kern w:val="2"/>
          <w:sz w:val="24"/>
          <w:szCs w:val="24"/>
          <w:lang w:val="en-US" w:eastAsia="zh-CN" w:bidi="ar-SA"/>
        </w:rPr>
      </w:sdtEndPr>
      <w:sdtContent>
        <w:p>
          <w:pPr>
            <w:pageBreakBefore w:val="0"/>
            <w:kinsoku/>
            <w:wordWrap/>
            <w:overflowPunct/>
            <w:topLinePunct w:val="0"/>
            <w:autoSpaceDE/>
            <w:autoSpaceDN/>
            <w:bidi w:val="0"/>
            <w:spacing w:before="0" w:beforeLines="0" w:after="0" w:afterLines="0" w:line="360" w:lineRule="auto"/>
            <w:ind w:left="0" w:leftChars="0" w:right="0" w:rightChars="0" w:firstLine="0" w:firstLineChars="0"/>
            <w:jc w:val="cente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8"/>
            <w:tabs>
              <w:tab w:val="right" w:leader="dot" w:pos="8845"/>
            </w:tabs>
            <w:rPr>
              <w:rFonts w:ascii="Times New Roman" w:hAnsi="Times New Roman" w:eastAsia="宋体" w:cs="Times New Roman"/>
              <w:kern w:val="2"/>
              <w:szCs w:val="24"/>
              <w:lang w:val="en-US" w:eastAsia="zh-CN" w:bidi="ar-SA"/>
            </w:rPr>
          </w:pPr>
          <w:r>
            <w:rPr>
              <w:rFonts w:hint="eastAsia"/>
              <w:sz w:val="24"/>
              <w:szCs w:val="24"/>
            </w:rPr>
            <w:fldChar w:fldCharType="begin"/>
          </w:r>
          <w:r>
            <w:rPr>
              <w:rFonts w:hint="eastAsia"/>
              <w:sz w:val="24"/>
              <w:szCs w:val="24"/>
            </w:rPr>
            <w:instrText xml:space="preserve">TOC \o "1-2" \h \u </w:instrText>
          </w:r>
          <w:r>
            <w:rPr>
              <w:rFonts w:hint="eastAsia"/>
              <w:sz w:val="24"/>
              <w:szCs w:val="24"/>
            </w:rPr>
            <w:fldChar w:fldCharType="separate"/>
          </w: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_Toc27055 </w:instrText>
          </w:r>
          <w:r>
            <w:rPr>
              <w:rFonts w:hint="eastAsia" w:ascii="Times New Roman" w:hAnsi="Times New Roman" w:eastAsia="宋体" w:cs="Times New Roman"/>
              <w:kern w:val="2"/>
              <w:szCs w:val="24"/>
              <w:lang w:val="en-US" w:eastAsia="zh-CN" w:bidi="ar-SA"/>
            </w:rPr>
            <w:fldChar w:fldCharType="separate"/>
          </w:r>
          <w:r>
            <w:rPr>
              <w:rFonts w:hint="eastAsia" w:ascii="方正小标宋简体" w:hAnsi="方正小标宋简体" w:eastAsia="方正小标宋简体" w:cs="方正小标宋简体"/>
              <w:bCs/>
              <w:spacing w:val="20"/>
              <w:kern w:val="2"/>
              <w:szCs w:val="44"/>
              <w:lang w:val="en-US" w:eastAsia="zh-CN" w:bidi="ar-SA"/>
            </w:rPr>
            <w:t>三亚市海棠区三亚民生旅业有限责任公司“6.9”海棠湾民生威斯汀度假酒店亡人</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_Toc27055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w:t>
          </w:r>
          <w:r>
            <w:rPr>
              <w:rFonts w:ascii="Times New Roman" w:hAnsi="Times New Roman" w:eastAsia="宋体" w:cs="Times New Roman"/>
              <w:kern w:val="2"/>
              <w:szCs w:val="24"/>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8"/>
            <w:tabs>
              <w:tab w:val="right" w:leader="dot" w:pos="8845"/>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_Toc17858 </w:instrText>
          </w:r>
          <w:r>
            <w:rPr>
              <w:rFonts w:hint="eastAsia" w:ascii="Times New Roman" w:hAnsi="Times New Roman" w:eastAsia="宋体" w:cs="Times New Roman"/>
              <w:kern w:val="2"/>
              <w:szCs w:val="24"/>
              <w:lang w:val="en-US" w:eastAsia="zh-CN" w:bidi="ar-SA"/>
            </w:rPr>
            <w:fldChar w:fldCharType="separate"/>
          </w:r>
          <w:r>
            <w:rPr>
              <w:rFonts w:hint="eastAsia" w:ascii="方正小标宋简体" w:hAnsi="方正小标宋简体" w:eastAsia="方正小标宋简体" w:cs="方正小标宋简体"/>
              <w:bCs/>
              <w:spacing w:val="20"/>
              <w:kern w:val="2"/>
              <w:szCs w:val="44"/>
              <w:lang w:val="en-US" w:eastAsia="zh-CN" w:bidi="ar-SA"/>
            </w:rPr>
            <w:t>事故调查报告处理工作情况评估报告</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_Toc17858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w:t>
          </w:r>
          <w:r>
            <w:rPr>
              <w:rFonts w:ascii="Times New Roman" w:hAnsi="Times New Roman" w:eastAsia="宋体" w:cs="Times New Roman"/>
              <w:kern w:val="2"/>
              <w:szCs w:val="24"/>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8"/>
            <w:tabs>
              <w:tab w:val="right" w:leader="dot" w:pos="8845"/>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_Toc2554 </w:instrText>
          </w:r>
          <w:r>
            <w:rPr>
              <w:rFonts w:hint="eastAsia" w:ascii="Times New Roman" w:hAnsi="Times New Roman" w:eastAsia="宋体" w:cs="Times New Roman"/>
              <w:kern w:val="2"/>
              <w:szCs w:val="24"/>
              <w:lang w:val="en-US" w:eastAsia="zh-CN" w:bidi="ar-SA"/>
            </w:rPr>
            <w:fldChar w:fldCharType="separate"/>
          </w:r>
          <w:r>
            <w:rPr>
              <w:rFonts w:hint="eastAsia" w:ascii="仿宋_GB2312" w:hAnsi="仿宋_GB2312" w:eastAsia="仿宋_GB2312" w:cs="仿宋_GB2312"/>
              <w:kern w:val="2"/>
              <w:szCs w:val="32"/>
              <w:lang w:val="en-US" w:eastAsia="zh-CN" w:bidi="ar-SA"/>
            </w:rPr>
            <w:t>三亚市海棠区应急管理局</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_Toc2554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w:t>
          </w:r>
          <w:r>
            <w:rPr>
              <w:rFonts w:ascii="Times New Roman" w:hAnsi="Times New Roman" w:eastAsia="宋体" w:cs="Times New Roman"/>
              <w:kern w:val="2"/>
              <w:szCs w:val="24"/>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8"/>
            <w:tabs>
              <w:tab w:val="right" w:leader="dot" w:pos="8845"/>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_Toc2986 </w:instrText>
          </w:r>
          <w:r>
            <w:rPr>
              <w:rFonts w:hint="eastAsia" w:ascii="Times New Roman" w:hAnsi="Times New Roman" w:eastAsia="宋体" w:cs="Times New Roman"/>
              <w:kern w:val="2"/>
              <w:szCs w:val="24"/>
              <w:lang w:val="en-US" w:eastAsia="zh-CN" w:bidi="ar-SA"/>
            </w:rPr>
            <w:fldChar w:fldCharType="separate"/>
          </w:r>
          <w:r>
            <w:rPr>
              <w:rFonts w:hint="eastAsia" w:ascii="仿宋_GB2312" w:hAnsi="宋体" w:eastAsia="仿宋_GB2312" w:cs="仿宋_GB2312"/>
              <w:bCs w:val="0"/>
              <w:kern w:val="2"/>
              <w:szCs w:val="32"/>
              <w:lang w:val="en-US" w:eastAsia="zh-CN" w:bidi="ar-SA"/>
            </w:rPr>
            <w:t>2024年5</w:t>
          </w:r>
          <w:r>
            <w:rPr>
              <w:rFonts w:hint="default" w:ascii="仿宋_GB2312" w:hAnsi="宋体" w:eastAsia="仿宋_GB2312" w:cs="仿宋_GB2312"/>
              <w:bCs w:val="0"/>
              <w:kern w:val="2"/>
              <w:szCs w:val="32"/>
              <w:lang w:val="en-US" w:eastAsia="zh-CN" w:bidi="ar-SA"/>
            </w:rPr>
            <w:t>月</w:t>
          </w:r>
          <w:r>
            <w:rPr>
              <w:rFonts w:hint="eastAsia" w:ascii="仿宋_GB2312" w:hAnsi="宋体" w:eastAsia="仿宋_GB2312" w:cs="仿宋_GB2312"/>
              <w:bCs w:val="0"/>
              <w:kern w:val="2"/>
              <w:szCs w:val="32"/>
              <w:lang w:val="en-US" w:eastAsia="zh-CN" w:bidi="ar-SA"/>
            </w:rPr>
            <w:t>25</w:t>
          </w:r>
          <w:r>
            <w:rPr>
              <w:rFonts w:hint="default" w:ascii="仿宋_GB2312" w:hAnsi="宋体" w:eastAsia="仿宋_GB2312" w:cs="仿宋_GB2312"/>
              <w:bCs w:val="0"/>
              <w:kern w:val="2"/>
              <w:szCs w:val="32"/>
              <w:lang w:val="en-US" w:eastAsia="zh-CN" w:bidi="ar-SA"/>
            </w:rPr>
            <w:t>日</w:t>
          </w:r>
          <w:r>
            <w:rPr>
              <w:rFonts w:hint="eastAsia" w:ascii="仿宋_GB2312" w:hAnsi="仿宋_GB2312" w:eastAsia="仿宋_GB2312" w:cs="仿宋_GB2312"/>
              <w:kern w:val="2"/>
              <w:szCs w:val="32"/>
              <w:lang w:val="en-US" w:eastAsia="zh-CN" w:bidi="ar-SA"/>
            </w:rPr>
            <w:t xml:space="preserve"> </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_Toc2986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w:t>
          </w:r>
          <w:r>
            <w:rPr>
              <w:rFonts w:ascii="Times New Roman" w:hAnsi="Times New Roman" w:eastAsia="宋体" w:cs="Times New Roman"/>
              <w:kern w:val="2"/>
              <w:szCs w:val="24"/>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8"/>
            <w:tabs>
              <w:tab w:val="right" w:leader="dot" w:pos="8845"/>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_Toc21629 </w:instrText>
          </w:r>
          <w:r>
            <w:rPr>
              <w:rFonts w:hint="eastAsia" w:ascii="Times New Roman" w:hAnsi="Times New Roman" w:eastAsia="宋体" w:cs="Times New Roman"/>
              <w:kern w:val="2"/>
              <w:szCs w:val="24"/>
              <w:lang w:val="en-US" w:eastAsia="zh-CN" w:bidi="ar-SA"/>
            </w:rPr>
            <w:fldChar w:fldCharType="separate"/>
          </w:r>
          <w:r>
            <w:rPr>
              <w:rFonts w:hint="eastAsia" w:ascii="方正小标宋简体" w:hAnsi="方正小标宋简体" w:eastAsia="方正小标宋简体" w:cs="方正小标宋简体"/>
              <w:bCs/>
              <w:spacing w:val="20"/>
              <w:kern w:val="2"/>
              <w:szCs w:val="44"/>
              <w:lang w:val="en-US" w:eastAsia="zh-CN" w:bidi="ar-SA"/>
            </w:rPr>
            <w:t>三亚市海棠区（B1-h6-2地块）安居型商品住房项目“5·19”海南盛吉鸿建筑</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_Toc21629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w:t>
          </w:r>
          <w:r>
            <w:rPr>
              <w:rFonts w:ascii="Times New Roman" w:hAnsi="Times New Roman" w:eastAsia="宋体" w:cs="Times New Roman"/>
              <w:kern w:val="2"/>
              <w:szCs w:val="24"/>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8"/>
            <w:tabs>
              <w:tab w:val="right" w:leader="dot" w:pos="8845"/>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_Toc9610 </w:instrText>
          </w:r>
          <w:r>
            <w:rPr>
              <w:rFonts w:hint="eastAsia" w:ascii="Times New Roman" w:hAnsi="Times New Roman" w:eastAsia="宋体" w:cs="Times New Roman"/>
              <w:kern w:val="2"/>
              <w:szCs w:val="24"/>
              <w:lang w:val="en-US" w:eastAsia="zh-CN" w:bidi="ar-SA"/>
            </w:rPr>
            <w:fldChar w:fldCharType="separate"/>
          </w:r>
          <w:r>
            <w:rPr>
              <w:rFonts w:hint="eastAsia" w:ascii="方正小标宋简体" w:hAnsi="方正小标宋简体" w:eastAsia="方正小标宋简体" w:cs="方正小标宋简体"/>
              <w:bCs/>
              <w:spacing w:val="20"/>
              <w:kern w:val="2"/>
              <w:szCs w:val="44"/>
              <w:lang w:val="en-US" w:eastAsia="zh-CN" w:bidi="ar-SA"/>
            </w:rPr>
            <w:t>工程有限公司亡人事故调查报告</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_Toc9610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w:t>
          </w:r>
          <w:r>
            <w:rPr>
              <w:rFonts w:ascii="Times New Roman" w:hAnsi="Times New Roman" w:eastAsia="宋体" w:cs="Times New Roman"/>
              <w:kern w:val="2"/>
              <w:szCs w:val="24"/>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8"/>
            <w:tabs>
              <w:tab w:val="right" w:leader="dot" w:pos="8845"/>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_Toc12357 </w:instrText>
          </w:r>
          <w:r>
            <w:rPr>
              <w:rFonts w:hint="eastAsia" w:ascii="Times New Roman" w:hAnsi="Times New Roman" w:eastAsia="宋体" w:cs="Times New Roman"/>
              <w:kern w:val="2"/>
              <w:szCs w:val="24"/>
              <w:lang w:val="en-US" w:eastAsia="zh-CN" w:bidi="ar-SA"/>
            </w:rPr>
            <w:fldChar w:fldCharType="separate"/>
          </w:r>
          <w:r>
            <w:rPr>
              <w:rFonts w:hint="eastAsia" w:ascii="方正小标宋简体" w:hAnsi="方正小标宋简体" w:eastAsia="方正小标宋简体" w:cs="方正小标宋简体"/>
              <w:bCs/>
              <w:spacing w:val="20"/>
              <w:kern w:val="2"/>
              <w:szCs w:val="44"/>
              <w:lang w:val="en-US" w:eastAsia="zh-CN" w:bidi="ar-SA"/>
            </w:rPr>
            <w:t>处理工作情况评估报告</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_Toc12357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w:t>
          </w:r>
          <w:r>
            <w:rPr>
              <w:rFonts w:ascii="Times New Roman" w:hAnsi="Times New Roman" w:eastAsia="宋体" w:cs="Times New Roman"/>
              <w:kern w:val="2"/>
              <w:szCs w:val="24"/>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8"/>
            <w:tabs>
              <w:tab w:val="right" w:leader="dot" w:pos="8845"/>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_Toc21796 </w:instrText>
          </w:r>
          <w:r>
            <w:rPr>
              <w:rFonts w:hint="eastAsia" w:ascii="Times New Roman" w:hAnsi="Times New Roman" w:eastAsia="宋体" w:cs="Times New Roman"/>
              <w:kern w:val="2"/>
              <w:szCs w:val="24"/>
              <w:lang w:val="en-US" w:eastAsia="zh-CN" w:bidi="ar-SA"/>
            </w:rPr>
            <w:fldChar w:fldCharType="separate"/>
          </w:r>
          <w:r>
            <w:rPr>
              <w:rFonts w:hint="eastAsia" w:ascii="仿宋_GB2312" w:hAnsi="仿宋_GB2312" w:eastAsia="仿宋_GB2312" w:cs="仿宋_GB2312"/>
              <w:kern w:val="2"/>
              <w:szCs w:val="32"/>
              <w:lang w:val="en-US" w:eastAsia="zh-CN" w:bidi="ar-SA"/>
            </w:rPr>
            <w:t>依据《国务院安委会办公室关于印发&lt;生产安全事故防范和整改措施落实情况评估办法&gt;的通知》(安委办〔2021〕4号)及《海南省安全生产委员会办公室关于印发&lt;海南省生产安全事故防范和整改措施落实情况评估办法&gt;的通知》(琼安委办〔2021〕130号)文件要求，我区高度重视事故调查报告处理工作情况评估工作。</w:t>
          </w:r>
          <w:r>
            <w:rPr>
              <w:rFonts w:hint="default" w:ascii="仿宋_GB2312" w:hAnsi="宋体" w:eastAsia="仿宋_GB2312" w:cs="仿宋_GB2312"/>
              <w:kern w:val="2"/>
              <w:szCs w:val="32"/>
              <w:lang w:val="en-US" w:eastAsia="zh-CN" w:bidi="ar-SA"/>
            </w:rPr>
            <w:t>按照“谁调查、谁评估”的原则</w:t>
          </w:r>
          <w:r>
            <w:rPr>
              <w:rFonts w:hint="default" w:ascii="仿宋_GB2312" w:hAnsi="宋体" w:eastAsia="仿宋_GB2312" w:cs="仿宋_GB2312"/>
              <w:bCs w:val="0"/>
              <w:kern w:val="2"/>
              <w:szCs w:val="32"/>
              <w:lang w:val="en-US" w:eastAsia="zh-CN" w:bidi="ar-SA"/>
            </w:rPr>
            <w:t>，</w:t>
          </w:r>
          <w:r>
            <w:rPr>
              <w:rFonts w:hint="eastAsia" w:ascii="仿宋" w:hAnsi="仿宋" w:eastAsia="仿宋" w:cs="仿宋_GB2312"/>
              <w:kern w:val="2"/>
              <w:szCs w:val="32"/>
              <w:lang w:val="en-US" w:eastAsia="zh-CN" w:bidi="ar-SA"/>
            </w:rPr>
            <w:t>2024年4月25</w:t>
          </w:r>
          <w:r>
            <w:rPr>
              <w:rFonts w:hint="eastAsia" w:ascii="仿宋_GB2312" w:hAnsi="宋体" w:eastAsia="仿宋_GB2312" w:cs="仿宋_GB2312"/>
              <w:kern w:val="2"/>
              <w:szCs w:val="32"/>
              <w:lang w:val="en-US" w:eastAsia="zh-CN" w:bidi="ar-SA"/>
            </w:rPr>
            <w:t>海棠</w:t>
          </w:r>
          <w:r>
            <w:rPr>
              <w:rFonts w:hint="default" w:ascii="仿宋_GB2312" w:hAnsi="宋体" w:eastAsia="仿宋_GB2312" w:cs="仿宋_GB2312"/>
              <w:kern w:val="2"/>
              <w:szCs w:val="32"/>
              <w:lang w:val="en-US" w:eastAsia="zh-CN" w:bidi="ar-SA"/>
            </w:rPr>
            <w:t>区政府</w:t>
          </w:r>
          <w:r>
            <w:rPr>
              <w:rFonts w:hint="eastAsia" w:ascii="仿宋_GB2312" w:hAnsi="宋体" w:eastAsia="仿宋_GB2312" w:cs="仿宋_GB2312"/>
              <w:kern w:val="2"/>
              <w:szCs w:val="32"/>
              <w:lang w:val="en-US" w:eastAsia="zh-CN" w:bidi="ar-SA"/>
            </w:rPr>
            <w:t>授权</w:t>
          </w:r>
          <w:r>
            <w:rPr>
              <w:rFonts w:hint="eastAsia" w:ascii="仿宋_GB2312" w:hAnsi="仿宋_GB2312" w:eastAsia="仿宋_GB2312" w:cs="仿宋_GB2312"/>
              <w:kern w:val="2"/>
              <w:szCs w:val="32"/>
              <w:lang w:val="en-US" w:eastAsia="zh-CN" w:bidi="ar-SA"/>
            </w:rPr>
            <w:t>由区应急局牵头组织成立了</w:t>
          </w:r>
          <w:r>
            <w:rPr>
              <w:rFonts w:hint="eastAsia" w:ascii="仿宋_GB2312" w:hAnsi="宋体" w:eastAsia="仿宋_GB2312" w:cs="仿宋_GB2312"/>
              <w:kern w:val="2"/>
              <w:szCs w:val="32"/>
              <w:lang w:val="en-US" w:eastAsia="zh-CN" w:bidi="ar-SA"/>
            </w:rPr>
            <w:t>三亚市海棠区三亚民生旅业有限责任公司“6·9”海棠湾民生威斯汀度假酒店亡人事故调查报告</w:t>
          </w:r>
          <w:r>
            <w:rPr>
              <w:rFonts w:hint="eastAsia" w:ascii="仿宋_GB2312" w:hAnsi="仿宋_GB2312" w:eastAsia="仿宋_GB2312" w:cs="仿宋_GB2312"/>
              <w:kern w:val="2"/>
              <w:szCs w:val="32"/>
              <w:lang w:val="en-US" w:eastAsia="zh-CN" w:bidi="ar-SA"/>
            </w:rPr>
            <w:t>处理评估工作领导小组（以下简称事故评估组），在事故评估组全体同志的努力和我区各有关部门、企业和个人的支持配合下，完成了</w:t>
          </w:r>
          <w:r>
            <w:rPr>
              <w:rFonts w:hint="eastAsia" w:ascii="仿宋_GB2312" w:hAnsi="宋体" w:eastAsia="仿宋_GB2312" w:cs="仿宋_GB2312"/>
              <w:kern w:val="2"/>
              <w:szCs w:val="32"/>
              <w:lang w:val="en-US" w:eastAsia="zh-CN" w:bidi="ar-SA"/>
            </w:rPr>
            <w:t>三亚市海棠区三亚民生旅业有限责任公司“6·9”海棠湾民生威斯汀度假酒店亡人事故调查</w:t>
          </w:r>
          <w:r>
            <w:rPr>
              <w:rFonts w:hint="eastAsia" w:ascii="仿宋_GB2312" w:hAnsi="仿宋_GB2312" w:eastAsia="仿宋_GB2312" w:cs="仿宋_GB2312"/>
              <w:kern w:val="2"/>
              <w:szCs w:val="32"/>
              <w:lang w:val="en-US" w:eastAsia="zh-CN" w:bidi="ar-SA"/>
            </w:rPr>
            <w:t>报告中指出的处理建议、事故防范和整改措施落实情况评估工作，并形成事故调查报告处理工作评估报告。据现将工作情况报告如下：</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_Toc21796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w:t>
          </w:r>
          <w:r>
            <w:rPr>
              <w:rFonts w:ascii="Times New Roman" w:hAnsi="Times New Roman" w:eastAsia="宋体" w:cs="Times New Roman"/>
              <w:kern w:val="2"/>
              <w:szCs w:val="24"/>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8"/>
            <w:tabs>
              <w:tab w:val="right" w:leader="dot" w:pos="8845"/>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_Toc6983 </w:instrText>
          </w:r>
          <w:r>
            <w:rPr>
              <w:rFonts w:hint="eastAsia" w:ascii="Times New Roman" w:hAnsi="Times New Roman" w:eastAsia="宋体" w:cs="Times New Roman"/>
              <w:kern w:val="2"/>
              <w:szCs w:val="24"/>
              <w:lang w:val="en-US" w:eastAsia="zh-CN" w:bidi="ar-SA"/>
            </w:rPr>
            <w:fldChar w:fldCharType="separate"/>
          </w:r>
          <w:r>
            <w:rPr>
              <w:rFonts w:hint="eastAsia" w:ascii="黑体" w:hAnsi="黑体" w:eastAsia="黑体" w:cs="黑体"/>
              <w:bCs/>
              <w:kern w:val="44"/>
              <w:szCs w:val="32"/>
              <w:lang w:val="en-US" w:eastAsia="zh-CN" w:bidi="ar"/>
            </w:rPr>
            <w:t>一、评估工作小组组织及开展工作情况</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_Toc6983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w:t>
          </w:r>
          <w:r>
            <w:rPr>
              <w:rFonts w:ascii="Times New Roman" w:hAnsi="Times New Roman" w:eastAsia="宋体" w:cs="Times New Roman"/>
              <w:kern w:val="2"/>
              <w:szCs w:val="24"/>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9"/>
            <w:tabs>
              <w:tab w:val="right" w:leader="dot" w:pos="8845"/>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_Toc24271 </w:instrText>
          </w:r>
          <w:r>
            <w:rPr>
              <w:rFonts w:hint="eastAsia" w:ascii="Times New Roman" w:hAnsi="Times New Roman" w:eastAsia="宋体" w:cs="Times New Roman"/>
              <w:kern w:val="2"/>
              <w:szCs w:val="24"/>
              <w:lang w:val="en-US" w:eastAsia="zh-CN" w:bidi="ar-SA"/>
            </w:rPr>
            <w:fldChar w:fldCharType="separate"/>
          </w:r>
          <w:r>
            <w:rPr>
              <w:rFonts w:hint="eastAsia" w:ascii="楷体_GB2312" w:hAnsi="楷体_GB2312" w:eastAsia="楷体_GB2312" w:cs="楷体_GB2312"/>
              <w:bCs/>
              <w:kern w:val="2"/>
              <w:szCs w:val="24"/>
              <w:lang w:val="en-US" w:eastAsia="zh-CN" w:bidi="ar-SA"/>
            </w:rPr>
            <w:t>（一）评估工作小组成立</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_Toc24271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1</w:t>
          </w:r>
          <w:r>
            <w:rPr>
              <w:rFonts w:ascii="Times New Roman" w:hAnsi="Times New Roman" w:eastAsia="宋体" w:cs="Times New Roman"/>
              <w:kern w:val="2"/>
              <w:szCs w:val="24"/>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9"/>
            <w:tabs>
              <w:tab w:val="right" w:leader="dot" w:pos="8845"/>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_Toc30160 </w:instrText>
          </w:r>
          <w:r>
            <w:rPr>
              <w:rFonts w:hint="eastAsia" w:ascii="Times New Roman" w:hAnsi="Times New Roman" w:eastAsia="宋体" w:cs="Times New Roman"/>
              <w:kern w:val="2"/>
              <w:szCs w:val="24"/>
              <w:lang w:val="en-US" w:eastAsia="zh-CN" w:bidi="ar-SA"/>
            </w:rPr>
            <w:fldChar w:fldCharType="separate"/>
          </w:r>
          <w:r>
            <w:rPr>
              <w:rFonts w:hint="eastAsia" w:ascii="楷体_GB2312" w:hAnsi="楷体_GB2312" w:eastAsia="楷体_GB2312" w:cs="楷体_GB2312"/>
              <w:bCs/>
              <w:kern w:val="2"/>
              <w:szCs w:val="24"/>
              <w:lang w:val="en-US" w:eastAsia="zh-CN" w:bidi="ar-SA"/>
            </w:rPr>
            <w:t>（二）评估工作开展情况</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_Toc30160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w:t>
          </w:r>
          <w:r>
            <w:rPr>
              <w:rFonts w:ascii="Times New Roman" w:hAnsi="Times New Roman" w:eastAsia="宋体" w:cs="Times New Roman"/>
              <w:kern w:val="2"/>
              <w:szCs w:val="24"/>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8"/>
            <w:tabs>
              <w:tab w:val="right" w:leader="dot" w:pos="8845"/>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_Toc25009 </w:instrText>
          </w:r>
          <w:r>
            <w:rPr>
              <w:rFonts w:hint="eastAsia" w:ascii="Times New Roman" w:hAnsi="Times New Roman" w:eastAsia="宋体" w:cs="Times New Roman"/>
              <w:kern w:val="2"/>
              <w:szCs w:val="24"/>
              <w:lang w:val="en-US" w:eastAsia="zh-CN" w:bidi="ar-SA"/>
            </w:rPr>
            <w:fldChar w:fldCharType="separate"/>
          </w:r>
          <w:r>
            <w:rPr>
              <w:rFonts w:hint="eastAsia" w:ascii="黑体" w:hAnsi="黑体" w:eastAsia="黑体" w:cs="黑体"/>
              <w:bCs/>
              <w:kern w:val="44"/>
              <w:szCs w:val="32"/>
              <w:lang w:val="en-US" w:eastAsia="zh-CN" w:bidi="ar"/>
            </w:rPr>
            <w:t>二、事故基本情况</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_Toc25009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2</w:t>
          </w:r>
          <w:r>
            <w:rPr>
              <w:rFonts w:ascii="Times New Roman" w:hAnsi="Times New Roman" w:eastAsia="宋体" w:cs="Times New Roman"/>
              <w:kern w:val="2"/>
              <w:szCs w:val="24"/>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8"/>
            <w:tabs>
              <w:tab w:val="right" w:leader="dot" w:pos="8845"/>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_Toc19028 </w:instrText>
          </w:r>
          <w:r>
            <w:rPr>
              <w:rFonts w:hint="eastAsia" w:ascii="Times New Roman" w:hAnsi="Times New Roman" w:eastAsia="宋体" w:cs="Times New Roman"/>
              <w:kern w:val="2"/>
              <w:szCs w:val="24"/>
              <w:lang w:val="en-US" w:eastAsia="zh-CN" w:bidi="ar-SA"/>
            </w:rPr>
            <w:fldChar w:fldCharType="separate"/>
          </w:r>
          <w:r>
            <w:rPr>
              <w:rFonts w:hint="eastAsia" w:ascii="黑体" w:hAnsi="黑体" w:eastAsia="黑体" w:cs="黑体"/>
              <w:bCs/>
              <w:kern w:val="44"/>
              <w:szCs w:val="32"/>
              <w:lang w:val="en-US" w:eastAsia="zh-CN" w:bidi="ar"/>
            </w:rPr>
            <w:t>三、事故调查及处理过程</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_Toc19028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3</w:t>
          </w:r>
          <w:r>
            <w:rPr>
              <w:rFonts w:ascii="Times New Roman" w:hAnsi="Times New Roman" w:eastAsia="宋体" w:cs="Times New Roman"/>
              <w:kern w:val="2"/>
              <w:szCs w:val="24"/>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Style w:val="8"/>
            <w:tabs>
              <w:tab w:val="right" w:leader="dot" w:pos="8845"/>
            </w:tabs>
            <w:rPr>
              <w:rFonts w:ascii="Times New Roman" w:hAnsi="Times New Roman" w:eastAsia="宋体" w:cs="Times New Roman"/>
              <w:kern w:val="2"/>
              <w:szCs w:val="24"/>
              <w:lang w:val="en-US" w:eastAsia="zh-CN" w:bidi="ar-SA"/>
            </w:rPr>
          </w:pPr>
          <w:r>
            <w:rPr>
              <w:rFonts w:hint="eastAsia" w:ascii="Times New Roman" w:hAnsi="Times New Roman" w:eastAsia="宋体" w:cs="Times New Roman"/>
              <w:kern w:val="2"/>
              <w:szCs w:val="24"/>
              <w:lang w:val="en-US" w:eastAsia="zh-CN" w:bidi="ar-SA"/>
            </w:rPr>
            <w:fldChar w:fldCharType="begin"/>
          </w:r>
          <w:r>
            <w:rPr>
              <w:rFonts w:hint="eastAsia" w:ascii="Times New Roman" w:hAnsi="Times New Roman" w:eastAsia="宋体" w:cs="Times New Roman"/>
              <w:kern w:val="2"/>
              <w:szCs w:val="24"/>
              <w:lang w:val="en-US" w:eastAsia="zh-CN" w:bidi="ar-SA"/>
            </w:rPr>
            <w:instrText xml:space="preserve"> HYPERLINK \l _Toc3782 </w:instrText>
          </w:r>
          <w:r>
            <w:rPr>
              <w:rFonts w:hint="eastAsia" w:ascii="Times New Roman" w:hAnsi="Times New Roman" w:eastAsia="宋体" w:cs="Times New Roman"/>
              <w:kern w:val="2"/>
              <w:szCs w:val="24"/>
              <w:lang w:val="en-US" w:eastAsia="zh-CN" w:bidi="ar-SA"/>
            </w:rPr>
            <w:fldChar w:fldCharType="separate"/>
          </w:r>
          <w:r>
            <w:rPr>
              <w:rFonts w:hint="eastAsia" w:ascii="黑体" w:hAnsi="黑体" w:eastAsia="黑体" w:cs="黑体"/>
              <w:bCs/>
              <w:kern w:val="2"/>
              <w:szCs w:val="32"/>
              <w:lang w:val="en-US" w:eastAsia="zh-CN" w:bidi="ar"/>
            </w:rPr>
            <w:t>五、总体评估意见</w:t>
          </w:r>
          <w:r>
            <w:rPr>
              <w:rFonts w:ascii="Times New Roman" w:hAnsi="Times New Roman" w:eastAsia="宋体" w:cs="Times New Roman"/>
              <w:kern w:val="2"/>
              <w:szCs w:val="24"/>
              <w:lang w:val="en-US" w:eastAsia="zh-CN" w:bidi="ar-SA"/>
            </w:rPr>
            <w:tab/>
          </w:r>
          <w:r>
            <w:rPr>
              <w:rFonts w:ascii="Times New Roman" w:hAnsi="Times New Roman" w:eastAsia="宋体" w:cs="Times New Roman"/>
              <w:kern w:val="2"/>
              <w:szCs w:val="24"/>
              <w:lang w:val="en-US" w:eastAsia="zh-CN" w:bidi="ar-SA"/>
            </w:rPr>
            <w:fldChar w:fldCharType="begin"/>
          </w:r>
          <w:r>
            <w:rPr>
              <w:rFonts w:ascii="Times New Roman" w:hAnsi="Times New Roman" w:eastAsia="宋体" w:cs="Times New Roman"/>
              <w:kern w:val="2"/>
              <w:szCs w:val="24"/>
              <w:lang w:val="en-US" w:eastAsia="zh-CN" w:bidi="ar-SA"/>
            </w:rPr>
            <w:instrText xml:space="preserve"> PAGEREF _Toc3782 </w:instrText>
          </w:r>
          <w:r>
            <w:rPr>
              <w:rFonts w:ascii="Times New Roman" w:hAnsi="Times New Roman" w:eastAsia="宋体" w:cs="Times New Roman"/>
              <w:kern w:val="2"/>
              <w:szCs w:val="24"/>
              <w:lang w:val="en-US" w:eastAsia="zh-CN" w:bidi="ar-SA"/>
            </w:rPr>
            <w:fldChar w:fldCharType="separate"/>
          </w:r>
          <w:r>
            <w:rPr>
              <w:rFonts w:ascii="Times New Roman" w:hAnsi="Times New Roman" w:eastAsia="宋体" w:cs="Times New Roman"/>
              <w:kern w:val="2"/>
              <w:szCs w:val="24"/>
              <w:lang w:val="en-US" w:eastAsia="zh-CN" w:bidi="ar-SA"/>
            </w:rPr>
            <w:t>4</w:t>
          </w:r>
          <w:r>
            <w:rPr>
              <w:rFonts w:ascii="Times New Roman" w:hAnsi="Times New Roman" w:eastAsia="宋体" w:cs="Times New Roman"/>
              <w:kern w:val="2"/>
              <w:szCs w:val="24"/>
              <w:lang w:val="en-US" w:eastAsia="zh-CN" w:bidi="ar-SA"/>
            </w:rPr>
            <w:fldChar w:fldCharType="end"/>
          </w:r>
          <w:r>
            <w:rPr>
              <w:rFonts w:hint="eastAsia" w:ascii="Times New Roman" w:hAnsi="Times New Roman" w:eastAsia="宋体" w:cs="Times New Roman"/>
              <w:kern w:val="2"/>
              <w:szCs w:val="24"/>
              <w:lang w:val="en-US" w:eastAsia="zh-CN" w:bidi="ar-SA"/>
            </w:rPr>
            <w:fldChar w:fldCharType="end"/>
          </w:r>
        </w:p>
        <w:p>
          <w:pPr>
            <w:pageBreakBefore w:val="0"/>
            <w:kinsoku/>
            <w:wordWrap/>
            <w:overflowPunct/>
            <w:topLinePunct w:val="0"/>
            <w:autoSpaceDE/>
            <w:autoSpaceDN/>
            <w:bidi w:val="0"/>
            <w:spacing w:line="360" w:lineRule="auto"/>
            <w:rPr>
              <w:rFonts w:hint="eastAsia"/>
              <w:sz w:val="24"/>
              <w:szCs w:val="24"/>
            </w:rPr>
          </w:pPr>
          <w:r>
            <w:rPr>
              <w:rFonts w:hint="eastAsia" w:ascii="Times New Roman" w:hAnsi="Times New Roman" w:eastAsia="宋体" w:cs="Times New Roman"/>
              <w:kern w:val="2"/>
              <w:szCs w:val="24"/>
              <w:lang w:val="en-US" w:eastAsia="zh-CN" w:bidi="ar-SA"/>
            </w:rPr>
            <w:fldChar w:fldCharType="end"/>
          </w:r>
        </w:p>
      </w:sdtContent>
    </w:sdt>
    <w:p>
      <w:pPr>
        <w:pStyle w:val="3"/>
        <w:pageBreakBefore w:val="0"/>
        <w:widowControl/>
        <w:kinsoku/>
        <w:wordWrap/>
        <w:overflowPunct/>
        <w:topLinePunct w:val="0"/>
        <w:autoSpaceDE/>
        <w:autoSpaceDN/>
        <w:bidi w:val="0"/>
        <w:spacing w:before="0" w:after="0" w:line="360" w:lineRule="auto"/>
        <w:jc w:val="both"/>
        <w:outlineLvl w:val="9"/>
        <w:rPr>
          <w:rFonts w:hint="eastAsia" w:ascii="微软雅黑" w:hAnsi="微软雅黑" w:eastAsia="微软雅黑" w:cs="微软雅黑"/>
          <w:b w:val="0"/>
          <w:bCs/>
          <w:w w:val="95"/>
          <w:kern w:val="2"/>
          <w:sz w:val="24"/>
          <w:szCs w:val="24"/>
          <w:lang w:val="en-US" w:eastAsia="zh-CN" w:bidi="ar-SA"/>
        </w:rPr>
        <w:sectPr>
          <w:footerReference r:id="rId3" w:type="default"/>
          <w:pgSz w:w="11906" w:h="16838"/>
          <w:pgMar w:top="2098" w:right="1474" w:bottom="1984" w:left="1587" w:header="851" w:footer="1587" w:gutter="0"/>
          <w:pgNumType w:fmt="upperRoman" w:start="1"/>
          <w:cols w:space="720" w:num="1"/>
          <w:docGrid w:type="lines" w:linePitch="312" w:charSpace="0"/>
        </w:sectPr>
      </w:pPr>
      <w:bookmarkStart w:id="16" w:name="_Toc7005"/>
    </w:p>
    <w:bookmarkEnd w:id="16"/>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spacing w:val="20"/>
          <w:sz w:val="44"/>
          <w:szCs w:val="44"/>
        </w:rPr>
      </w:pPr>
      <w:bookmarkStart w:id="17" w:name="_Toc21629"/>
      <w:r>
        <w:rPr>
          <w:rFonts w:hint="eastAsia" w:ascii="方正小标宋简体" w:hAnsi="方正小标宋简体" w:eastAsia="方正小标宋简体" w:cs="方正小标宋简体"/>
          <w:b w:val="0"/>
          <w:bCs/>
          <w:spacing w:val="20"/>
          <w:sz w:val="44"/>
          <w:szCs w:val="44"/>
        </w:rPr>
        <w:t>三亚市海棠区（B1-h6-2地块）安居型商品住房项目“5</w:t>
      </w:r>
      <w:r>
        <w:rPr>
          <w:rFonts w:hint="eastAsia" w:ascii="方正小标宋简体" w:hAnsi="方正小标宋简体" w:eastAsia="方正小标宋简体" w:cs="方正小标宋简体"/>
          <w:b w:val="0"/>
          <w:bCs/>
          <w:spacing w:val="20"/>
          <w:sz w:val="44"/>
          <w:szCs w:val="44"/>
          <w:lang w:val="en-US" w:eastAsia="zh-CN"/>
        </w:rPr>
        <w:t>·</w:t>
      </w:r>
      <w:r>
        <w:rPr>
          <w:rFonts w:hint="eastAsia" w:ascii="方正小标宋简体" w:hAnsi="方正小标宋简体" w:eastAsia="方正小标宋简体" w:cs="方正小标宋简体"/>
          <w:b w:val="0"/>
          <w:bCs/>
          <w:spacing w:val="20"/>
          <w:sz w:val="44"/>
          <w:szCs w:val="44"/>
        </w:rPr>
        <w:t>19”海南盛吉鸿建筑</w:t>
      </w:r>
      <w:bookmarkEnd w:id="17"/>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spacing w:val="20"/>
          <w:sz w:val="44"/>
          <w:szCs w:val="44"/>
        </w:rPr>
      </w:pPr>
      <w:bookmarkStart w:id="18" w:name="_Toc9610"/>
      <w:r>
        <w:rPr>
          <w:rFonts w:hint="eastAsia" w:ascii="方正小标宋简体" w:hAnsi="方正小标宋简体" w:eastAsia="方正小标宋简体" w:cs="方正小标宋简体"/>
          <w:b w:val="0"/>
          <w:bCs/>
          <w:spacing w:val="20"/>
          <w:sz w:val="44"/>
          <w:szCs w:val="44"/>
        </w:rPr>
        <w:t>工程有限公司亡人事故调查报告</w:t>
      </w:r>
      <w:bookmarkEnd w:id="1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spacing w:val="20"/>
          <w:sz w:val="44"/>
          <w:szCs w:val="44"/>
        </w:rPr>
      </w:pPr>
      <w:bookmarkStart w:id="19" w:name="_Toc12357"/>
      <w:r>
        <w:rPr>
          <w:rFonts w:hint="eastAsia" w:ascii="方正小标宋简体" w:hAnsi="方正小标宋简体" w:eastAsia="方正小标宋简体" w:cs="方正小标宋简体"/>
          <w:b w:val="0"/>
          <w:bCs/>
          <w:spacing w:val="20"/>
          <w:sz w:val="44"/>
          <w:szCs w:val="44"/>
        </w:rPr>
        <w:t>处理工作情况评估报告</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lang w:val="en-US" w:eastAsia="zh-CN"/>
        </w:rPr>
      </w:pPr>
      <w:bookmarkStart w:id="20" w:name="_Toc21796"/>
      <w:r>
        <w:rPr>
          <w:rFonts w:hint="eastAsia" w:ascii="仿宋_GB2312" w:hAnsi="仿宋_GB2312" w:eastAsia="仿宋_GB2312" w:cs="仿宋_GB2312"/>
          <w:sz w:val="32"/>
          <w:szCs w:val="32"/>
          <w:lang w:val="en-US" w:eastAsia="zh-CN"/>
        </w:rPr>
        <w:t>依据《国务院安委会办公室关于印发&lt;生产安全事故防范和整改措施落实情况评估办法&gt;的通知》(安委办〔2021〕4号)及《海南省安全生产委员会办公室关于印发&lt;海南省生产安全事故防范和整改措施落实情况评估办法&gt;的通知》(琼安委办〔2021〕130号)文件要求，我区高度重视事故调查报告处理工作情况评估工作。</w:t>
      </w:r>
      <w:r>
        <w:rPr>
          <w:rFonts w:hint="default" w:ascii="仿宋_GB2312" w:hAnsi="宋体" w:eastAsia="仿宋_GB2312" w:cs="仿宋_GB2312"/>
          <w:sz w:val="32"/>
          <w:szCs w:val="32"/>
        </w:rPr>
        <w:t>按照“谁调查、谁评估”的原则</w:t>
      </w:r>
      <w:r>
        <w:rPr>
          <w:rFonts w:hint="default" w:ascii="仿宋_GB2312" w:hAnsi="宋体" w:eastAsia="仿宋_GB2312" w:cs="仿宋_GB2312"/>
          <w:b w:val="0"/>
          <w:bCs w:val="0"/>
          <w:color w:val="auto"/>
          <w:sz w:val="32"/>
          <w:szCs w:val="32"/>
        </w:rPr>
        <w:t>，</w:t>
      </w: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月2</w:t>
      </w:r>
      <w:r>
        <w:rPr>
          <w:rFonts w:hint="eastAsia" w:ascii="仿宋" w:hAnsi="仿宋" w:eastAsia="仿宋" w:cs="仿宋_GB2312"/>
          <w:sz w:val="32"/>
          <w:szCs w:val="32"/>
          <w:lang w:val="en-US" w:eastAsia="zh-CN"/>
        </w:rPr>
        <w:t>5</w:t>
      </w:r>
      <w:r>
        <w:rPr>
          <w:rFonts w:hint="eastAsia" w:ascii="仿宋_GB2312" w:hAnsi="宋体" w:eastAsia="仿宋_GB2312" w:cs="仿宋_GB2312"/>
          <w:sz w:val="32"/>
          <w:szCs w:val="32"/>
          <w:lang w:val="en-US" w:eastAsia="zh-CN"/>
        </w:rPr>
        <w:t>海棠</w:t>
      </w:r>
      <w:r>
        <w:rPr>
          <w:rFonts w:hint="default" w:ascii="仿宋_GB2312" w:hAnsi="宋体" w:eastAsia="仿宋_GB2312" w:cs="仿宋_GB2312"/>
          <w:sz w:val="32"/>
          <w:szCs w:val="32"/>
        </w:rPr>
        <w:t>区政府</w:t>
      </w:r>
      <w:r>
        <w:rPr>
          <w:rFonts w:hint="eastAsia" w:ascii="仿宋_GB2312" w:hAnsi="宋体" w:eastAsia="仿宋_GB2312" w:cs="仿宋_GB2312"/>
          <w:sz w:val="32"/>
          <w:szCs w:val="32"/>
          <w:lang w:val="en-US" w:eastAsia="zh-CN"/>
        </w:rPr>
        <w:t>授权</w:t>
      </w:r>
      <w:r>
        <w:rPr>
          <w:rFonts w:hint="eastAsia" w:ascii="仿宋_GB2312" w:hAnsi="仿宋_GB2312" w:eastAsia="仿宋_GB2312" w:cs="仿宋_GB2312"/>
          <w:sz w:val="32"/>
          <w:szCs w:val="32"/>
          <w:lang w:val="en-US" w:eastAsia="zh-CN"/>
        </w:rPr>
        <w:t>由区应急局牵头组织成立了</w:t>
      </w:r>
      <w:r>
        <w:rPr>
          <w:rFonts w:hint="eastAsia" w:ascii="仿宋_GB2312" w:hAnsi="宋体" w:eastAsia="仿宋_GB2312" w:cs="仿宋_GB2312"/>
          <w:sz w:val="32"/>
          <w:szCs w:val="32"/>
        </w:rPr>
        <w:t>三亚市海棠区三亚民生旅业有限责任公司“6</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9”海棠湾民生威斯汀度假酒店亡人事故调查报告</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lang w:val="en-US" w:eastAsia="zh-CN"/>
        </w:rPr>
        <w:t>评估工作领导小组（以下简称事故评估组），在事故评估组全体同志的努力和我区各有关部门、企业和个人的支持配合下，完成了</w:t>
      </w:r>
      <w:r>
        <w:rPr>
          <w:rFonts w:hint="eastAsia" w:ascii="仿宋_GB2312" w:hAnsi="宋体" w:eastAsia="仿宋_GB2312" w:cs="仿宋_GB2312"/>
          <w:sz w:val="32"/>
          <w:szCs w:val="32"/>
        </w:rPr>
        <w:t>三亚市海棠区三亚民生旅业有限责任公司“6</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9”海棠湾民生威斯汀度假酒店亡人事故调查</w:t>
      </w:r>
      <w:r>
        <w:rPr>
          <w:rFonts w:hint="eastAsia" w:ascii="仿宋_GB2312" w:hAnsi="仿宋_GB2312" w:eastAsia="仿宋_GB2312" w:cs="仿宋_GB2312"/>
          <w:sz w:val="32"/>
          <w:szCs w:val="32"/>
          <w:lang w:val="en-US" w:eastAsia="zh-CN"/>
        </w:rPr>
        <w:t>报告中指出的处理建议、事故防范和整改措施落实情况评估工作，并形成事故调查报告处理工作评估报告。据现将工作情况报告如下：</w:t>
      </w:r>
      <w:bookmarkEnd w:id="20"/>
    </w:p>
    <w:p>
      <w:pPr>
        <w:pStyle w:val="3"/>
        <w:keepNext/>
        <w:keepLines/>
        <w:pageBreakBefore w:val="0"/>
        <w:widowControl w:val="0"/>
        <w:kinsoku/>
        <w:wordWrap/>
        <w:overflowPunct/>
        <w:topLinePunct w:val="0"/>
        <w:autoSpaceDE/>
        <w:autoSpaceDN/>
        <w:bidi w:val="0"/>
        <w:adjustRightInd/>
        <w:snapToGrid/>
        <w:spacing w:before="316" w:beforeLines="100" w:after="0" w:line="560" w:lineRule="exact"/>
        <w:ind w:firstLine="640" w:firstLineChars="200"/>
        <w:textAlignment w:val="auto"/>
        <w:rPr>
          <w:rFonts w:hint="default" w:ascii="黑体" w:hAnsi="黑体" w:eastAsia="黑体" w:cs="黑体"/>
          <w:b w:val="0"/>
          <w:bCs/>
          <w:kern w:val="44"/>
          <w:sz w:val="32"/>
          <w:szCs w:val="32"/>
          <w:lang w:val="en-US" w:eastAsia="zh-CN" w:bidi="ar"/>
        </w:rPr>
      </w:pPr>
      <w:bookmarkStart w:id="21" w:name="_Toc25055"/>
      <w:bookmarkStart w:id="22" w:name="_Toc6983"/>
      <w:r>
        <w:rPr>
          <w:rFonts w:hint="eastAsia" w:ascii="黑体" w:hAnsi="黑体" w:eastAsia="黑体" w:cs="黑体"/>
          <w:b w:val="0"/>
          <w:bCs/>
          <w:kern w:val="44"/>
          <w:sz w:val="32"/>
          <w:szCs w:val="32"/>
          <w:lang w:val="en-US" w:eastAsia="zh-CN" w:bidi="ar"/>
        </w:rPr>
        <w:t>一、评估工作小组组织及开展工作情况</w:t>
      </w:r>
      <w:bookmarkEnd w:id="21"/>
      <w:bookmarkEnd w:id="22"/>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b w:val="0"/>
          <w:bCs/>
          <w:lang w:val="en-US" w:eastAsia="zh-CN"/>
        </w:rPr>
      </w:pPr>
      <w:bookmarkStart w:id="23" w:name="_Toc23333"/>
      <w:bookmarkStart w:id="24" w:name="_Toc24271"/>
      <w:r>
        <w:rPr>
          <w:rFonts w:hint="eastAsia" w:ascii="楷体_GB2312" w:hAnsi="楷体_GB2312" w:eastAsia="楷体_GB2312" w:cs="楷体_GB2312"/>
          <w:b w:val="0"/>
          <w:bCs/>
          <w:lang w:val="en-US" w:eastAsia="zh-CN"/>
        </w:rPr>
        <w:t>（一）评估工作小组成立</w:t>
      </w:r>
      <w:bookmarkEnd w:id="23"/>
      <w:bookmarkEnd w:id="2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sz w:val="32"/>
          <w:szCs w:val="32"/>
        </w:rPr>
        <w:t>三亚市海棠区三亚民生旅业有限责任公司“6</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rPr>
        <w:t>9”海棠湾民生威斯汀度假酒店亡人事故调查</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lang w:val="en-US" w:eastAsia="zh-CN"/>
        </w:rPr>
        <w:t>评估工作领导小组，于</w:t>
      </w:r>
      <w:r>
        <w:rPr>
          <w:rFonts w:hint="eastAsia" w:ascii="仿宋_GB2312" w:hAnsi="仿宋_GB2312" w:eastAsia="仿宋_GB2312" w:cs="仿宋_GB2312"/>
          <w:b w:val="0"/>
          <w:bCs w:val="0"/>
          <w:color w:val="auto"/>
          <w:sz w:val="32"/>
          <w:szCs w:val="32"/>
          <w:lang w:val="en-US" w:eastAsia="zh-CN"/>
        </w:rPr>
        <w:t>2024年5月成</w:t>
      </w:r>
      <w:r>
        <w:rPr>
          <w:rFonts w:hint="eastAsia" w:ascii="仿宋_GB2312" w:hAnsi="仿宋_GB2312" w:eastAsia="仿宋_GB2312" w:cs="仿宋_GB2312"/>
          <w:sz w:val="32"/>
          <w:szCs w:val="32"/>
          <w:lang w:val="en-US" w:eastAsia="zh-CN"/>
        </w:rPr>
        <w:t>立。</w:t>
      </w:r>
      <w:r>
        <w:rPr>
          <w:rFonts w:hint="default" w:ascii="仿宋_GB2312" w:hAnsi="宋体" w:eastAsia="仿宋_GB2312" w:cs="仿宋_GB2312"/>
          <w:sz w:val="32"/>
          <w:szCs w:val="32"/>
        </w:rPr>
        <w:t>事故评估组由区政府办牵头，</w:t>
      </w:r>
      <w:r>
        <w:rPr>
          <w:rFonts w:hint="eastAsia" w:ascii="仿宋_GB2312" w:hAnsi="仿宋_GB2312" w:eastAsia="仿宋_GB2312" w:cs="仿宋_GB2312"/>
          <w:sz w:val="32"/>
          <w:szCs w:val="32"/>
          <w:lang w:val="en-US" w:eastAsia="zh-CN"/>
        </w:rPr>
        <w:t>组长由</w:t>
      </w:r>
      <w:r>
        <w:rPr>
          <w:rFonts w:hint="eastAsia" w:ascii="仿宋_GB2312" w:hAnsi="仿宋_GB2312" w:eastAsia="仿宋_GB2312" w:cs="仿宋_GB2312"/>
          <w:b w:val="0"/>
          <w:bCs w:val="0"/>
          <w:color w:val="auto"/>
          <w:sz w:val="32"/>
          <w:szCs w:val="32"/>
          <w:lang w:val="en-US" w:eastAsia="zh-CN"/>
        </w:rPr>
        <w:t>区安委办主任、区应急管理局局长蔡亦广担任，</w:t>
      </w:r>
      <w:r>
        <w:rPr>
          <w:rFonts w:hint="eastAsia" w:ascii="仿宋_GB2312" w:hAnsi="仿宋_GB2312" w:eastAsia="仿宋_GB2312" w:cs="仿宋_GB2312"/>
          <w:sz w:val="32"/>
          <w:szCs w:val="32"/>
          <w:lang w:val="en-US" w:eastAsia="zh-CN"/>
        </w:rPr>
        <w:t>全面负责事故调查处理评估工作，事故调查组成员包括</w:t>
      </w:r>
      <w:r>
        <w:rPr>
          <w:rFonts w:hint="eastAsia" w:ascii="仿宋" w:hAnsi="仿宋" w:eastAsia="仿宋" w:cs="仿宋"/>
          <w:b w:val="0"/>
          <w:bCs w:val="0"/>
          <w:sz w:val="32"/>
          <w:szCs w:val="32"/>
          <w:lang w:val="en-US" w:eastAsia="zh-CN"/>
        </w:rPr>
        <w:t>区旅游和文化广电体育局</w:t>
      </w:r>
      <w:r>
        <w:rPr>
          <w:rFonts w:hint="eastAsia" w:ascii="仿宋" w:hAnsi="仿宋" w:eastAsia="仿宋" w:cs="仿宋"/>
          <w:sz w:val="32"/>
          <w:szCs w:val="32"/>
          <w:lang w:eastAsia="zh-CN"/>
        </w:rPr>
        <w:t>、林旺派出所</w:t>
      </w:r>
      <w:r>
        <w:rPr>
          <w:rFonts w:hint="eastAsia" w:ascii="仿宋" w:hAnsi="仿宋" w:eastAsia="仿宋" w:cs="仿宋"/>
          <w:sz w:val="32"/>
          <w:szCs w:val="32"/>
        </w:rPr>
        <w:t>、</w:t>
      </w:r>
      <w:r>
        <w:rPr>
          <w:rFonts w:hint="eastAsia" w:ascii="仿宋" w:hAnsi="仿宋" w:eastAsia="仿宋" w:cs="仿宋"/>
          <w:sz w:val="32"/>
          <w:szCs w:val="32"/>
          <w:lang w:eastAsia="zh-CN"/>
        </w:rPr>
        <w:t>区总</w:t>
      </w:r>
      <w:r>
        <w:rPr>
          <w:rFonts w:hint="eastAsia" w:ascii="仿宋" w:hAnsi="仿宋" w:eastAsia="仿宋" w:cs="仿宋"/>
          <w:sz w:val="32"/>
          <w:szCs w:val="32"/>
        </w:rPr>
        <w:t>工会</w:t>
      </w:r>
      <w:r>
        <w:rPr>
          <w:rFonts w:hint="eastAsia" w:ascii="仿宋" w:hAnsi="仿宋" w:eastAsia="仿宋" w:cs="仿宋"/>
          <w:sz w:val="32"/>
          <w:szCs w:val="32"/>
          <w:lang w:eastAsia="zh-CN"/>
        </w:rPr>
        <w:t>、区</w:t>
      </w:r>
      <w:r>
        <w:rPr>
          <w:rFonts w:hint="eastAsia" w:ascii="仿宋" w:hAnsi="仿宋" w:eastAsia="仿宋" w:cs="仿宋"/>
          <w:sz w:val="32"/>
          <w:szCs w:val="32"/>
        </w:rPr>
        <w:t>人社</w:t>
      </w:r>
      <w:r>
        <w:rPr>
          <w:rFonts w:hint="eastAsia" w:ascii="仿宋" w:hAnsi="仿宋" w:eastAsia="仿宋" w:cs="仿宋"/>
          <w:sz w:val="32"/>
          <w:szCs w:val="32"/>
          <w:lang w:eastAsia="zh-CN"/>
        </w:rPr>
        <w:t>局</w:t>
      </w:r>
      <w:r>
        <w:rPr>
          <w:rFonts w:hint="eastAsia" w:ascii="仿宋_GB2312" w:hAnsi="仿宋_GB2312" w:eastAsia="仿宋_GB2312" w:cs="仿宋_GB2312"/>
          <w:sz w:val="32"/>
          <w:szCs w:val="32"/>
          <w:lang w:val="en-US" w:eastAsia="zh-CN"/>
        </w:rPr>
        <w:t>等部门人员。</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b w:val="0"/>
          <w:bCs/>
          <w:lang w:val="en-US" w:eastAsia="zh-CN"/>
        </w:rPr>
      </w:pPr>
      <w:bookmarkStart w:id="25" w:name="_Toc162"/>
      <w:bookmarkStart w:id="26" w:name="_Toc30160"/>
      <w:r>
        <w:rPr>
          <w:rFonts w:hint="eastAsia" w:ascii="楷体_GB2312" w:hAnsi="楷体_GB2312" w:eastAsia="楷体_GB2312" w:cs="楷体_GB2312"/>
          <w:b w:val="0"/>
          <w:bCs/>
          <w:lang w:val="en-US" w:eastAsia="zh-CN"/>
        </w:rPr>
        <w:t>（二）评估工作开展情况</w:t>
      </w:r>
      <w:bookmarkEnd w:id="25"/>
      <w:bookmarkEnd w:id="2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13"/>
          <w:szCs w:val="13"/>
        </w:rPr>
      </w:pPr>
      <w:r>
        <w:rPr>
          <w:rFonts w:hint="default" w:ascii="仿宋_GB2312" w:hAnsi="宋体" w:eastAsia="仿宋_GB2312" w:cs="仿宋_GB2312"/>
          <w:sz w:val="32"/>
          <w:szCs w:val="32"/>
        </w:rPr>
        <w:t>事故评估组按照“四不放过”和“系统评估”的原则，依据区政府批复的《</w:t>
      </w:r>
      <w:r>
        <w:rPr>
          <w:rFonts w:hint="eastAsia" w:ascii="仿宋" w:hAnsi="仿宋" w:eastAsia="仿宋" w:cs="仿宋"/>
          <w:sz w:val="32"/>
          <w:szCs w:val="32"/>
          <w:lang w:val="en-US" w:eastAsia="zh-CN"/>
        </w:rPr>
        <w:t>三亚市海棠区</w:t>
      </w:r>
      <w:bookmarkStart w:id="27" w:name="OLE_LINK1"/>
      <w:r>
        <w:rPr>
          <w:rFonts w:hint="eastAsia" w:ascii="仿宋" w:hAnsi="仿宋" w:eastAsia="仿宋" w:cs="仿宋"/>
          <w:sz w:val="32"/>
          <w:szCs w:val="32"/>
          <w:lang w:val="en-US" w:eastAsia="zh-CN"/>
        </w:rPr>
        <w:t>三亚民生旅业有限责任公司海棠湾民生威斯汀度假酒店</w:t>
      </w:r>
      <w:bookmarkEnd w:id="27"/>
      <w:r>
        <w:rPr>
          <w:rFonts w:hint="eastAsia" w:ascii="仿宋" w:hAnsi="仿宋" w:eastAsia="仿宋" w:cs="仿宋"/>
          <w:sz w:val="32"/>
          <w:szCs w:val="32"/>
          <w:lang w:val="en-US" w:eastAsia="zh-CN"/>
        </w:rPr>
        <w:t>亡人事故调查</w:t>
      </w:r>
      <w:r>
        <w:rPr>
          <w:rFonts w:hint="default" w:ascii="仿宋_GB2312" w:hAnsi="宋体" w:eastAsia="仿宋_GB2312" w:cs="仿宋_GB2312"/>
          <w:sz w:val="32"/>
          <w:szCs w:val="32"/>
        </w:rPr>
        <w:t>报告》，通过调阅</w:t>
      </w:r>
      <w:r>
        <w:rPr>
          <w:rFonts w:hint="eastAsia" w:ascii="仿宋_GB2312" w:hAnsi="仿宋_GB2312" w:eastAsia="仿宋_GB2312" w:cs="仿宋_GB2312"/>
          <w:sz w:val="32"/>
          <w:szCs w:val="32"/>
          <w:lang w:val="en-US" w:eastAsia="zh-CN"/>
        </w:rPr>
        <w:t>“6·9”</w:t>
      </w:r>
      <w:r>
        <w:rPr>
          <w:rFonts w:hint="default" w:ascii="仿宋_GB2312" w:hAnsi="宋体" w:eastAsia="仿宋_GB2312" w:cs="仿宋_GB2312"/>
          <w:sz w:val="32"/>
          <w:szCs w:val="32"/>
        </w:rPr>
        <w:t>事故案卷资料，对接</w:t>
      </w:r>
      <w:r>
        <w:rPr>
          <w:rFonts w:hint="eastAsia" w:ascii="仿宋_GB2312" w:hAnsi="仿宋_GB2312" w:eastAsia="仿宋_GB2312" w:cs="仿宋_GB2312"/>
          <w:sz w:val="32"/>
          <w:szCs w:val="32"/>
          <w:lang w:val="en-US" w:eastAsia="zh-CN"/>
        </w:rPr>
        <w:t>“6·9”</w:t>
      </w:r>
      <w:r>
        <w:rPr>
          <w:rFonts w:hint="default" w:ascii="仿宋_GB2312" w:hAnsi="宋体" w:eastAsia="仿宋_GB2312" w:cs="仿宋_GB2312"/>
          <w:sz w:val="32"/>
          <w:szCs w:val="32"/>
        </w:rPr>
        <w:t>事故原事故调查组成员了解相关情况，收集有关证据材料，开展现场评估，通过资料审查、座谈问询、查阅文件、现场核查，对责任追究及事故防范措施落实情况逐项开展了检查评估，形成了初步意见。</w:t>
      </w:r>
      <w:r>
        <w:rPr>
          <w:rFonts w:hint="eastAsia" w:ascii="仿宋_GB2312" w:hAnsi="宋体" w:eastAsia="仿宋_GB2312" w:cs="仿宋_GB2312"/>
          <w:b w:val="0"/>
          <w:bCs w:val="0"/>
          <w:color w:val="auto"/>
          <w:sz w:val="32"/>
          <w:szCs w:val="32"/>
          <w:lang w:val="en-US" w:eastAsia="zh-CN"/>
        </w:rPr>
        <w:t>2024年5</w:t>
      </w:r>
      <w:r>
        <w:rPr>
          <w:rFonts w:hint="default" w:ascii="仿宋_GB2312" w:hAnsi="宋体" w:eastAsia="仿宋_GB2312" w:cs="仿宋_GB2312"/>
          <w:b w:val="0"/>
          <w:bCs w:val="0"/>
          <w:color w:val="auto"/>
          <w:sz w:val="32"/>
          <w:szCs w:val="32"/>
        </w:rPr>
        <w:t>月</w:t>
      </w:r>
      <w:r>
        <w:rPr>
          <w:rFonts w:hint="eastAsia" w:ascii="仿宋_GB2312" w:hAnsi="宋体" w:eastAsia="仿宋_GB2312" w:cs="仿宋_GB2312"/>
          <w:b w:val="0"/>
          <w:bCs w:val="0"/>
          <w:color w:val="auto"/>
          <w:sz w:val="32"/>
          <w:szCs w:val="32"/>
          <w:lang w:val="en-US" w:eastAsia="zh-CN"/>
        </w:rPr>
        <w:t>25</w:t>
      </w:r>
      <w:r>
        <w:rPr>
          <w:rFonts w:hint="default" w:ascii="仿宋_GB2312" w:hAnsi="宋体" w:eastAsia="仿宋_GB2312" w:cs="仿宋_GB2312"/>
          <w:b w:val="0"/>
          <w:bCs w:val="0"/>
          <w:color w:val="auto"/>
          <w:sz w:val="32"/>
          <w:szCs w:val="32"/>
        </w:rPr>
        <w:t>日</w:t>
      </w:r>
      <w:r>
        <w:rPr>
          <w:rFonts w:hint="default" w:ascii="仿宋_GB2312" w:hAnsi="宋体" w:eastAsia="仿宋_GB2312" w:cs="仿宋_GB2312"/>
          <w:sz w:val="32"/>
          <w:szCs w:val="32"/>
        </w:rPr>
        <w:t>，经事故评估组研究讨论，形成了</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val="en-US" w:eastAsia="zh-CN"/>
        </w:rPr>
        <w:t>三亚市海棠区三亚民生旅业有限责任公司海棠湾民生威斯汀度假酒店亡人事故调查</w:t>
      </w:r>
      <w:r>
        <w:rPr>
          <w:rFonts w:hint="eastAsia" w:ascii="仿宋_GB2312" w:hAnsi="仿宋_GB2312" w:eastAsia="仿宋_GB2312" w:cs="仿宋_GB2312"/>
          <w:sz w:val="32"/>
          <w:szCs w:val="32"/>
          <w:lang w:val="en-US" w:eastAsia="zh-CN"/>
        </w:rPr>
        <w:t>报告</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lang w:val="en-US" w:eastAsia="zh-CN"/>
        </w:rPr>
        <w:t>工作情况</w:t>
      </w:r>
      <w:r>
        <w:rPr>
          <w:rFonts w:hint="default" w:ascii="仿宋_GB2312" w:hAnsi="宋体" w:eastAsia="仿宋_GB2312" w:cs="仿宋_GB2312"/>
          <w:sz w:val="32"/>
          <w:szCs w:val="32"/>
        </w:rPr>
        <w:t>评估报告</w:t>
      </w:r>
      <w:r>
        <w:rPr>
          <w:rFonts w:hint="eastAsia" w:ascii="仿宋_GB2312" w:hAnsi="仿宋_GB2312" w:eastAsia="仿宋_GB2312" w:cs="仿宋_GB2312"/>
          <w:sz w:val="32"/>
          <w:szCs w:val="32"/>
          <w:lang w:val="en-US" w:eastAsia="zh-CN"/>
        </w:rPr>
        <w:t>》</w:t>
      </w:r>
      <w:r>
        <w:rPr>
          <w:rFonts w:hint="default" w:ascii="仿宋_GB2312" w:hAnsi="宋体" w:eastAsia="仿宋_GB2312" w:cs="仿宋_GB2312"/>
          <w:sz w:val="32"/>
          <w:szCs w:val="32"/>
        </w:rPr>
        <w:t>。</w:t>
      </w:r>
    </w:p>
    <w:p>
      <w:pPr>
        <w:pStyle w:val="3"/>
        <w:keepNext/>
        <w:keepLines/>
        <w:pageBreakBefore w:val="0"/>
        <w:widowControl w:val="0"/>
        <w:kinsoku/>
        <w:wordWrap/>
        <w:overflowPunct/>
        <w:topLinePunct w:val="0"/>
        <w:autoSpaceDE/>
        <w:autoSpaceDN/>
        <w:bidi w:val="0"/>
        <w:adjustRightInd/>
        <w:snapToGrid/>
        <w:spacing w:before="316" w:beforeLines="100" w:after="0" w:line="560" w:lineRule="exact"/>
        <w:ind w:firstLine="640" w:firstLineChars="200"/>
        <w:textAlignment w:val="auto"/>
        <w:rPr>
          <w:rFonts w:hint="eastAsia" w:ascii="黑体" w:hAnsi="黑体" w:eastAsia="黑体" w:cs="黑体"/>
          <w:b w:val="0"/>
          <w:bCs/>
          <w:kern w:val="44"/>
          <w:sz w:val="32"/>
          <w:szCs w:val="32"/>
          <w:lang w:val="en-US" w:eastAsia="zh-CN" w:bidi="ar"/>
        </w:rPr>
      </w:pPr>
      <w:bookmarkStart w:id="28" w:name="_Toc12588"/>
      <w:bookmarkStart w:id="29" w:name="_Toc25009"/>
      <w:r>
        <w:rPr>
          <w:rFonts w:hint="eastAsia" w:ascii="黑体" w:hAnsi="黑体" w:eastAsia="黑体" w:cs="黑体"/>
          <w:b w:val="0"/>
          <w:bCs/>
          <w:kern w:val="44"/>
          <w:sz w:val="32"/>
          <w:szCs w:val="32"/>
          <w:lang w:val="en-US" w:eastAsia="zh-CN" w:bidi="ar"/>
        </w:rPr>
        <w:t>二、事故基本情况</w:t>
      </w:r>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_GB2312"/>
          <w:sz w:val="32"/>
          <w:szCs w:val="32"/>
        </w:rPr>
      </w:pPr>
      <w:r>
        <w:rPr>
          <w:rFonts w:hint="eastAsia" w:ascii="仿宋" w:hAnsi="仿宋" w:eastAsia="仿宋"/>
          <w:sz w:val="32"/>
          <w:szCs w:val="32"/>
        </w:rPr>
        <w:t>2023年6月9日15:5</w:t>
      </w:r>
      <w:r>
        <w:rPr>
          <w:rFonts w:ascii="仿宋" w:hAnsi="仿宋" w:eastAsia="仿宋"/>
          <w:sz w:val="32"/>
          <w:szCs w:val="32"/>
        </w:rPr>
        <w:t>0</w:t>
      </w:r>
      <w:r>
        <w:rPr>
          <w:rFonts w:hint="eastAsia" w:ascii="仿宋" w:hAnsi="仿宋" w:eastAsia="仿宋"/>
          <w:sz w:val="32"/>
          <w:szCs w:val="32"/>
        </w:rPr>
        <w:t>分左右，三亚海棠湾民生威斯汀度假酒店发生一起亡人事故，造成1人死亡，直接经济损失55万元。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事故发生后，区政府依法成立事故调查组，查明了事故发生的经过、原因、认定事故性质和责任。</w:t>
      </w:r>
      <w:r>
        <w:rPr>
          <w:rFonts w:hint="eastAsia" w:ascii="仿宋_GB2312" w:hAnsi="仿宋_GB2312" w:eastAsia="仿宋_GB2312" w:cs="仿宋_GB2312"/>
          <w:b w:val="0"/>
          <w:bCs w:val="0"/>
          <w:color w:val="auto"/>
          <w:sz w:val="32"/>
          <w:szCs w:val="32"/>
          <w:lang w:val="en-US" w:eastAsia="zh-CN"/>
        </w:rPr>
        <w:t>2023年7月12日</w:t>
      </w:r>
      <w:r>
        <w:rPr>
          <w:rFonts w:hint="eastAsia" w:ascii="仿宋_GB2312" w:hAnsi="仿宋_GB2312" w:eastAsia="仿宋_GB2312" w:cs="仿宋_GB2312"/>
          <w:sz w:val="32"/>
          <w:szCs w:val="32"/>
          <w:lang w:val="en-US" w:eastAsia="zh-CN"/>
        </w:rPr>
        <w:t>完成事故调查，并形成《</w:t>
      </w:r>
      <w:r>
        <w:rPr>
          <w:rFonts w:hint="eastAsia" w:ascii="仿宋" w:hAnsi="仿宋" w:eastAsia="仿宋" w:cs="仿宋"/>
          <w:sz w:val="32"/>
          <w:szCs w:val="32"/>
          <w:lang w:val="en-US" w:eastAsia="zh-CN"/>
        </w:rPr>
        <w:t>三亚市海棠区三亚民生旅业有限责任公司海棠湾民生威斯汀度假酒店亡人事故调查</w:t>
      </w:r>
      <w:r>
        <w:rPr>
          <w:rFonts w:hint="eastAsia" w:ascii="仿宋_GB2312" w:hAnsi="仿宋_GB2312" w:eastAsia="仿宋_GB2312" w:cs="仿宋_GB2312"/>
          <w:sz w:val="32"/>
          <w:szCs w:val="32"/>
          <w:lang w:val="en-US" w:eastAsia="zh-CN"/>
        </w:rPr>
        <w:t>报告》(以下简称《事故调查报告》)。</w:t>
      </w:r>
      <w:bookmarkStart w:id="30" w:name="bookmark3"/>
    </w:p>
    <w:bookmarkEnd w:id="30"/>
    <w:p>
      <w:pPr>
        <w:pStyle w:val="3"/>
        <w:keepNext/>
        <w:keepLines/>
        <w:pageBreakBefore w:val="0"/>
        <w:widowControl w:val="0"/>
        <w:kinsoku/>
        <w:wordWrap/>
        <w:overflowPunct/>
        <w:topLinePunct w:val="0"/>
        <w:autoSpaceDE/>
        <w:autoSpaceDN/>
        <w:bidi w:val="0"/>
        <w:adjustRightInd/>
        <w:snapToGrid/>
        <w:spacing w:before="316" w:beforeLines="100" w:after="0" w:line="560" w:lineRule="exact"/>
        <w:ind w:firstLine="640" w:firstLineChars="200"/>
        <w:textAlignment w:val="auto"/>
        <w:rPr>
          <w:rFonts w:hint="default" w:ascii="黑体" w:hAnsi="黑体" w:eastAsia="黑体" w:cs="黑体"/>
          <w:b w:val="0"/>
          <w:bCs/>
          <w:kern w:val="44"/>
          <w:sz w:val="32"/>
          <w:szCs w:val="32"/>
          <w:lang w:val="en-US" w:eastAsia="zh-CN" w:bidi="ar"/>
        </w:rPr>
      </w:pPr>
      <w:bookmarkStart w:id="31" w:name="_Toc32194"/>
      <w:bookmarkStart w:id="32" w:name="_Toc19028"/>
      <w:r>
        <w:rPr>
          <w:rFonts w:hint="eastAsia" w:ascii="黑体" w:hAnsi="黑体" w:eastAsia="黑体" w:cs="黑体"/>
          <w:b w:val="0"/>
          <w:bCs/>
          <w:kern w:val="44"/>
          <w:sz w:val="32"/>
          <w:szCs w:val="32"/>
          <w:lang w:val="en-US" w:eastAsia="zh-CN" w:bidi="ar"/>
        </w:rPr>
        <w:t>三、事故调查及处理过程</w:t>
      </w:r>
      <w:bookmarkEnd w:id="31"/>
      <w:bookmarkEnd w:id="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2023年6月17日，事故发生后，区政府授权海棠区应急管理局于牵头成立事故调查组，立即开展事故调查。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2023年7月12日，事故调查组在区政府410会议室召开事故报告会议。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2023年7月17日，事故调查工作全部完成并形成《事故调查报告》，上报区政府。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2023年7月18日，</w:t>
      </w:r>
      <w:r>
        <w:rPr>
          <w:rFonts w:hint="default" w:ascii="仿宋_GB2312" w:hAnsi="宋体" w:eastAsia="仿宋_GB2312" w:cs="仿宋_GB2312"/>
          <w:b w:val="0"/>
          <w:bCs w:val="0"/>
          <w:color w:val="auto"/>
          <w:sz w:val="32"/>
          <w:szCs w:val="32"/>
        </w:rPr>
        <w:t>区</w:t>
      </w:r>
      <w:r>
        <w:rPr>
          <w:rFonts w:hint="default" w:ascii="仿宋_GB2312" w:hAnsi="宋体" w:eastAsia="仿宋_GB2312" w:cs="仿宋_GB2312"/>
          <w:sz w:val="32"/>
          <w:szCs w:val="32"/>
        </w:rPr>
        <w:t>政府</w:t>
      </w:r>
      <w:r>
        <w:rPr>
          <w:rFonts w:hint="eastAsia" w:ascii="仿宋_GB2312" w:hAnsi="宋体" w:eastAsia="仿宋_GB2312" w:cs="仿宋_GB2312"/>
          <w:sz w:val="32"/>
          <w:szCs w:val="32"/>
          <w:lang w:val="en-US" w:eastAsia="zh-CN"/>
        </w:rPr>
        <w:t>作出</w:t>
      </w:r>
      <w:r>
        <w:rPr>
          <w:rFonts w:hint="default" w:ascii="仿宋_GB2312" w:hAnsi="宋体" w:eastAsia="仿宋_GB2312" w:cs="仿宋_GB2312"/>
          <w:sz w:val="32"/>
          <w:szCs w:val="32"/>
        </w:rPr>
        <w:t>批复</w:t>
      </w:r>
      <w:r>
        <w:rPr>
          <w:rFonts w:hint="eastAsia" w:ascii="仿宋_GB2312" w:hAnsi="宋体" w:eastAsia="仿宋_GB2312" w:cs="仿宋_GB2312"/>
          <w:sz w:val="32"/>
          <w:szCs w:val="32"/>
          <w:lang w:eastAsia="zh-CN"/>
        </w:rPr>
        <w:t>，</w:t>
      </w:r>
      <w:r>
        <w:rPr>
          <w:rFonts w:hint="eastAsia" w:ascii="仿宋_GB2312" w:hAnsi="仿宋_GB2312" w:eastAsia="仿宋_GB2312" w:cs="仿宋_GB2312"/>
          <w:b w:val="0"/>
          <w:bCs w:val="0"/>
          <w:color w:val="auto"/>
          <w:sz w:val="32"/>
          <w:szCs w:val="32"/>
          <w:lang w:val="en-US" w:eastAsia="zh-CN"/>
        </w:rPr>
        <w:t>同意《事故调查报告》。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2023年12月19日，海棠区人民政府在官网进行《事故调查报告》公示，接受全社会的监督，对全区经营单位及全社会起到了警示教育作用。</w:t>
      </w:r>
    </w:p>
    <w:p>
      <w:pPr>
        <w:spacing w:line="560" w:lineRule="exact"/>
        <w:ind w:firstLine="640" w:firstLineChars="200"/>
        <w:rPr>
          <w:rFonts w:ascii="黑体" w:hAnsi="黑体" w:eastAsia="黑体"/>
          <w:sz w:val="32"/>
          <w:szCs w:val="32"/>
        </w:rPr>
      </w:pPr>
      <w:r>
        <w:rPr>
          <w:rFonts w:hint="eastAsia" w:ascii="黑体" w:hAnsi="黑体" w:eastAsia="黑体" w:cs="黑体"/>
          <w:b w:val="0"/>
          <w:bCs/>
          <w:kern w:val="44"/>
          <w:sz w:val="32"/>
          <w:szCs w:val="32"/>
          <w:lang w:val="en-US" w:eastAsia="zh-CN" w:bidi="ar"/>
        </w:rPr>
        <w:t>四、</w:t>
      </w:r>
      <w:bookmarkStart w:id="33" w:name="_Toc25180"/>
      <w:r>
        <w:rPr>
          <w:rFonts w:hint="eastAsia" w:ascii="黑体" w:hAnsi="黑体" w:eastAsia="黑体"/>
          <w:sz w:val="32"/>
          <w:szCs w:val="32"/>
        </w:rPr>
        <w:t>事故发生原因</w:t>
      </w:r>
      <w:bookmarkEnd w:id="33"/>
      <w:r>
        <w:rPr>
          <w:rFonts w:hint="eastAsia" w:ascii="黑体" w:hAnsi="黑体" w:eastAsia="黑体"/>
          <w:sz w:val="32"/>
          <w:szCs w:val="32"/>
        </w:rPr>
        <w:t>及性质</w:t>
      </w:r>
    </w:p>
    <w:p>
      <w:pPr>
        <w:spacing w:line="560" w:lineRule="exact"/>
        <w:ind w:firstLine="640" w:firstLineChars="200"/>
        <w:rPr>
          <w:rFonts w:hint="eastAsia" w:ascii="楷体" w:hAnsi="楷体" w:eastAsia="楷体" w:cs="黑体"/>
          <w:b/>
          <w:bCs/>
          <w:sz w:val="32"/>
          <w:szCs w:val="32"/>
        </w:rPr>
      </w:pPr>
      <w:bookmarkStart w:id="34" w:name="_Toc24433"/>
      <w:r>
        <w:rPr>
          <w:rFonts w:hint="eastAsia" w:ascii="楷体" w:hAnsi="楷体" w:eastAsia="楷体" w:cs="黑体"/>
          <w:b/>
          <w:bCs/>
          <w:sz w:val="32"/>
          <w:szCs w:val="32"/>
        </w:rPr>
        <w:t>（一）直接原因</w:t>
      </w:r>
      <w:bookmarkEnd w:id="34"/>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根据所提供的材料、视频监控及现场勘查情况，事故直接原因是：死者张拉劳在泳池游泳过程中，本人</w:t>
      </w:r>
      <w:r>
        <w:rPr>
          <w:rFonts w:hint="eastAsia" w:ascii="仿宋" w:hAnsi="仿宋" w:eastAsia="仿宋"/>
          <w:kern w:val="0"/>
          <w:sz w:val="32"/>
          <w:szCs w:val="32"/>
        </w:rPr>
        <w:t>呼吸心跳骤停</w:t>
      </w:r>
      <w:r>
        <w:rPr>
          <w:rFonts w:hint="eastAsia" w:ascii="仿宋" w:hAnsi="仿宋" w:eastAsia="仿宋"/>
          <w:sz w:val="32"/>
          <w:szCs w:val="32"/>
        </w:rPr>
        <w:t>，是发生本次事故的直接原因。</w:t>
      </w:r>
    </w:p>
    <w:p>
      <w:pPr>
        <w:spacing w:line="560" w:lineRule="exact"/>
        <w:ind w:firstLine="640" w:firstLineChars="200"/>
        <w:rPr>
          <w:rFonts w:hint="eastAsia" w:ascii="楷体" w:hAnsi="楷体" w:eastAsia="楷体" w:cs="黑体"/>
          <w:b/>
          <w:bCs/>
          <w:sz w:val="32"/>
          <w:szCs w:val="32"/>
        </w:rPr>
      </w:pPr>
      <w:bookmarkStart w:id="35" w:name="_Toc17898"/>
      <w:r>
        <w:rPr>
          <w:rFonts w:hint="eastAsia" w:ascii="楷体" w:hAnsi="楷体" w:eastAsia="楷体" w:cs="黑体"/>
          <w:b/>
          <w:bCs/>
          <w:sz w:val="32"/>
          <w:szCs w:val="32"/>
        </w:rPr>
        <w:t>（二）事故相关检验检测和鉴定情况</w:t>
      </w:r>
      <w:bookmarkEnd w:id="35"/>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2023年6月9日，中国人民解放军总医院解剖告知书上显示张鑫（死者张拉劳的儿子）不同意尸检；</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2023年6月9日，张鑫（死者张拉劳的儿子）的询问笔录显示，死者张拉劳生前有好几年患有一级高血压病史；</w:t>
      </w:r>
    </w:p>
    <w:p>
      <w:pPr>
        <w:spacing w:line="560" w:lineRule="exact"/>
        <w:ind w:firstLine="640" w:firstLineChars="200"/>
        <w:rPr>
          <w:rFonts w:hint="eastAsia" w:ascii="仿宋" w:hAnsi="仿宋" w:eastAsia="仿宋"/>
          <w:kern w:val="0"/>
          <w:sz w:val="32"/>
          <w:szCs w:val="32"/>
        </w:rPr>
      </w:pPr>
      <w:r>
        <w:rPr>
          <w:rFonts w:hint="eastAsia" w:ascii="仿宋" w:hAnsi="仿宋" w:eastAsia="仿宋"/>
          <w:sz w:val="32"/>
          <w:szCs w:val="32"/>
        </w:rPr>
        <w:t>2023年6月9日，中国人民解放军总医院海南医院</w:t>
      </w:r>
      <w:r>
        <w:rPr>
          <w:rFonts w:hint="eastAsia" w:ascii="仿宋" w:hAnsi="仿宋" w:eastAsia="仿宋"/>
          <w:kern w:val="0"/>
          <w:sz w:val="32"/>
          <w:szCs w:val="32"/>
        </w:rPr>
        <w:t>抢救无效，于17:56分宣告死亡。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2023年6月16日，中国人民解放军总医院海南医院出具的居民死亡医学证明（推断）书显示，死者张拉劳</w:t>
      </w:r>
      <w:r>
        <w:rPr>
          <w:rFonts w:hint="eastAsia" w:ascii="仿宋" w:hAnsi="仿宋" w:eastAsia="仿宋"/>
          <w:kern w:val="0"/>
          <w:sz w:val="32"/>
          <w:szCs w:val="32"/>
        </w:rPr>
        <w:t>死亡原因为“呼吸心跳骤停”。</w:t>
      </w:r>
    </w:p>
    <w:p>
      <w:pPr>
        <w:spacing w:line="560" w:lineRule="exact"/>
        <w:ind w:firstLine="640" w:firstLineChars="200"/>
        <w:rPr>
          <w:rFonts w:hint="eastAsia" w:ascii="楷体" w:hAnsi="楷体" w:eastAsia="楷体" w:cs="黑体"/>
          <w:b/>
          <w:bCs/>
          <w:sz w:val="32"/>
          <w:szCs w:val="32"/>
        </w:rPr>
      </w:pPr>
      <w:r>
        <w:rPr>
          <w:rFonts w:hint="eastAsia" w:ascii="楷体" w:hAnsi="楷体" w:eastAsia="楷体" w:cs="黑体"/>
          <w:b/>
          <w:bCs/>
          <w:sz w:val="32"/>
          <w:szCs w:val="32"/>
        </w:rPr>
        <w:t>（三）事故性质认定</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34"/>
        <w:rPr>
          <w:rFonts w:hint="default" w:ascii="仿宋_GB2312" w:hAnsi="宋体" w:eastAsia="仿宋_GB2312" w:cs="仿宋_GB2312"/>
          <w:sz w:val="32"/>
          <w:szCs w:val="32"/>
        </w:rPr>
      </w:pPr>
      <w:r>
        <w:rPr>
          <w:rFonts w:hint="eastAsia" w:ascii="仿宋" w:hAnsi="仿宋" w:eastAsia="仿宋"/>
          <w:sz w:val="32"/>
          <w:szCs w:val="32"/>
        </w:rPr>
        <w:t>本起事故是一起因居住在酒店的客人在酒店泳池游泳过程中突发疾病产生的意外事故。</w:t>
      </w:r>
    </w:p>
    <w:p>
      <w:pPr>
        <w:pStyle w:val="3"/>
        <w:keepNext/>
        <w:keepLines/>
        <w:pageBreakBefore w:val="0"/>
        <w:widowControl w:val="0"/>
        <w:kinsoku/>
        <w:wordWrap/>
        <w:overflowPunct/>
        <w:topLinePunct w:val="0"/>
        <w:autoSpaceDE/>
        <w:autoSpaceDN/>
        <w:bidi w:val="0"/>
        <w:adjustRightInd/>
        <w:snapToGrid/>
        <w:spacing w:before="316" w:beforeLines="100" w:after="0" w:line="560" w:lineRule="exact"/>
        <w:ind w:firstLine="640" w:firstLineChars="200"/>
        <w:textAlignment w:val="auto"/>
        <w:rPr>
          <w:rFonts w:hint="default" w:ascii="黑体" w:hAnsi="黑体" w:eastAsia="黑体" w:cs="黑体"/>
          <w:b w:val="0"/>
          <w:bCs/>
          <w:sz w:val="32"/>
          <w:szCs w:val="32"/>
          <w:lang w:val="en-US" w:eastAsia="zh-CN" w:bidi="ar"/>
        </w:rPr>
      </w:pPr>
      <w:bookmarkStart w:id="36" w:name="_Toc3782"/>
      <w:r>
        <w:rPr>
          <w:rFonts w:hint="eastAsia" w:ascii="黑体" w:hAnsi="黑体" w:eastAsia="黑体" w:cs="黑体"/>
          <w:b w:val="0"/>
          <w:bCs/>
          <w:sz w:val="32"/>
          <w:szCs w:val="32"/>
          <w:lang w:val="en-US" w:eastAsia="zh-CN" w:bidi="ar"/>
        </w:rPr>
        <w:t>五、总体评估意见</w:t>
      </w:r>
      <w:bookmarkEnd w:id="36"/>
      <w:r>
        <w:rPr>
          <w:rFonts w:hint="eastAsia" w:ascii="黑体" w:hAnsi="黑体" w:eastAsia="黑体" w:cs="黑体"/>
          <w:b w:val="0"/>
          <w:bCs/>
          <w:sz w:val="32"/>
          <w:szCs w:val="32"/>
          <w:lang w:val="en-US" w:eastAsia="zh-CN" w:bidi="ar"/>
        </w:rPr>
        <w:t xml:space="preserve"> </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34"/>
        <w:rPr>
          <w:rFonts w:hint="eastAsia"/>
        </w:rPr>
      </w:pPr>
      <w:r>
        <w:rPr>
          <w:rFonts w:hint="default" w:ascii="仿宋_GB2312" w:hAnsi="宋体" w:eastAsia="仿宋_GB2312" w:cs="仿宋_GB2312"/>
          <w:sz w:val="32"/>
          <w:szCs w:val="32"/>
        </w:rPr>
        <w:t>事故评估组认真核查了本起事故</w:t>
      </w:r>
      <w:r>
        <w:rPr>
          <w:rFonts w:hint="eastAsia" w:ascii="仿宋_GB2312" w:hAnsi="宋体" w:eastAsia="仿宋_GB2312" w:cs="仿宋_GB2312"/>
          <w:sz w:val="32"/>
          <w:szCs w:val="32"/>
          <w:lang w:eastAsia="zh-CN"/>
        </w:rPr>
        <w:t>原因及性质</w:t>
      </w:r>
      <w:r>
        <w:rPr>
          <w:rFonts w:hint="default" w:ascii="仿宋_GB2312" w:hAnsi="宋体" w:eastAsia="仿宋_GB2312" w:cs="仿宋_GB2312"/>
          <w:sz w:val="32"/>
          <w:szCs w:val="32"/>
        </w:rPr>
        <w:t>，</w:t>
      </w:r>
      <w:r>
        <w:rPr>
          <w:rFonts w:hint="eastAsia" w:ascii="仿宋" w:hAnsi="仿宋" w:eastAsia="仿宋"/>
          <w:sz w:val="32"/>
          <w:szCs w:val="32"/>
        </w:rPr>
        <w:t>本起事故是一起因居住在酒店的客人在酒店泳池游泳过程中突发疾病产生的意外事故</w:t>
      </w:r>
      <w:r>
        <w:rPr>
          <w:rFonts w:hint="eastAsia" w:ascii="仿宋" w:hAnsi="仿宋" w:eastAsia="仿宋" w:cs="仿宋_GB2312"/>
          <w:sz w:val="32"/>
          <w:szCs w:val="32"/>
        </w:rPr>
        <w:t>。</w:t>
      </w:r>
    </w:p>
    <w:p>
      <w:pPr>
        <w:pStyle w:val="10"/>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34"/>
        <w:rPr>
          <w:rFonts w:hint="eastAsia" w:ascii="仿宋_GB2312" w:hAnsi="宋体" w:eastAsia="仿宋_GB2312" w:cs="仿宋_GB2312"/>
          <w:sz w:val="32"/>
          <w:szCs w:val="32"/>
        </w:rPr>
      </w:pPr>
    </w:p>
    <w:p>
      <w:pPr>
        <w:pageBreakBefore w:val="0"/>
        <w:kinsoku/>
        <w:wordWrap/>
        <w:overflowPunct/>
        <w:topLinePunct w:val="0"/>
        <w:autoSpaceDE/>
        <w:autoSpaceDN/>
        <w:bidi w:val="0"/>
        <w:spacing w:line="560" w:lineRule="exact"/>
        <w:rPr>
          <w:rFonts w:hint="eastAsia"/>
        </w:rPr>
      </w:pPr>
    </w:p>
    <w:p>
      <w:pPr>
        <w:pStyle w:val="13"/>
        <w:pageBreakBefore w:val="0"/>
        <w:kinsoku/>
        <w:wordWrap/>
        <w:overflowPunct/>
        <w:topLinePunct w:val="0"/>
        <w:autoSpaceDE/>
        <w:autoSpaceDN/>
        <w:bidi w:val="0"/>
        <w:spacing w:line="560" w:lineRule="exact"/>
        <w:rPr>
          <w:rFonts w:hint="eastAsia"/>
        </w:rPr>
      </w:pPr>
    </w:p>
    <w:p>
      <w:pPr>
        <w:pageBreakBefore w:val="0"/>
        <w:kinsoku/>
        <w:wordWrap/>
        <w:overflowPunct/>
        <w:topLinePunct w:val="0"/>
        <w:autoSpaceDE/>
        <w:autoSpaceDN/>
        <w:bidi w:val="0"/>
        <w:spacing w:line="560" w:lineRule="exact"/>
        <w:ind w:left="4800" w:leftChars="0" w:hanging="4800" w:hangingChars="15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三亚市海棠区</w:t>
      </w:r>
      <w:r>
        <w:rPr>
          <w:rFonts w:hint="eastAsia" w:ascii="仿宋_GB2312" w:hAnsi="仿宋_GB2312" w:eastAsia="仿宋_GB2312" w:cs="仿宋_GB2312"/>
          <w:sz w:val="32"/>
          <w:szCs w:val="32"/>
          <w:lang w:eastAsia="zh-CN"/>
        </w:rPr>
        <w:t>应急管理局</w:t>
      </w:r>
    </w:p>
    <w:p>
      <w:pPr>
        <w:pageBreakBefore w:val="0"/>
        <w:kinsoku/>
        <w:wordWrap/>
        <w:overflowPunct/>
        <w:topLinePunct w:val="0"/>
        <w:autoSpaceDE/>
        <w:autoSpaceDN/>
        <w:bidi w:val="0"/>
        <w:spacing w:line="560" w:lineRule="exact"/>
        <w:jc w:val="left"/>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color w:val="FF0000"/>
          <w:sz w:val="32"/>
          <w:szCs w:val="32"/>
        </w:rPr>
        <w:t xml:space="preserve"> </w:t>
      </w:r>
      <w:r>
        <w:rPr>
          <w:rFonts w:hint="eastAsia" w:ascii="仿宋_GB2312" w:hAnsi="宋体" w:eastAsia="仿宋_GB2312" w:cs="仿宋_GB2312"/>
          <w:b w:val="0"/>
          <w:bCs w:val="0"/>
          <w:color w:val="auto"/>
          <w:sz w:val="32"/>
          <w:szCs w:val="32"/>
          <w:lang w:val="en-US" w:eastAsia="zh-CN"/>
        </w:rPr>
        <w:t>2023年5</w:t>
      </w:r>
      <w:r>
        <w:rPr>
          <w:rFonts w:hint="default" w:ascii="仿宋_GB2312" w:hAnsi="宋体" w:eastAsia="仿宋_GB2312" w:cs="仿宋_GB2312"/>
          <w:b w:val="0"/>
          <w:bCs w:val="0"/>
          <w:color w:val="auto"/>
          <w:sz w:val="32"/>
          <w:szCs w:val="32"/>
        </w:rPr>
        <w:t>月</w:t>
      </w:r>
      <w:r>
        <w:rPr>
          <w:rFonts w:hint="eastAsia" w:ascii="仿宋_GB2312" w:hAnsi="宋体" w:eastAsia="仿宋_GB2312" w:cs="仿宋_GB2312"/>
          <w:b w:val="0"/>
          <w:bCs w:val="0"/>
          <w:color w:val="auto"/>
          <w:sz w:val="32"/>
          <w:szCs w:val="32"/>
          <w:lang w:val="en-US" w:eastAsia="zh-CN"/>
        </w:rPr>
        <w:t>25</w:t>
      </w:r>
      <w:r>
        <w:rPr>
          <w:rFonts w:hint="default" w:ascii="仿宋_GB2312" w:hAnsi="宋体" w:eastAsia="仿宋_GB2312" w:cs="仿宋_GB2312"/>
          <w:b w:val="0"/>
          <w:bCs w:val="0"/>
          <w:color w:val="auto"/>
          <w:sz w:val="32"/>
          <w:szCs w:val="32"/>
        </w:rPr>
        <w:t>日</w:t>
      </w:r>
    </w:p>
    <w:sectPr>
      <w:footerReference r:id="rId4" w:type="default"/>
      <w:pgSz w:w="11906" w:h="16838"/>
      <w:pgMar w:top="2098" w:right="1474" w:bottom="1984" w:left="1587" w:header="851" w:footer="1134" w:gutter="0"/>
      <w:pgNumType w:fmt="decimal"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8B3D35-C0A8-434E-9164-4B9DBD7D51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embedRegular r:id="rId2" w:fontKey="{47C8DCFE-7AFB-4857-AE28-998C2E0BC7F0}"/>
  </w:font>
  <w:font w:name="仿宋">
    <w:panose1 w:val="02010609060101010101"/>
    <w:charset w:val="86"/>
    <w:family w:val="auto"/>
    <w:pitch w:val="default"/>
    <w:sig w:usb0="800002BF" w:usb1="38CF7CFA" w:usb2="00000016" w:usb3="00000000" w:csb0="00040001" w:csb1="00000000"/>
    <w:embedRegular r:id="rId3" w:fontKey="{C7708496-5EF3-4495-8917-25BEE749B1F9}"/>
  </w:font>
  <w:font w:name="Cambria Math">
    <w:panose1 w:val="02040503050406030204"/>
    <w:charset w:val="00"/>
    <w:family w:val="roman"/>
    <w:pitch w:val="default"/>
    <w:sig w:usb0="E00002FF" w:usb1="420024FF" w:usb2="00000000" w:usb3="00000000" w:csb0="2000019F" w:csb1="00000000"/>
    <w:embedRegular r:id="rId4" w:fontKey="{AB20C833-8237-4895-B4C5-79BA937982ED}"/>
  </w:font>
  <w:font w:name="方正小标宋简体">
    <w:panose1 w:val="03000509000000000000"/>
    <w:charset w:val="86"/>
    <w:family w:val="auto"/>
    <w:pitch w:val="default"/>
    <w:sig w:usb0="00000001" w:usb1="080E0000" w:usb2="00000000" w:usb3="00000000" w:csb0="00040000" w:csb1="00000000"/>
    <w:embedRegular r:id="rId5" w:fontKey="{09061485-7A69-4DB9-9388-11E2FA5947CD}"/>
  </w:font>
  <w:font w:name="仿宋_GB2312">
    <w:panose1 w:val="02010609030101010101"/>
    <w:charset w:val="86"/>
    <w:family w:val="modern"/>
    <w:pitch w:val="default"/>
    <w:sig w:usb0="00000001" w:usb1="080E0000" w:usb2="00000000" w:usb3="00000000" w:csb0="00040000" w:csb1="00000000"/>
    <w:embedRegular r:id="rId6" w:fontKey="{3934CB7A-F83E-41C2-BC32-90AEB93CA668}"/>
  </w:font>
  <w:font w:name="楷体_GB2312">
    <w:panose1 w:val="02010609030101010101"/>
    <w:charset w:val="86"/>
    <w:family w:val="auto"/>
    <w:pitch w:val="default"/>
    <w:sig w:usb0="00000001" w:usb1="080E0000" w:usb2="00000000" w:usb3="00000000" w:csb0="00040000" w:csb1="00000000"/>
    <w:embedRegular r:id="rId7" w:fontKey="{E7D47319-8609-4531-A89A-9B6A1DDC8BD5}"/>
  </w:font>
  <w:font w:name="楷体">
    <w:panose1 w:val="02010609060101010101"/>
    <w:charset w:val="86"/>
    <w:family w:val="auto"/>
    <w:pitch w:val="default"/>
    <w:sig w:usb0="800002BF" w:usb1="38CF7CFA" w:usb2="00000016" w:usb3="00000000" w:csb0="00040001" w:csb1="00000000"/>
    <w:embedRegular r:id="rId8" w:fontKey="{220556DC-CED2-408C-8D91-D37D4E079345}"/>
  </w:font>
  <w:font w:name="Arial">
    <w:panose1 w:val="020B0604020202020204"/>
    <w:charset w:val="00"/>
    <w:family w:val="auto"/>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serif">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MzQ3NmFlMWRlNWU5NmQ4Y2ZiYThkMzQ2YjRjYWYifQ=="/>
  </w:docVars>
  <w:rsids>
    <w:rsidRoot w:val="00000000"/>
    <w:rsid w:val="00241F11"/>
    <w:rsid w:val="00423C6D"/>
    <w:rsid w:val="01341807"/>
    <w:rsid w:val="01BD17FD"/>
    <w:rsid w:val="020220CB"/>
    <w:rsid w:val="02355C85"/>
    <w:rsid w:val="02D64A61"/>
    <w:rsid w:val="03397263"/>
    <w:rsid w:val="033B6E7D"/>
    <w:rsid w:val="03D85196"/>
    <w:rsid w:val="044464F4"/>
    <w:rsid w:val="05013936"/>
    <w:rsid w:val="0609042C"/>
    <w:rsid w:val="061924BA"/>
    <w:rsid w:val="063B3638"/>
    <w:rsid w:val="069A3EBB"/>
    <w:rsid w:val="06E201E0"/>
    <w:rsid w:val="076D5634"/>
    <w:rsid w:val="077A36B1"/>
    <w:rsid w:val="07C17B6D"/>
    <w:rsid w:val="082779D0"/>
    <w:rsid w:val="08EC7C32"/>
    <w:rsid w:val="09036B8C"/>
    <w:rsid w:val="09864BCA"/>
    <w:rsid w:val="0994574F"/>
    <w:rsid w:val="09F54EC3"/>
    <w:rsid w:val="0A3B7763"/>
    <w:rsid w:val="0CC003F3"/>
    <w:rsid w:val="0CE40585"/>
    <w:rsid w:val="0D890257"/>
    <w:rsid w:val="0E386E38"/>
    <w:rsid w:val="0E4A266A"/>
    <w:rsid w:val="0E9F0191"/>
    <w:rsid w:val="0F3F1AA3"/>
    <w:rsid w:val="0F492792"/>
    <w:rsid w:val="0F8676D2"/>
    <w:rsid w:val="101D355F"/>
    <w:rsid w:val="106F63B8"/>
    <w:rsid w:val="10C7367B"/>
    <w:rsid w:val="110F4FFC"/>
    <w:rsid w:val="113413B0"/>
    <w:rsid w:val="12101C88"/>
    <w:rsid w:val="12D546F4"/>
    <w:rsid w:val="12F1229B"/>
    <w:rsid w:val="13315BA7"/>
    <w:rsid w:val="135950FD"/>
    <w:rsid w:val="13EE5846"/>
    <w:rsid w:val="14A423A8"/>
    <w:rsid w:val="156A390E"/>
    <w:rsid w:val="1615355E"/>
    <w:rsid w:val="16FD0BFE"/>
    <w:rsid w:val="17045380"/>
    <w:rsid w:val="179C380B"/>
    <w:rsid w:val="17C072F8"/>
    <w:rsid w:val="17D44C71"/>
    <w:rsid w:val="17F61E06"/>
    <w:rsid w:val="194903EC"/>
    <w:rsid w:val="19BD31DA"/>
    <w:rsid w:val="1A355F5C"/>
    <w:rsid w:val="1A9A604F"/>
    <w:rsid w:val="1B682381"/>
    <w:rsid w:val="1BFB31F6"/>
    <w:rsid w:val="1CDF5EC4"/>
    <w:rsid w:val="1D1B4B41"/>
    <w:rsid w:val="1D7F2D11"/>
    <w:rsid w:val="1DD50530"/>
    <w:rsid w:val="1E03530F"/>
    <w:rsid w:val="1E6F5B56"/>
    <w:rsid w:val="1F192316"/>
    <w:rsid w:val="1F2078F1"/>
    <w:rsid w:val="1F6149D3"/>
    <w:rsid w:val="1F9C52BC"/>
    <w:rsid w:val="204A425C"/>
    <w:rsid w:val="20684B9E"/>
    <w:rsid w:val="209459C7"/>
    <w:rsid w:val="2221328A"/>
    <w:rsid w:val="22CF5546"/>
    <w:rsid w:val="243D4ED1"/>
    <w:rsid w:val="243F6497"/>
    <w:rsid w:val="246C7F3F"/>
    <w:rsid w:val="256E4A38"/>
    <w:rsid w:val="26AA307F"/>
    <w:rsid w:val="27337CE7"/>
    <w:rsid w:val="27A80D9F"/>
    <w:rsid w:val="28C4605E"/>
    <w:rsid w:val="2A6F54DA"/>
    <w:rsid w:val="2A862D06"/>
    <w:rsid w:val="2A905451"/>
    <w:rsid w:val="2AD92954"/>
    <w:rsid w:val="2AFE6F2D"/>
    <w:rsid w:val="2B464BEB"/>
    <w:rsid w:val="2B5E72FD"/>
    <w:rsid w:val="2BE07D12"/>
    <w:rsid w:val="2C3D68C4"/>
    <w:rsid w:val="2C511503"/>
    <w:rsid w:val="2CB672AB"/>
    <w:rsid w:val="2CFC6DCE"/>
    <w:rsid w:val="2D4A7509"/>
    <w:rsid w:val="2DAF7046"/>
    <w:rsid w:val="2E644890"/>
    <w:rsid w:val="2F4A6121"/>
    <w:rsid w:val="2FA33530"/>
    <w:rsid w:val="2FD238D5"/>
    <w:rsid w:val="304011BA"/>
    <w:rsid w:val="308B46F0"/>
    <w:rsid w:val="30AB4D93"/>
    <w:rsid w:val="314B0324"/>
    <w:rsid w:val="318A6971"/>
    <w:rsid w:val="31A17F44"/>
    <w:rsid w:val="31DE2EFE"/>
    <w:rsid w:val="349A75F8"/>
    <w:rsid w:val="34BF2E0B"/>
    <w:rsid w:val="3638154D"/>
    <w:rsid w:val="370D2F7A"/>
    <w:rsid w:val="375975D7"/>
    <w:rsid w:val="38264224"/>
    <w:rsid w:val="38691D09"/>
    <w:rsid w:val="392B10FC"/>
    <w:rsid w:val="3994007E"/>
    <w:rsid w:val="39EA2D41"/>
    <w:rsid w:val="3A8A0CE3"/>
    <w:rsid w:val="3AB804D4"/>
    <w:rsid w:val="3B53405D"/>
    <w:rsid w:val="3B781D15"/>
    <w:rsid w:val="3B935024"/>
    <w:rsid w:val="3C836BC3"/>
    <w:rsid w:val="3CDD7B2C"/>
    <w:rsid w:val="3D4F4CF8"/>
    <w:rsid w:val="3D843666"/>
    <w:rsid w:val="3DD60B28"/>
    <w:rsid w:val="3E810EE1"/>
    <w:rsid w:val="3FCB338F"/>
    <w:rsid w:val="401C39DE"/>
    <w:rsid w:val="40B3559D"/>
    <w:rsid w:val="41214BFD"/>
    <w:rsid w:val="41CC4B69"/>
    <w:rsid w:val="425C413F"/>
    <w:rsid w:val="42644DA1"/>
    <w:rsid w:val="448B259E"/>
    <w:rsid w:val="45FF48E2"/>
    <w:rsid w:val="46AE0CE1"/>
    <w:rsid w:val="46B430F9"/>
    <w:rsid w:val="48027536"/>
    <w:rsid w:val="480C76ED"/>
    <w:rsid w:val="48AE3BA5"/>
    <w:rsid w:val="48F86243"/>
    <w:rsid w:val="492E7C32"/>
    <w:rsid w:val="4A01009A"/>
    <w:rsid w:val="4A1452FF"/>
    <w:rsid w:val="4AB733C6"/>
    <w:rsid w:val="4B026FF0"/>
    <w:rsid w:val="4B35546A"/>
    <w:rsid w:val="4B88334E"/>
    <w:rsid w:val="4BD27749"/>
    <w:rsid w:val="4BE40D01"/>
    <w:rsid w:val="4C4377E0"/>
    <w:rsid w:val="4C940979"/>
    <w:rsid w:val="4E453CD9"/>
    <w:rsid w:val="4E9823FF"/>
    <w:rsid w:val="4EC372F3"/>
    <w:rsid w:val="50987885"/>
    <w:rsid w:val="50D75ECD"/>
    <w:rsid w:val="50D901C7"/>
    <w:rsid w:val="50FF6C3F"/>
    <w:rsid w:val="516E0BBA"/>
    <w:rsid w:val="52716B96"/>
    <w:rsid w:val="531C6FD2"/>
    <w:rsid w:val="53455A98"/>
    <w:rsid w:val="54534C76"/>
    <w:rsid w:val="54ED6E78"/>
    <w:rsid w:val="55432327"/>
    <w:rsid w:val="55BD2D48"/>
    <w:rsid w:val="56E20573"/>
    <w:rsid w:val="586A1D26"/>
    <w:rsid w:val="58F97309"/>
    <w:rsid w:val="590E1F88"/>
    <w:rsid w:val="59D92D45"/>
    <w:rsid w:val="5A9F4CB6"/>
    <w:rsid w:val="5B5A0BE2"/>
    <w:rsid w:val="5C9748B0"/>
    <w:rsid w:val="5D402163"/>
    <w:rsid w:val="5D4E1EA4"/>
    <w:rsid w:val="5D5C103F"/>
    <w:rsid w:val="5D7C49E0"/>
    <w:rsid w:val="5DDB01B6"/>
    <w:rsid w:val="5DDD65A9"/>
    <w:rsid w:val="5EBA601D"/>
    <w:rsid w:val="5F3727B3"/>
    <w:rsid w:val="5FFF6206"/>
    <w:rsid w:val="603A63E4"/>
    <w:rsid w:val="609E6F90"/>
    <w:rsid w:val="60A5276E"/>
    <w:rsid w:val="61196693"/>
    <w:rsid w:val="61333E65"/>
    <w:rsid w:val="61B12A61"/>
    <w:rsid w:val="62E85C7D"/>
    <w:rsid w:val="63624ED5"/>
    <w:rsid w:val="637F3CAB"/>
    <w:rsid w:val="63873E85"/>
    <w:rsid w:val="63B902E6"/>
    <w:rsid w:val="63CB55DB"/>
    <w:rsid w:val="65067706"/>
    <w:rsid w:val="65506B62"/>
    <w:rsid w:val="656767D3"/>
    <w:rsid w:val="65777A1F"/>
    <w:rsid w:val="66432D9C"/>
    <w:rsid w:val="66AA4BC9"/>
    <w:rsid w:val="66B351BD"/>
    <w:rsid w:val="66FF3BBB"/>
    <w:rsid w:val="67FA596E"/>
    <w:rsid w:val="68070E71"/>
    <w:rsid w:val="68CB0E27"/>
    <w:rsid w:val="69AD0D0B"/>
    <w:rsid w:val="6B9876E6"/>
    <w:rsid w:val="6C1E3FD0"/>
    <w:rsid w:val="6C27117C"/>
    <w:rsid w:val="6CEB57E7"/>
    <w:rsid w:val="6D810433"/>
    <w:rsid w:val="6DCA26EA"/>
    <w:rsid w:val="6EB02F99"/>
    <w:rsid w:val="6EBC7B8F"/>
    <w:rsid w:val="6F4B1159"/>
    <w:rsid w:val="71634F44"/>
    <w:rsid w:val="717B5AE0"/>
    <w:rsid w:val="71B263C8"/>
    <w:rsid w:val="72046E97"/>
    <w:rsid w:val="73155AC0"/>
    <w:rsid w:val="734F0FD2"/>
    <w:rsid w:val="73B51323"/>
    <w:rsid w:val="73D87A15"/>
    <w:rsid w:val="757F1917"/>
    <w:rsid w:val="76756284"/>
    <w:rsid w:val="7750356B"/>
    <w:rsid w:val="77AB55D5"/>
    <w:rsid w:val="781F6A99"/>
    <w:rsid w:val="78237E86"/>
    <w:rsid w:val="789E0306"/>
    <w:rsid w:val="792F7AF9"/>
    <w:rsid w:val="797D7F1B"/>
    <w:rsid w:val="79E75577"/>
    <w:rsid w:val="7ABC51E6"/>
    <w:rsid w:val="7B0408F4"/>
    <w:rsid w:val="7BED75DA"/>
    <w:rsid w:val="7C030BAC"/>
    <w:rsid w:val="7C381A30"/>
    <w:rsid w:val="7D4D3EAD"/>
    <w:rsid w:val="7E39404C"/>
    <w:rsid w:val="7ED172C0"/>
    <w:rsid w:val="7EDE145C"/>
    <w:rsid w:val="7F233313"/>
    <w:rsid w:val="7F29611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szCs w:val="44"/>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uiPriority w:val="0"/>
    <w:rPr>
      <w:rFonts w:ascii="Times New Roman" w:hAnsi="Times New Roman"/>
      <w:szCs w:val="24"/>
    </w:rPr>
  </w:style>
  <w:style w:type="paragraph" w:styleId="5">
    <w:name w:val="Body Text"/>
    <w:basedOn w:val="1"/>
    <w:qFormat/>
    <w:uiPriority w:val="1"/>
    <w:pPr>
      <w:ind w:left="120"/>
    </w:pPr>
    <w:rPr>
      <w:sz w:val="32"/>
      <w:szCs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unhideWhenUsed/>
    <w:qFormat/>
    <w:uiPriority w:val="99"/>
    <w:pPr>
      <w:widowControl/>
      <w:adjustRightInd w:val="0"/>
      <w:snapToGrid w:val="0"/>
      <w:spacing w:beforeAutospacing="1" w:afterAutospacing="1"/>
      <w:jc w:val="left"/>
    </w:pPr>
    <w:rPr>
      <w:rFonts w:ascii="Tahoma" w:hAnsi="Tahoma" w:eastAsia="微软雅黑"/>
      <w:kern w:val="0"/>
      <w:sz w:val="24"/>
      <w:szCs w:val="22"/>
    </w:rPr>
  </w:style>
  <w:style w:type="paragraph" w:customStyle="1" w:styleId="13">
    <w:name w:val="Heading2"/>
    <w:basedOn w:val="1"/>
    <w:next w:val="1"/>
    <w:qFormat/>
    <w:uiPriority w:val="0"/>
    <w:pPr>
      <w:keepNext/>
      <w:keepLines/>
      <w:spacing w:line="413" w:lineRule="auto"/>
      <w:jc w:val="both"/>
      <w:textAlignment w:val="baseline"/>
    </w:pPr>
    <w:rPr>
      <w:rFonts w:ascii="Arial" w:hAnsi="Arial" w:eastAsia="黑体"/>
      <w:b/>
      <w:kern w:val="2"/>
      <w:sz w:val="21"/>
      <w:szCs w:val="24"/>
      <w:lang w:val="en-US" w:eastAsia="zh-CN" w:bidi="ar-SA"/>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4588</Words>
  <Characters>4701</Characters>
  <Lines>0</Lines>
  <Paragraphs>0</Paragraphs>
  <ScaleCrop>false</ScaleCrop>
  <LinksUpToDate>false</LinksUpToDate>
  <CharactersWithSpaces>4814</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2023-02-21T02:40:00Z</dcterms:created>
  <dc:creator>Lenovo</dc:creator>
  <cp:lastModifiedBy>冯喜龙</cp:lastModifiedBy>
  <cp:lastPrinted>2024-09-25T00:28:37Z</cp:lastPrinted>
  <dcterms:modified xsi:type="dcterms:W3CDTF">2024-09-25T00:28:43Z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D8851E480AD24B65A72054CE4D7642AA</vt:lpwstr>
  </property>
</Properties>
</file>