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default" w:ascii="宋体" w:hAnsi="宋体" w:eastAsia="宋体" w:cs="宋体"/>
          <w:color w:val="333333"/>
          <w:kern w:val="0"/>
          <w:sz w:val="48"/>
          <w:szCs w:val="48"/>
        </w:rPr>
      </w:pPr>
      <w:r>
        <w:rPr>
          <w:rFonts w:hint="eastAsia" w:ascii="宋体" w:hAnsi="宋体" w:eastAsia="宋体" w:cs="宋体"/>
          <w:b/>
          <w:color w:val="333333"/>
          <w:kern w:val="0"/>
          <w:sz w:val="48"/>
          <w:szCs w:val="48"/>
        </w:rPr>
        <w:t>20</w:t>
      </w:r>
      <w:r>
        <w:rPr>
          <w:rFonts w:hint="eastAsia" w:ascii="宋体" w:hAnsi="宋体" w:eastAsia="宋体" w:cs="宋体"/>
          <w:b/>
          <w:color w:val="333333"/>
          <w:kern w:val="0"/>
          <w:sz w:val="48"/>
          <w:szCs w:val="48"/>
          <w:lang w:val="en-US" w:eastAsia="zh-CN"/>
        </w:rPr>
        <w:t>20</w:t>
      </w:r>
      <w:r>
        <w:rPr>
          <w:rFonts w:hint="eastAsia" w:ascii="宋体" w:hAnsi="宋体" w:eastAsia="宋体" w:cs="宋体"/>
          <w:b/>
          <w:color w:val="333333"/>
          <w:kern w:val="0"/>
          <w:sz w:val="48"/>
          <w:szCs w:val="48"/>
        </w:rPr>
        <w:t>年政府信息公开工作年度报告</w:t>
      </w:r>
    </w:p>
    <w:p>
      <w:pPr>
        <w:widowControl/>
        <w:shd w:val="clear" w:color="auto" w:fill="FFFFFF"/>
        <w:ind w:firstLine="480"/>
        <w:rPr>
          <w:rFonts w:hint="default" w:ascii="宋体" w:hAnsi="宋体" w:eastAsia="宋体" w:cs="宋体"/>
          <w:color w:val="333333"/>
          <w:kern w:val="0"/>
          <w:sz w:val="48"/>
          <w:szCs w:val="48"/>
        </w:rPr>
      </w:pPr>
    </w:p>
    <w:p>
      <w:pPr>
        <w:widowControl/>
        <w:numPr>
          <w:ilvl w:val="0"/>
          <w:numId w:val="1"/>
        </w:numPr>
        <w:shd w:val="clear" w:color="auto" w:fill="FFFFFF"/>
        <w:ind w:firstLine="480"/>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rPr>
        <w:t>总体情况</w:t>
      </w:r>
    </w:p>
    <w:p>
      <w:pPr>
        <w:pStyle w:val="2"/>
        <w:keepNext/>
        <w:keepLines w:val="0"/>
        <w:pageBreakBefore w:val="0"/>
        <w:widowControl w:val="0"/>
        <w:numPr>
          <w:ilvl w:val="0"/>
          <w:numId w:val="0"/>
        </w:numPr>
        <w:kinsoku/>
        <w:wordWrap/>
        <w:overflowPunct/>
        <w:topLinePunct w:val="0"/>
        <w:autoSpaceDE/>
        <w:autoSpaceDN/>
        <w:bidi w:val="0"/>
        <w:adjustRightInd/>
        <w:snapToGrid/>
        <w:spacing w:line="578" w:lineRule="exact"/>
        <w:ind w:firstLine="600" w:firstLineChars="200"/>
        <w:textAlignment w:val="auto"/>
        <w:rPr>
          <w:rFonts w:hint="eastAsia"/>
        </w:rPr>
      </w:pPr>
      <w:r>
        <w:rPr>
          <w:rFonts w:hint="eastAsia" w:ascii="仿宋_GB2312" w:hAnsi="仿宋_GB2312" w:eastAsia="仿宋_GB2312" w:cs="仿宋_GB2312"/>
          <w:b w:val="0"/>
          <w:i w:val="0"/>
          <w:iCs w:val="0"/>
          <w:kern w:val="2"/>
          <w:sz w:val="30"/>
          <w:szCs w:val="30"/>
          <w:lang w:val="en-US" w:eastAsia="zh-CN"/>
        </w:rPr>
        <w:t>（一）2020年度主动公开的文件数量为8，分别为三亚市海棠区政务服务中心关于2020年1-7月份政务大厅运行情况的通报，三亚市海棠区政务服务中心2020年部门预算。</w:t>
      </w:r>
    </w:p>
    <w:p>
      <w:pPr>
        <w:pStyle w:val="2"/>
        <w:keepLines w:val="0"/>
        <w:pageBreakBefore w:val="0"/>
        <w:widowControl w:val="0"/>
        <w:kinsoku/>
        <w:wordWrap/>
        <w:overflowPunct/>
        <w:topLinePunct w:val="0"/>
        <w:autoSpaceDE/>
        <w:autoSpaceDN/>
        <w:bidi w:val="0"/>
        <w:adjustRightInd/>
        <w:snapToGrid/>
        <w:spacing w:line="578" w:lineRule="exact"/>
        <w:ind w:firstLine="600" w:firstLineChars="200"/>
        <w:textAlignment w:val="auto"/>
        <w:rPr>
          <w:rFonts w:hint="default"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（二）政务公开进展情况。我中心已在市政府网站群云平台完善本单位的机构介绍、领导信息、财政公开、部门文件。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default" w:ascii="宋体" w:hAnsi="宋体" w:eastAsia="宋体" w:cs="宋体"/>
          <w:color w:val="333333"/>
          <w:kern w:val="0"/>
          <w:sz w:val="24"/>
          <w:szCs w:val="24"/>
        </w:rPr>
      </w:pPr>
      <w:r>
        <w:rPr>
          <w:rFonts w:hint="eastAsia" w:ascii="仿宋_GB2312" w:hAnsi="仿宋_GB2312" w:eastAsia="仿宋_GB2312" w:cs="仿宋_GB2312"/>
          <w:b w:val="0"/>
          <w:i w:val="0"/>
          <w:iCs w:val="0"/>
          <w:kern w:val="2"/>
          <w:sz w:val="30"/>
          <w:szCs w:val="30"/>
          <w:lang w:val="en-US" w:eastAsia="zh-CN"/>
        </w:rPr>
        <w:t>（三）目前我区共有</w:t>
      </w:r>
      <w:r>
        <w:rPr>
          <w:rFonts w:hint="default" w:ascii="仿宋_GB2312" w:hAnsi="仿宋_GB2312" w:eastAsia="仿宋_GB2312" w:cs="仿宋_GB2312"/>
          <w:b w:val="0"/>
          <w:i w:val="0"/>
          <w:iCs w:val="0"/>
          <w:kern w:val="2"/>
          <w:sz w:val="30"/>
          <w:szCs w:val="30"/>
          <w:lang w:val="en-US" w:eastAsia="zh-CN"/>
        </w:rPr>
        <w:t>20</w:t>
      </w:r>
      <w:r>
        <w:rPr>
          <w:rFonts w:hint="eastAsia" w:ascii="仿宋_GB2312" w:hAnsi="仿宋_GB2312" w:eastAsia="仿宋_GB2312" w:cs="仿宋_GB2312"/>
          <w:b w:val="0"/>
          <w:i w:val="0"/>
          <w:iCs w:val="0"/>
          <w:kern w:val="2"/>
          <w:sz w:val="30"/>
          <w:szCs w:val="30"/>
          <w:lang w:val="en-US" w:eastAsia="zh-CN"/>
        </w:rPr>
        <w:t>个职能单位和</w:t>
      </w:r>
      <w:r>
        <w:rPr>
          <w:rFonts w:hint="default" w:ascii="仿宋_GB2312" w:hAnsi="仿宋_GB2312" w:eastAsia="仿宋_GB2312" w:cs="仿宋_GB2312"/>
          <w:b w:val="0"/>
          <w:i w:val="0"/>
          <w:iCs w:val="0"/>
          <w:kern w:val="2"/>
          <w:sz w:val="30"/>
          <w:szCs w:val="30"/>
          <w:lang w:val="en-US" w:eastAsia="zh-CN"/>
        </w:rPr>
        <w:t>1</w:t>
      </w:r>
      <w:r>
        <w:rPr>
          <w:rFonts w:hint="eastAsia" w:ascii="仿宋_GB2312" w:hAnsi="仿宋_GB2312" w:eastAsia="仿宋_GB2312" w:cs="仿宋_GB2312"/>
          <w:b w:val="0"/>
          <w:i w:val="0"/>
          <w:iCs w:val="0"/>
          <w:kern w:val="2"/>
          <w:sz w:val="30"/>
          <w:szCs w:val="30"/>
          <w:lang w:val="en-US" w:eastAsia="zh-CN"/>
        </w:rPr>
        <w:t>个社会服务机构共268项政务服务事项进驻区政务大厅集中办公，基本实现应进必进。政务大厅设立窗口</w:t>
      </w:r>
      <w:r>
        <w:rPr>
          <w:rFonts w:hint="default" w:ascii="仿宋_GB2312" w:hAnsi="仿宋_GB2312" w:eastAsia="仿宋_GB2312" w:cs="仿宋_GB2312"/>
          <w:b w:val="0"/>
          <w:i w:val="0"/>
          <w:iCs w:val="0"/>
          <w:kern w:val="2"/>
          <w:sz w:val="30"/>
          <w:szCs w:val="30"/>
          <w:lang w:val="en-US" w:eastAsia="zh-CN"/>
        </w:rPr>
        <w:t>20</w:t>
      </w:r>
      <w:r>
        <w:rPr>
          <w:rFonts w:hint="eastAsia" w:ascii="仿宋_GB2312" w:hAnsi="仿宋_GB2312" w:eastAsia="仿宋_GB2312" w:cs="仿宋_GB2312"/>
          <w:b w:val="0"/>
          <w:i w:val="0"/>
          <w:iCs w:val="0"/>
          <w:kern w:val="2"/>
          <w:sz w:val="30"/>
          <w:szCs w:val="30"/>
          <w:lang w:val="en-US" w:eastAsia="zh-CN"/>
        </w:rPr>
        <w:t>个（其中一窗受理窗口</w:t>
      </w:r>
      <w:r>
        <w:rPr>
          <w:rFonts w:hint="default" w:ascii="仿宋_GB2312" w:hAnsi="仿宋_GB2312" w:eastAsia="仿宋_GB2312" w:cs="仿宋_GB2312"/>
          <w:b w:val="0"/>
          <w:i w:val="0"/>
          <w:iCs w:val="0"/>
          <w:kern w:val="2"/>
          <w:sz w:val="30"/>
          <w:szCs w:val="30"/>
          <w:lang w:val="en-US" w:eastAsia="zh-CN"/>
        </w:rPr>
        <w:t>6</w:t>
      </w:r>
      <w:r>
        <w:rPr>
          <w:rFonts w:hint="eastAsia" w:ascii="仿宋_GB2312" w:hAnsi="仿宋_GB2312" w:eastAsia="仿宋_GB2312" w:cs="仿宋_GB2312"/>
          <w:b w:val="0"/>
          <w:i w:val="0"/>
          <w:iCs w:val="0"/>
          <w:kern w:val="2"/>
          <w:sz w:val="30"/>
          <w:szCs w:val="30"/>
          <w:lang w:val="en-US" w:eastAsia="zh-CN"/>
        </w:rPr>
        <w:t>个，咨询服务窗口</w:t>
      </w:r>
      <w:r>
        <w:rPr>
          <w:rFonts w:hint="default" w:ascii="仿宋_GB2312" w:hAnsi="仿宋_GB2312" w:eastAsia="仿宋_GB2312" w:cs="仿宋_GB2312"/>
          <w:b w:val="0"/>
          <w:i w:val="0"/>
          <w:iCs w:val="0"/>
          <w:kern w:val="2"/>
          <w:sz w:val="30"/>
          <w:szCs w:val="30"/>
          <w:lang w:val="en-US" w:eastAsia="zh-CN"/>
        </w:rPr>
        <w:t>1</w:t>
      </w:r>
      <w:r>
        <w:rPr>
          <w:rFonts w:hint="eastAsia" w:ascii="仿宋_GB2312" w:hAnsi="仿宋_GB2312" w:eastAsia="仿宋_GB2312" w:cs="仿宋_GB2312"/>
          <w:b w:val="0"/>
          <w:i w:val="0"/>
          <w:iCs w:val="0"/>
          <w:kern w:val="2"/>
          <w:sz w:val="30"/>
          <w:szCs w:val="30"/>
          <w:lang w:val="en-US" w:eastAsia="zh-CN"/>
        </w:rPr>
        <w:t>个，统一出件窗口</w:t>
      </w:r>
      <w:r>
        <w:rPr>
          <w:rFonts w:hint="default" w:ascii="仿宋_GB2312" w:hAnsi="仿宋_GB2312" w:eastAsia="仿宋_GB2312" w:cs="仿宋_GB2312"/>
          <w:b w:val="0"/>
          <w:i w:val="0"/>
          <w:iCs w:val="0"/>
          <w:kern w:val="2"/>
          <w:sz w:val="30"/>
          <w:szCs w:val="30"/>
          <w:lang w:val="en-US" w:eastAsia="zh-CN"/>
        </w:rPr>
        <w:t>1</w:t>
      </w:r>
      <w:r>
        <w:rPr>
          <w:rFonts w:hint="eastAsia" w:ascii="仿宋_GB2312" w:hAnsi="仿宋_GB2312" w:eastAsia="仿宋_GB2312" w:cs="仿宋_GB2312"/>
          <w:b w:val="0"/>
          <w:i w:val="0"/>
          <w:iCs w:val="0"/>
          <w:kern w:val="2"/>
          <w:sz w:val="30"/>
          <w:szCs w:val="30"/>
          <w:lang w:val="en-US" w:eastAsia="zh-CN"/>
        </w:rPr>
        <w:t>个,民政、人社、卫健委、医保、执法、公交卡等职能单位窗口</w:t>
      </w:r>
      <w:r>
        <w:rPr>
          <w:rFonts w:hint="default" w:ascii="仿宋_GB2312" w:hAnsi="仿宋_GB2312" w:eastAsia="仿宋_GB2312" w:cs="仿宋_GB2312"/>
          <w:b w:val="0"/>
          <w:i w:val="0"/>
          <w:iCs w:val="0"/>
          <w:kern w:val="2"/>
          <w:sz w:val="30"/>
          <w:szCs w:val="30"/>
          <w:lang w:val="en-US" w:eastAsia="zh-CN"/>
        </w:rPr>
        <w:t>12</w:t>
      </w:r>
      <w:r>
        <w:rPr>
          <w:rFonts w:hint="eastAsia" w:ascii="仿宋_GB2312" w:hAnsi="仿宋_GB2312" w:eastAsia="仿宋_GB2312" w:cs="仿宋_GB2312"/>
          <w:b w:val="0"/>
          <w:i w:val="0"/>
          <w:iCs w:val="0"/>
          <w:kern w:val="2"/>
          <w:sz w:val="30"/>
          <w:szCs w:val="30"/>
          <w:lang w:val="en-US" w:eastAsia="zh-CN"/>
        </w:rPr>
        <w:t>个）。同时区所辖23个村（居）委会均设立便民服务站开展便民服务（其中南田居委会下设</w:t>
      </w:r>
      <w:r>
        <w:rPr>
          <w:rFonts w:hint="default" w:ascii="仿宋_GB2312" w:hAnsi="仿宋_GB2312" w:eastAsia="仿宋_GB2312" w:cs="仿宋_GB2312"/>
          <w:b w:val="0"/>
          <w:i w:val="0"/>
          <w:iCs w:val="0"/>
          <w:kern w:val="2"/>
          <w:sz w:val="30"/>
          <w:szCs w:val="30"/>
          <w:lang w:val="en-US" w:eastAsia="zh-CN"/>
        </w:rPr>
        <w:t>5</w:t>
      </w:r>
      <w:r>
        <w:rPr>
          <w:rFonts w:hint="eastAsia" w:ascii="仿宋_GB2312" w:hAnsi="仿宋_GB2312" w:eastAsia="仿宋_GB2312" w:cs="仿宋_GB2312"/>
          <w:b w:val="0"/>
          <w:i w:val="0"/>
          <w:iCs w:val="0"/>
          <w:kern w:val="2"/>
          <w:sz w:val="30"/>
          <w:szCs w:val="30"/>
          <w:lang w:val="en-US" w:eastAsia="zh-CN"/>
        </w:rPr>
        <w:t>个便民代办点）。经统计，</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年</w:t>
      </w:r>
      <w:r>
        <w:rPr>
          <w:rFonts w:hint="default" w:ascii="仿宋_GB2312" w:hAnsi="仿宋_GB2312" w:eastAsia="仿宋_GB2312" w:cs="仿宋_GB2312"/>
          <w:b w:val="0"/>
          <w:i w:val="0"/>
          <w:iCs w:val="0"/>
          <w:kern w:val="2"/>
          <w:sz w:val="30"/>
          <w:szCs w:val="30"/>
          <w:lang w:val="en-US" w:eastAsia="zh-CN"/>
        </w:rPr>
        <w:t>1-</w:t>
      </w:r>
      <w:r>
        <w:rPr>
          <w:rFonts w:hint="eastAsia" w:ascii="仿宋_GB2312" w:hAnsi="仿宋_GB2312" w:eastAsia="仿宋_GB2312" w:cs="仿宋_GB2312"/>
          <w:b w:val="0"/>
          <w:i w:val="0"/>
          <w:iCs w:val="0"/>
          <w:kern w:val="2"/>
          <w:sz w:val="30"/>
          <w:szCs w:val="30"/>
          <w:lang w:val="en-US" w:eastAsia="zh-CN"/>
        </w:rPr>
        <w:t>12月我区政务大厅受理办结审批及服务事项共计8757件，按时办结率为</w:t>
      </w:r>
      <w:r>
        <w:rPr>
          <w:rFonts w:hint="default" w:ascii="仿宋_GB2312" w:hAnsi="仿宋_GB2312" w:eastAsia="仿宋_GB2312" w:cs="仿宋_GB2312"/>
          <w:b w:val="0"/>
          <w:i w:val="0"/>
          <w:iCs w:val="0"/>
          <w:kern w:val="2"/>
          <w:sz w:val="30"/>
          <w:szCs w:val="30"/>
          <w:lang w:val="en-US" w:eastAsia="zh-CN"/>
        </w:rPr>
        <w:t>100%</w:t>
      </w:r>
      <w:r>
        <w:rPr>
          <w:rFonts w:hint="eastAsia" w:ascii="仿宋_GB2312" w:hAnsi="仿宋_GB2312" w:eastAsia="仿宋_GB2312" w:cs="仿宋_GB2312"/>
          <w:b w:val="0"/>
          <w:i w:val="0"/>
          <w:iCs w:val="0"/>
          <w:kern w:val="2"/>
          <w:sz w:val="30"/>
          <w:szCs w:val="30"/>
          <w:lang w:val="en-US" w:eastAsia="zh-CN"/>
        </w:rPr>
        <w:t>；</w:t>
      </w:r>
      <w:r>
        <w:rPr>
          <w:rFonts w:hint="default" w:ascii="仿宋_GB2312" w:hAnsi="仿宋_GB2312" w:eastAsia="仿宋_GB2312" w:cs="仿宋_GB2312"/>
          <w:b w:val="0"/>
          <w:i w:val="0"/>
          <w:iCs w:val="0"/>
          <w:kern w:val="2"/>
          <w:sz w:val="30"/>
          <w:szCs w:val="30"/>
          <w:lang w:val="en-US" w:eastAsia="zh-CN"/>
        </w:rPr>
        <w:t>23</w:t>
      </w:r>
      <w:r>
        <w:rPr>
          <w:rFonts w:hint="eastAsia" w:ascii="仿宋_GB2312" w:hAnsi="仿宋_GB2312" w:eastAsia="仿宋_GB2312" w:cs="仿宋_GB2312"/>
          <w:b w:val="0"/>
          <w:i w:val="0"/>
          <w:iCs w:val="0"/>
          <w:kern w:val="2"/>
          <w:sz w:val="30"/>
          <w:szCs w:val="30"/>
          <w:lang w:val="en-US" w:eastAsia="zh-CN"/>
        </w:rPr>
        <w:t>个村级便民服务站</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年</w:t>
      </w:r>
      <w:r>
        <w:rPr>
          <w:rFonts w:hint="default" w:ascii="仿宋_GB2312" w:hAnsi="仿宋_GB2312" w:eastAsia="仿宋_GB2312" w:cs="仿宋_GB2312"/>
          <w:b w:val="0"/>
          <w:i w:val="0"/>
          <w:iCs w:val="0"/>
          <w:kern w:val="2"/>
          <w:sz w:val="30"/>
          <w:szCs w:val="30"/>
          <w:lang w:val="en-US" w:eastAsia="zh-CN"/>
        </w:rPr>
        <w:t>1-1</w:t>
      </w:r>
      <w:r>
        <w:rPr>
          <w:rFonts w:hint="eastAsia" w:ascii="仿宋_GB2312" w:hAnsi="仿宋_GB2312" w:eastAsia="仿宋_GB2312" w:cs="仿宋_GB2312"/>
          <w:b w:val="0"/>
          <w:i w:val="0"/>
          <w:iCs w:val="0"/>
          <w:kern w:val="2"/>
          <w:sz w:val="30"/>
          <w:szCs w:val="30"/>
          <w:lang w:val="en-US" w:eastAsia="zh-CN"/>
        </w:rPr>
        <w:t>2月共受理服务（代办）事项51865件，按时办结率为</w:t>
      </w:r>
      <w:r>
        <w:rPr>
          <w:rFonts w:hint="default" w:ascii="仿宋_GB2312" w:hAnsi="仿宋_GB2312" w:eastAsia="仿宋_GB2312" w:cs="仿宋_GB2312"/>
          <w:b w:val="0"/>
          <w:i w:val="0"/>
          <w:iCs w:val="0"/>
          <w:kern w:val="2"/>
          <w:sz w:val="30"/>
          <w:szCs w:val="30"/>
          <w:lang w:val="en-US" w:eastAsia="zh-CN"/>
        </w:rPr>
        <w:t>100%</w:t>
      </w:r>
      <w:r>
        <w:rPr>
          <w:rFonts w:hint="eastAsia" w:ascii="仿宋_GB2312" w:hAnsi="仿宋_GB2312" w:eastAsia="仿宋_GB2312" w:cs="仿宋_GB2312"/>
          <w:b w:val="0"/>
          <w:i w:val="0"/>
          <w:iCs w:val="0"/>
          <w:kern w:val="2"/>
          <w:sz w:val="30"/>
          <w:szCs w:val="30"/>
          <w:lang w:val="en-US" w:eastAsia="zh-CN"/>
        </w:rPr>
        <w:t>。</w:t>
      </w:r>
    </w:p>
    <w:p>
      <w:pPr>
        <w:widowControl/>
        <w:shd w:val="clear" w:color="auto" w:fill="FFFFFF"/>
        <w:ind w:firstLine="480"/>
        <w:rPr>
          <w:rFonts w:hint="default"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二、主动公开政府信息情况</w:t>
      </w:r>
    </w:p>
    <w:tbl>
      <w:tblPr>
        <w:tblStyle w:val="4"/>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default"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default"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r>
    </w:tbl>
    <w:p>
      <w:pPr>
        <w:widowControl/>
        <w:shd w:val="clear" w:color="auto" w:fill="FFFFFF"/>
        <w:ind w:firstLine="480"/>
        <w:rPr>
          <w:rFonts w:hint="default" w:ascii="宋体" w:hAnsi="宋体" w:eastAsia="宋体" w:cs="宋体"/>
          <w:color w:val="333333"/>
          <w:kern w:val="0"/>
          <w:sz w:val="24"/>
          <w:szCs w:val="24"/>
        </w:rPr>
      </w:pPr>
    </w:p>
    <w:p>
      <w:pPr>
        <w:widowControl/>
        <w:shd w:val="clear" w:color="auto" w:fill="FFFFFF"/>
        <w:ind w:firstLine="480"/>
        <w:rPr>
          <w:rFonts w:hint="default"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三、收到和处理政府信息公开申请情况</w:t>
      </w:r>
    </w:p>
    <w:tbl>
      <w:tblPr>
        <w:tblStyle w:val="4"/>
        <w:tblW w:w="9071" w:type="dxa"/>
        <w:jc w:val="center"/>
        <w:tblInd w:w="0" w:type="dxa"/>
        <w:tblLayout w:type="fixed"/>
        <w:tblCellMar>
          <w:top w:w="0" w:type="dxa"/>
          <w:left w:w="0" w:type="dxa"/>
          <w:bottom w:w="0" w:type="dxa"/>
          <w:right w:w="0" w:type="dxa"/>
        </w:tblCellMar>
      </w:tblPr>
      <w:tblGrid>
        <w:gridCol w:w="616"/>
        <w:gridCol w:w="854"/>
        <w:gridCol w:w="2078"/>
        <w:gridCol w:w="814"/>
        <w:gridCol w:w="756"/>
        <w:gridCol w:w="756"/>
        <w:gridCol w:w="814"/>
        <w:gridCol w:w="974"/>
        <w:gridCol w:w="713"/>
        <w:gridCol w:w="696"/>
      </w:tblGrid>
      <w:tr>
        <w:tblPrEx>
          <w:tblLayout w:type="fixed"/>
          <w:tblCellMar>
            <w:top w:w="0" w:type="dxa"/>
            <w:left w:w="0" w:type="dxa"/>
            <w:bottom w:w="0" w:type="dxa"/>
            <w:right w:w="0" w:type="dxa"/>
          </w:tblCellMar>
        </w:tblPrEx>
        <w:trPr>
          <w:jc w:val="center"/>
        </w:trPr>
        <w:tc>
          <w:tcPr>
            <w:tcW w:w="3548"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（本列数据的勾稽关系为：第一项加第二项之和，等于第三项加第四项之和）</w:t>
            </w:r>
          </w:p>
        </w:tc>
        <w:tc>
          <w:tcPr>
            <w:tcW w:w="552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申请人情况</w:t>
            </w:r>
          </w:p>
        </w:tc>
      </w:tr>
      <w:tr>
        <w:tblPrEx>
          <w:tblLayout w:type="fixed"/>
          <w:tblCellMar>
            <w:top w:w="0" w:type="dxa"/>
            <w:left w:w="0" w:type="dxa"/>
            <w:bottom w:w="0" w:type="dxa"/>
            <w:right w:w="0" w:type="dxa"/>
          </w:tblCellMar>
        </w:tblPrEx>
        <w:trPr>
          <w:jc w:val="center"/>
        </w:trPr>
        <w:tc>
          <w:tcPr>
            <w:tcW w:w="3548"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1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自然人</w:t>
            </w:r>
          </w:p>
        </w:tc>
        <w:tc>
          <w:tcPr>
            <w:tcW w:w="40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法人或其他组织</w:t>
            </w:r>
          </w:p>
        </w:tc>
        <w:tc>
          <w:tcPr>
            <w:tcW w:w="69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总计</w:t>
            </w:r>
          </w:p>
        </w:tc>
      </w:tr>
      <w:tr>
        <w:tblPrEx>
          <w:tblLayout w:type="fixed"/>
          <w:tblCellMar>
            <w:top w:w="0" w:type="dxa"/>
            <w:left w:w="0" w:type="dxa"/>
            <w:bottom w:w="0" w:type="dxa"/>
            <w:right w:w="0" w:type="dxa"/>
          </w:tblCellMar>
        </w:tblPrEx>
        <w:trPr>
          <w:jc w:val="center"/>
        </w:trPr>
        <w:tc>
          <w:tcPr>
            <w:tcW w:w="3548"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1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商业企业</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科研机构</w:t>
            </w:r>
          </w:p>
        </w:tc>
        <w:tc>
          <w:tcPr>
            <w:tcW w:w="8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社会公益组织</w:t>
            </w:r>
          </w:p>
        </w:tc>
        <w:tc>
          <w:tcPr>
            <w:tcW w:w="97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其他</w:t>
            </w:r>
          </w:p>
        </w:tc>
        <w:tc>
          <w:tcPr>
            <w:tcW w:w="696"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r>
      <w:tr>
        <w:tblPrEx>
          <w:tblLayout w:type="fixed"/>
          <w:tblCellMar>
            <w:top w:w="0" w:type="dxa"/>
            <w:left w:w="0" w:type="dxa"/>
            <w:bottom w:w="0" w:type="dxa"/>
            <w:right w:w="0" w:type="dxa"/>
          </w:tblCellMar>
        </w:tblPrEx>
        <w:trPr>
          <w:jc w:val="center"/>
        </w:trPr>
        <w:tc>
          <w:tcPr>
            <w:tcW w:w="354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val="en-US" w:eastAsia="zh-CN"/>
              </w:rPr>
            </w:pPr>
            <w:r>
              <w:rPr>
                <w:rFonts w:hint="eastAsia" w:ascii="宋体" w:hAnsi="宋体" w:eastAsia="宋体" w:cs="Calibri"/>
                <w:kern w:val="0"/>
                <w:sz w:val="20"/>
                <w:szCs w:val="20"/>
                <w:lang w:val="en-US" w:eastAsia="zh-CN"/>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4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三、本年度办理结果</w:t>
            </w:r>
          </w:p>
        </w:tc>
        <w:tc>
          <w:tcPr>
            <w:tcW w:w="293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Calibri"/>
                <w:kern w:val="0"/>
                <w:sz w:val="20"/>
                <w:szCs w:val="20"/>
              </w:rPr>
            </w:pPr>
            <w:r>
              <w:rPr>
                <w:rFonts w:hint="eastAsia" w:ascii="宋体" w:hAnsi="宋体" w:eastAsia="宋体" w:cs="Calibri"/>
                <w:kern w:val="0"/>
                <w:sz w:val="20"/>
                <w:szCs w:val="20"/>
              </w:rPr>
              <w:t>（一）予以公开</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93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（三）不予公开</w:t>
            </w: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1.属于国家秘密</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2.其他法律行政法规禁止公开</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3.危及“三安全一稳定”</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4.保护第三方合法权益</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5.属于三类内部事务信息</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6.属于四类过程性信息</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7.属于行政执法案卷</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（四）无法提供</w:t>
            </w: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Calibri"/>
                <w:kern w:val="0"/>
                <w:sz w:val="20"/>
                <w:szCs w:val="20"/>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（五）不予处理</w:t>
            </w: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Calibri"/>
                <w:kern w:val="0"/>
                <w:sz w:val="20"/>
                <w:szCs w:val="20"/>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Calibri"/>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0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93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293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（七）总计</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jc w:val="center"/>
        </w:trPr>
        <w:tc>
          <w:tcPr>
            <w:tcW w:w="354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hint="default"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8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9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7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ind w:firstLine="480"/>
        <w:rPr>
          <w:rFonts w:hint="default" w:ascii="宋体" w:hAnsi="宋体" w:eastAsia="宋体" w:cs="宋体"/>
          <w:color w:val="333333"/>
          <w:kern w:val="0"/>
          <w:sz w:val="24"/>
          <w:szCs w:val="24"/>
        </w:rPr>
      </w:pPr>
    </w:p>
    <w:p>
      <w:pPr>
        <w:widowControl/>
        <w:shd w:val="clear" w:color="auto" w:fill="FFFFFF"/>
        <w:ind w:firstLine="480"/>
        <w:rPr>
          <w:rFonts w:hint="default"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四、政府信息公开行政复议、行政诉讼情况</w:t>
      </w:r>
    </w:p>
    <w:p>
      <w:pPr>
        <w:widowControl/>
        <w:shd w:val="clear" w:color="auto" w:fill="FFFFFF"/>
        <w:ind w:firstLine="480"/>
        <w:rPr>
          <w:rFonts w:hint="default" w:ascii="宋体" w:hAnsi="宋体" w:eastAsia="宋体" w:cs="宋体"/>
          <w:color w:val="333333"/>
          <w:kern w:val="0"/>
          <w:sz w:val="24"/>
          <w:szCs w:val="24"/>
        </w:rPr>
      </w:pPr>
    </w:p>
    <w:tbl>
      <w:tblPr>
        <w:tblStyle w:val="4"/>
        <w:tblW w:w="9071" w:type="dxa"/>
        <w:jc w:val="center"/>
        <w:tblInd w:w="0" w:type="dxa"/>
        <w:tblLayout w:type="fixed"/>
        <w:tblCellMar>
          <w:top w:w="0" w:type="dxa"/>
          <w:left w:w="0" w:type="dxa"/>
          <w:bottom w:w="0" w:type="dxa"/>
          <w:right w:w="0" w:type="dxa"/>
        </w:tblCellMar>
      </w:tblPr>
      <w:tblGrid>
        <w:gridCol w:w="601"/>
        <w:gridCol w:w="601"/>
        <w:gridCol w:w="600"/>
        <w:gridCol w:w="600"/>
        <w:gridCol w:w="566"/>
        <w:gridCol w:w="676"/>
        <w:gridCol w:w="636"/>
        <w:gridCol w:w="598"/>
        <w:gridCol w:w="598"/>
        <w:gridCol w:w="598"/>
        <w:gridCol w:w="598"/>
        <w:gridCol w:w="598"/>
        <w:gridCol w:w="598"/>
        <w:gridCol w:w="599"/>
        <w:gridCol w:w="604"/>
      </w:tblGrid>
      <w:tr>
        <w:tblPrEx>
          <w:tblLayout w:type="fixed"/>
          <w:tblCellMar>
            <w:top w:w="0" w:type="dxa"/>
            <w:left w:w="0" w:type="dxa"/>
            <w:bottom w:w="0" w:type="dxa"/>
            <w:right w:w="0" w:type="dxa"/>
          </w:tblCellMar>
        </w:tblPrEx>
        <w:trPr>
          <w:jc w:val="center"/>
        </w:trPr>
        <w:tc>
          <w:tcPr>
            <w:tcW w:w="296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行政复议</w:t>
            </w:r>
          </w:p>
        </w:tc>
        <w:tc>
          <w:tcPr>
            <w:tcW w:w="61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结果维持</w:t>
            </w:r>
          </w:p>
        </w:tc>
        <w:tc>
          <w:tcPr>
            <w:tcW w:w="60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尚未审结</w:t>
            </w:r>
          </w:p>
        </w:tc>
        <w:tc>
          <w:tcPr>
            <w:tcW w:w="56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总计</w:t>
            </w:r>
          </w:p>
        </w:tc>
        <w:tc>
          <w:tcPr>
            <w:tcW w:w="310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未经复议直接起诉</w:t>
            </w:r>
          </w:p>
        </w:tc>
        <w:tc>
          <w:tcPr>
            <w:tcW w:w="299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1"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601" w:type="dxa"/>
            <w:vMerge w:val="continue"/>
            <w:tcBorders>
              <w:top w:val="nil"/>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600"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566" w:type="dxa"/>
            <w:vMerge w:val="continue"/>
            <w:tcBorders>
              <w:top w:val="single" w:color="auto" w:sz="8" w:space="0"/>
              <w:left w:val="nil"/>
              <w:bottom w:val="single" w:color="auto" w:sz="8" w:space="0"/>
              <w:right w:val="single" w:color="auto" w:sz="8" w:space="0"/>
            </w:tcBorders>
            <w:shd w:val="clear" w:color="auto" w:fill="auto"/>
            <w:vAlign w:val="center"/>
          </w:tcPr>
          <w:p>
            <w:pPr>
              <w:widowControl/>
              <w:jc w:val="left"/>
              <w:rPr>
                <w:rFonts w:hint="default" w:ascii="宋体" w:hAnsi="宋体" w:eastAsia="宋体" w:cs="宋体"/>
                <w:kern w:val="0"/>
                <w:sz w:val="24"/>
                <w:szCs w:val="24"/>
              </w:rPr>
            </w:pPr>
          </w:p>
        </w:tc>
        <w:tc>
          <w:tcPr>
            <w:tcW w:w="6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结果维持</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其他结果</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尚未审结</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总计</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结果维持</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结果纠正</w:t>
            </w:r>
          </w:p>
        </w:tc>
        <w:tc>
          <w:tcPr>
            <w:tcW w:w="59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尚未审结</w:t>
            </w:r>
          </w:p>
        </w:tc>
        <w:tc>
          <w:tcPr>
            <w:tcW w:w="6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0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59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color w:val="000000"/>
                <w:kern w:val="0"/>
                <w:sz w:val="20"/>
                <w:szCs w:val="20"/>
              </w:rPr>
              <w:t>0</w:t>
            </w:r>
          </w:p>
        </w:tc>
        <w:tc>
          <w:tcPr>
            <w:tcW w:w="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hint="default"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jc w:val="center"/>
        <w:rPr>
          <w:rFonts w:hint="default" w:ascii="宋体" w:hAnsi="宋体" w:eastAsia="宋体" w:cs="宋体"/>
          <w:color w:val="333333"/>
          <w:kern w:val="0"/>
          <w:sz w:val="24"/>
          <w:szCs w:val="24"/>
        </w:rPr>
      </w:pPr>
    </w:p>
    <w:p>
      <w:pPr>
        <w:widowControl/>
        <w:shd w:val="clear" w:color="auto" w:fill="FFFFFF"/>
        <w:jc w:val="center"/>
        <w:rPr>
          <w:rFonts w:hint="default" w:ascii="宋体" w:hAnsi="宋体" w:eastAsia="宋体" w:cs="宋体"/>
          <w:color w:val="333333"/>
          <w:kern w:val="0"/>
          <w:sz w:val="24"/>
          <w:szCs w:val="24"/>
        </w:rPr>
      </w:pPr>
    </w:p>
    <w:p>
      <w:pPr>
        <w:widowControl/>
        <w:shd w:val="clear" w:color="auto" w:fill="FFFFFF"/>
        <w:ind w:firstLine="480"/>
        <w:rPr>
          <w:rFonts w:hint="default"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五、存在的主要问题及改进情况</w:t>
      </w:r>
    </w:p>
    <w:p>
      <w:pPr>
        <w:widowControl/>
        <w:shd w:val="clear" w:color="auto" w:fill="FFFFFF"/>
        <w:ind w:left="360" w:firstLine="480"/>
        <w:rPr>
          <w:rFonts w:hint="default"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00" w:firstLineChars="200"/>
        <w:textAlignment w:val="auto"/>
        <w:rPr>
          <w:rFonts w:hint="default" w:ascii="宋体" w:hAnsi="宋体" w:eastAsia="宋体" w:cs="宋体"/>
          <w:color w:val="333333"/>
          <w:kern w:val="0"/>
          <w:sz w:val="24"/>
          <w:szCs w:val="24"/>
        </w:rPr>
      </w:pPr>
      <w:r>
        <w:rPr>
          <w:rFonts w:hint="eastAsia" w:ascii="仿宋_GB2312" w:hAnsi="仿宋_GB2312" w:eastAsia="仿宋_GB2312" w:cs="仿宋_GB2312"/>
          <w:b w:val="0"/>
          <w:i w:val="0"/>
          <w:iCs w:val="0"/>
          <w:color w:val="333333"/>
          <w:kern w:val="0"/>
          <w:sz w:val="30"/>
          <w:szCs w:val="30"/>
          <w:lang w:val="en-US" w:eastAsia="zh-CN"/>
        </w:rPr>
        <w:t>2020年我中心政务公开信息工作依照上级主管部门和指导单位要求的时间节点在三亚市政府网站进行公示公开。但存在对信息公开网站系统学习了解不多，在平时发文工作中未对所发的文件都注明是否公开等问题。在今后的工作中，坚决贯彻落实上级部门政府</w:t>
      </w:r>
      <w:bookmarkStart w:id="0" w:name="_GoBack"/>
      <w:bookmarkEnd w:id="0"/>
      <w:r>
        <w:rPr>
          <w:rFonts w:hint="eastAsia" w:ascii="仿宋_GB2312" w:hAnsi="仿宋_GB2312" w:eastAsia="仿宋_GB2312" w:cs="仿宋_GB2312"/>
          <w:b w:val="0"/>
          <w:i w:val="0"/>
          <w:iCs w:val="0"/>
          <w:color w:val="333333"/>
          <w:kern w:val="0"/>
          <w:sz w:val="30"/>
          <w:szCs w:val="30"/>
          <w:lang w:val="en-US" w:eastAsia="zh-CN"/>
        </w:rPr>
        <w:t>信息公开的工作要求，高度重视信息公开工作，坚持把信息公开落实到具体实际工作中，及时更新并公开，争取做到信息透明。</w:t>
      </w:r>
    </w:p>
    <w:p>
      <w:pPr>
        <w:widowControl/>
        <w:numPr>
          <w:ilvl w:val="0"/>
          <w:numId w:val="2"/>
        </w:numPr>
        <w:shd w:val="clear" w:color="auto" w:fill="FFFFFF"/>
        <w:ind w:firstLine="480"/>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（一）抓紧做好“国家一体化”审批平台事项匹配工作，推进政务服务事项《办事指南》标准化管理。对我区“</w:t>
      </w:r>
      <w:r>
        <w:rPr>
          <w:rFonts w:hint="default" w:ascii="仿宋_GB2312" w:hAnsi="仿宋_GB2312" w:eastAsia="仿宋_GB2312" w:cs="仿宋_GB2312"/>
          <w:b w:val="0"/>
          <w:i w:val="0"/>
          <w:iCs w:val="0"/>
          <w:kern w:val="2"/>
          <w:sz w:val="30"/>
          <w:szCs w:val="30"/>
          <w:lang w:val="en-US" w:eastAsia="zh-CN"/>
        </w:rPr>
        <w:t>10+1</w:t>
      </w:r>
      <w:r>
        <w:rPr>
          <w:rFonts w:hint="eastAsia" w:ascii="仿宋_GB2312" w:hAnsi="仿宋_GB2312" w:eastAsia="仿宋_GB2312" w:cs="仿宋_GB2312"/>
          <w:b w:val="0"/>
          <w:i w:val="0"/>
          <w:iCs w:val="0"/>
          <w:kern w:val="2"/>
          <w:sz w:val="30"/>
          <w:szCs w:val="30"/>
          <w:lang w:val="en-US" w:eastAsia="zh-CN"/>
        </w:rPr>
        <w:t>”、“</w:t>
      </w:r>
      <w:r>
        <w:rPr>
          <w:rFonts w:hint="default" w:ascii="仿宋_GB2312" w:hAnsi="仿宋_GB2312" w:eastAsia="仿宋_GB2312" w:cs="仿宋_GB2312"/>
          <w:b w:val="0"/>
          <w:i w:val="0"/>
          <w:iCs w:val="0"/>
          <w:kern w:val="2"/>
          <w:sz w:val="30"/>
          <w:szCs w:val="30"/>
          <w:lang w:val="en-US" w:eastAsia="zh-CN"/>
        </w:rPr>
        <w:t>6+1</w:t>
      </w:r>
      <w:r>
        <w:rPr>
          <w:rFonts w:hint="eastAsia" w:ascii="仿宋_GB2312" w:hAnsi="仿宋_GB2312" w:eastAsia="仿宋_GB2312" w:cs="仿宋_GB2312"/>
          <w:b w:val="0"/>
          <w:i w:val="0"/>
          <w:iCs w:val="0"/>
          <w:kern w:val="2"/>
          <w:sz w:val="30"/>
          <w:szCs w:val="30"/>
          <w:lang w:val="en-US" w:eastAsia="zh-CN"/>
        </w:rPr>
        <w:t>”类政务服务事项进行全面梳理，进一步完善“</w:t>
      </w:r>
      <w:r>
        <w:rPr>
          <w:rFonts w:hint="default" w:ascii="仿宋_GB2312" w:hAnsi="仿宋_GB2312" w:eastAsia="仿宋_GB2312" w:cs="仿宋_GB2312"/>
          <w:b w:val="0"/>
          <w:i w:val="0"/>
          <w:iCs w:val="0"/>
          <w:kern w:val="2"/>
          <w:sz w:val="30"/>
          <w:szCs w:val="30"/>
          <w:lang w:val="en-US" w:eastAsia="zh-CN"/>
        </w:rPr>
        <w:t>6+1</w:t>
      </w:r>
      <w:r>
        <w:rPr>
          <w:rFonts w:hint="eastAsia" w:ascii="仿宋_GB2312" w:hAnsi="仿宋_GB2312" w:eastAsia="仿宋_GB2312" w:cs="仿宋_GB2312"/>
          <w:b w:val="0"/>
          <w:i w:val="0"/>
          <w:iCs w:val="0"/>
          <w:kern w:val="2"/>
          <w:sz w:val="30"/>
          <w:szCs w:val="30"/>
          <w:lang w:val="en-US" w:eastAsia="zh-CN"/>
        </w:rPr>
        <w:t>”类政务服务事项《办事指南》，并将确认的区级948项政务服务事项清单及办事指南录入政务审批平台，实现进库、匹配和省平台及国家平台对接。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二）进一步做好政务大厅的效能监督工作。按照《海棠区优化政务服务工作方案》任务分工和要求，中心重新制定印发实施《三亚市海棠区政务服务中心服务窗口工作人员绩效考核实施暂行办法》，进一步加强区政务服务大厅规范化管理，客观公正地评价窗口工作人员开展行政审批（服务）的工作情况，规范行政审批（服务）行为，进一步提高服务质量和行政效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三）做好“互联网+监管”工作。按照三亚市行政审批制度改革工作领导小组办公室统一安排部署，积极协调区各相关单位在海南省“互联网+监管”系统中维护并动态管理更新好本单位监管目录清单和检查实施清单，及时录入监管行为数据。截止</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年12月31日，我区共有</w:t>
      </w:r>
      <w:r>
        <w:rPr>
          <w:rFonts w:hint="default" w:ascii="仿宋_GB2312" w:hAnsi="仿宋_GB2312" w:eastAsia="仿宋_GB2312" w:cs="仿宋_GB2312"/>
          <w:b w:val="0"/>
          <w:i w:val="0"/>
          <w:iCs w:val="0"/>
          <w:kern w:val="2"/>
          <w:sz w:val="30"/>
          <w:szCs w:val="30"/>
          <w:lang w:val="en-US" w:eastAsia="zh-CN"/>
        </w:rPr>
        <w:t>24</w:t>
      </w:r>
      <w:r>
        <w:rPr>
          <w:rFonts w:hint="eastAsia" w:ascii="仿宋_GB2312" w:hAnsi="仿宋_GB2312" w:eastAsia="仿宋_GB2312" w:cs="仿宋_GB2312"/>
          <w:b w:val="0"/>
          <w:i w:val="0"/>
          <w:iCs w:val="0"/>
          <w:kern w:val="2"/>
          <w:sz w:val="30"/>
          <w:szCs w:val="30"/>
          <w:lang w:val="en-US" w:eastAsia="zh-CN"/>
        </w:rPr>
        <w:t>个单位配备“互联网+监管”系统平台账号，新增、认领监管目录事项</w:t>
      </w:r>
      <w:r>
        <w:rPr>
          <w:rFonts w:hint="default" w:ascii="仿宋_GB2312" w:hAnsi="仿宋_GB2312" w:eastAsia="仿宋_GB2312" w:cs="仿宋_GB2312"/>
          <w:b w:val="0"/>
          <w:i w:val="0"/>
          <w:iCs w:val="0"/>
          <w:kern w:val="2"/>
          <w:sz w:val="30"/>
          <w:szCs w:val="30"/>
          <w:lang w:val="en-US" w:eastAsia="zh-CN"/>
        </w:rPr>
        <w:t>29</w:t>
      </w:r>
      <w:r>
        <w:rPr>
          <w:rFonts w:hint="eastAsia" w:ascii="仿宋_GB2312" w:hAnsi="仿宋_GB2312" w:eastAsia="仿宋_GB2312" w:cs="仿宋_GB2312"/>
          <w:b w:val="0"/>
          <w:i w:val="0"/>
          <w:iCs w:val="0"/>
          <w:kern w:val="2"/>
          <w:sz w:val="30"/>
          <w:szCs w:val="30"/>
          <w:lang w:val="en-US" w:eastAsia="zh-CN"/>
        </w:rPr>
        <w:t>0项，录入检查实施清单189项，添加执法人员</w:t>
      </w:r>
      <w:r>
        <w:rPr>
          <w:rFonts w:hint="default" w:ascii="仿宋_GB2312" w:hAnsi="仿宋_GB2312" w:eastAsia="仿宋_GB2312" w:cs="仿宋_GB2312"/>
          <w:b w:val="0"/>
          <w:i w:val="0"/>
          <w:iCs w:val="0"/>
          <w:kern w:val="2"/>
          <w:sz w:val="30"/>
          <w:szCs w:val="30"/>
          <w:lang w:val="en-US" w:eastAsia="zh-CN"/>
        </w:rPr>
        <w:t>71</w:t>
      </w:r>
      <w:r>
        <w:rPr>
          <w:rFonts w:hint="eastAsia" w:ascii="仿宋_GB2312" w:hAnsi="仿宋_GB2312" w:eastAsia="仿宋_GB2312" w:cs="仿宋_GB2312"/>
          <w:b w:val="0"/>
          <w:i w:val="0"/>
          <w:iCs w:val="0"/>
          <w:kern w:val="2"/>
          <w:sz w:val="30"/>
          <w:szCs w:val="30"/>
          <w:lang w:val="en-US" w:eastAsia="zh-CN"/>
        </w:rPr>
        <w:t>人，录入监管行为数据1420条。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四）扩大“全区通办”范围，实行窗口前移。积极配合区行政审批局优化我区行政审批服务环境，解决群众办事“最后一公里”问题。以南田居便民服务中心为试点，将大厅“一窗受理”与群众生活密切的审批服务事项下放，同时组织南田居便民中心工作人员到区政务大厅学习相关下放业务，进一步实现办事窗口前移，方便群众办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（五）做好“好差评”系统评价机制。根据《三亚市行政审批制度改革工作领导小组办公室关于开展省政务服务“好差评”系统对接工作的通知》（三审改办函【</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w:t>
      </w:r>
      <w:r>
        <w:rPr>
          <w:rFonts w:hint="default" w:ascii="仿宋_GB2312" w:hAnsi="仿宋_GB2312" w:eastAsia="仿宋_GB2312" w:cs="仿宋_GB2312"/>
          <w:b w:val="0"/>
          <w:i w:val="0"/>
          <w:iCs w:val="0"/>
          <w:kern w:val="2"/>
          <w:sz w:val="30"/>
          <w:szCs w:val="30"/>
          <w:lang w:val="en-US" w:eastAsia="zh-CN"/>
        </w:rPr>
        <w:t>62</w:t>
      </w:r>
      <w:r>
        <w:rPr>
          <w:rFonts w:hint="eastAsia" w:ascii="仿宋_GB2312" w:hAnsi="仿宋_GB2312" w:eastAsia="仿宋_GB2312" w:cs="仿宋_GB2312"/>
          <w:b w:val="0"/>
          <w:i w:val="0"/>
          <w:iCs w:val="0"/>
          <w:kern w:val="2"/>
          <w:sz w:val="30"/>
          <w:szCs w:val="30"/>
          <w:lang w:val="en-US" w:eastAsia="zh-CN"/>
        </w:rPr>
        <w:t>号）文件要求，积极做好区级政务大厅“好差评”系统评价相关工作。目前，政务大厅共计</w:t>
      </w:r>
      <w:r>
        <w:rPr>
          <w:rFonts w:hint="default" w:ascii="仿宋_GB2312" w:hAnsi="仿宋_GB2312" w:eastAsia="仿宋_GB2312" w:cs="仿宋_GB2312"/>
          <w:b w:val="0"/>
          <w:i w:val="0"/>
          <w:iCs w:val="0"/>
          <w:kern w:val="2"/>
          <w:sz w:val="30"/>
          <w:szCs w:val="30"/>
          <w:lang w:val="en-US" w:eastAsia="zh-CN"/>
        </w:rPr>
        <w:t>19</w:t>
      </w:r>
      <w:r>
        <w:rPr>
          <w:rFonts w:hint="eastAsia" w:ascii="仿宋_GB2312" w:hAnsi="仿宋_GB2312" w:eastAsia="仿宋_GB2312" w:cs="仿宋_GB2312"/>
          <w:b w:val="0"/>
          <w:i w:val="0"/>
          <w:iCs w:val="0"/>
          <w:kern w:val="2"/>
          <w:sz w:val="30"/>
          <w:szCs w:val="30"/>
          <w:lang w:val="en-US" w:eastAsia="zh-CN"/>
        </w:rPr>
        <w:t>个窗口安装“好差评”系统评价器，更好的完善线上线下服务评价机制。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（六）梳理</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年权力清单。按照市审改办及市政务中心相关工作要求，配合区行政审批局协调区各相关单位梳理</w:t>
      </w:r>
      <w:r>
        <w:rPr>
          <w:rFonts w:hint="default" w:ascii="仿宋_GB2312" w:hAnsi="仿宋_GB2312" w:eastAsia="仿宋_GB2312" w:cs="仿宋_GB2312"/>
          <w:b w:val="0"/>
          <w:i w:val="0"/>
          <w:iCs w:val="0"/>
          <w:kern w:val="2"/>
          <w:sz w:val="30"/>
          <w:szCs w:val="30"/>
          <w:lang w:val="en-US" w:eastAsia="zh-CN"/>
        </w:rPr>
        <w:t>2020</w:t>
      </w:r>
      <w:r>
        <w:rPr>
          <w:rFonts w:hint="eastAsia" w:ascii="仿宋_GB2312" w:hAnsi="仿宋_GB2312" w:eastAsia="仿宋_GB2312" w:cs="仿宋_GB2312"/>
          <w:b w:val="0"/>
          <w:i w:val="0"/>
          <w:iCs w:val="0"/>
          <w:kern w:val="2"/>
          <w:sz w:val="30"/>
          <w:szCs w:val="30"/>
          <w:lang w:val="en-US" w:eastAsia="zh-CN"/>
        </w:rPr>
        <w:t>年权力清单。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default"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default" w:ascii="仿宋_GB2312" w:hAnsi="仿宋_GB2312" w:eastAsia="仿宋_GB2312" w:cs="仿宋_GB2312"/>
          <w:b w:val="0"/>
          <w:i w:val="0"/>
          <w:iCs w:val="0"/>
          <w:kern w:val="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default" w:ascii="仿宋_GB2312" w:hAnsi="仿宋_GB2312" w:eastAsia="仿宋_GB2312" w:cs="仿宋_GB2312"/>
          <w:b w:val="0"/>
          <w:i w:val="0"/>
          <w:iCs w:val="0"/>
          <w:kern w:val="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00" w:firstLineChars="200"/>
        <w:jc w:val="left"/>
        <w:textAlignment w:val="auto"/>
        <w:outlineLvl w:val="9"/>
        <w:rPr>
          <w:rFonts w:hint="eastAsia" w:ascii="仿宋_GB2312" w:hAnsi="仿宋_GB2312" w:eastAsia="仿宋_GB2312" w:cs="仿宋_GB2312"/>
          <w:b w:val="0"/>
          <w:i w:val="0"/>
          <w:iCs w:val="0"/>
          <w:kern w:val="2"/>
          <w:sz w:val="30"/>
          <w:szCs w:val="30"/>
          <w:lang w:val="en-US" w:eastAsia="zh-CN"/>
        </w:rPr>
      </w:pPr>
      <w:r>
        <w:rPr>
          <w:rFonts w:hint="eastAsia" w:ascii="仿宋_GB2312" w:hAnsi="仿宋_GB2312" w:eastAsia="仿宋_GB2312" w:cs="仿宋_GB2312"/>
          <w:b w:val="0"/>
          <w:i w:val="0"/>
          <w:iCs w:val="0"/>
          <w:kern w:val="2"/>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82998130">
    <w:nsid w:val="22BFD872"/>
    <w:multiLevelType w:val="singleLevel"/>
    <w:tmpl w:val="22BFD872"/>
    <w:lvl w:ilvl="0" w:tentative="1">
      <w:start w:val="1"/>
      <w:numFmt w:val="chineseCounting"/>
      <w:suff w:val="nothing"/>
      <w:lvlText w:val="%1、"/>
      <w:lvlJc w:val="left"/>
      <w:rPr>
        <w:rFonts w:hint="eastAsia"/>
      </w:rPr>
    </w:lvl>
  </w:abstractNum>
  <w:abstractNum w:abstractNumId="628769472">
    <w:nsid w:val="257A42C0"/>
    <w:multiLevelType w:val="singleLevel"/>
    <w:tmpl w:val="257A42C0"/>
    <w:lvl w:ilvl="0" w:tentative="1">
      <w:start w:val="6"/>
      <w:numFmt w:val="chineseCounting"/>
      <w:suff w:val="nothing"/>
      <w:lvlText w:val="%1、"/>
      <w:lvlJc w:val="left"/>
      <w:rPr>
        <w:rFonts w:hint="eastAsia"/>
      </w:rPr>
    </w:lvl>
  </w:abstractNum>
  <w:num w:numId="1">
    <w:abstractNumId w:val="582998130"/>
  </w:num>
  <w:num w:numId="2">
    <w:abstractNumId w:val="6287694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6011D"/>
    <w:rsid w:val="07A768F5"/>
    <w:rsid w:val="1F0A5AA9"/>
    <w:rsid w:val="4A36011D"/>
    <w:rsid w:val="6A8F4762"/>
    <w:rsid w:val="70892029"/>
    <w:rsid w:val="7A160F6F"/>
    <w:rsid w:val="7A5819F3"/>
    <w:rsid w:val="7CFE17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val="0"/>
      <w:jc w:val="both"/>
    </w:pPr>
    <w:rPr>
      <w:rFonts w:ascii="等线" w:hAnsi="等线" w:eastAsia="等线" w:cs="Times New Roman"/>
      <w:kern w:val="2"/>
      <w:sz w:val="21"/>
      <w:szCs w:val="22"/>
      <w:lang w:val="en-US" w:eastAsia="zh-CN"/>
    </w:rPr>
  </w:style>
  <w:style w:type="paragraph" w:styleId="2">
    <w:name w:val="heading 2"/>
    <w:basedOn w:val="1"/>
    <w:next w:val="1"/>
    <w:qFormat/>
    <w:uiPriority w:val="0"/>
    <w:pPr>
      <w:keepNext/>
      <w:outlineLvl w:val="1"/>
    </w:pPr>
    <w:rPr>
      <w:rFonts w:hint="default" w:ascii="Calibri Light" w:hAnsi="Calibri Light" w:eastAsia="宋体" w:cs="Times New Roman"/>
      <w:b/>
      <w:i/>
      <w:iCs/>
      <w:sz w:val="28"/>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NormalCharacter"/>
    <w:link w:val="1"/>
    <w:semiHidden/>
    <w:qFormat/>
    <w:uiPriority w:val="0"/>
    <w:rPr>
      <w:rFonts w:ascii="等线" w:hAnsi="等线" w:eastAsia="等线"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2021-10-29T03:46:00Z</dcterms:created>
  <dc:creator>lenovo</dc:creator>
  <cp:lastModifiedBy>刘苏慧</cp:lastModifiedBy>
  <dcterms:modified xsi:type="dcterms:W3CDTF">2023-05-14T13:46:55Z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