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333333"/>
          <w:kern w:val="0"/>
          <w:sz w:val="48"/>
          <w:szCs w:val="48"/>
          <w:lang w:val="en-US" w:eastAsia="zh-CN"/>
        </w:rPr>
      </w:pPr>
      <w:r>
        <w:rPr>
          <w:rFonts w:hint="eastAsia" w:ascii="宋体" w:hAnsi="宋体" w:eastAsia="宋体" w:cs="宋体"/>
          <w:b/>
          <w:color w:val="333333"/>
          <w:kern w:val="0"/>
          <w:sz w:val="48"/>
          <w:szCs w:val="48"/>
        </w:rPr>
        <w:t>海棠区旅游和文化广电体育局202</w:t>
      </w:r>
      <w:r>
        <w:rPr>
          <w:rFonts w:hint="eastAsia" w:ascii="宋体" w:hAnsi="宋体" w:eastAsia="宋体" w:cs="宋体"/>
          <w:b/>
          <w:color w:val="333333"/>
          <w:kern w:val="0"/>
          <w:sz w:val="48"/>
          <w:szCs w:val="48"/>
          <w:lang w:val="en-US" w:eastAsia="zh-CN"/>
        </w:rPr>
        <w:t>5</w:t>
      </w:r>
      <w:r>
        <w:rPr>
          <w:rFonts w:hint="eastAsia" w:ascii="宋体" w:hAnsi="宋体" w:eastAsia="宋体" w:cs="宋体"/>
          <w:b/>
          <w:color w:val="333333"/>
          <w:kern w:val="0"/>
          <w:sz w:val="48"/>
          <w:szCs w:val="48"/>
        </w:rPr>
        <w:t>年政府信息公开工作年度报告</w:t>
      </w:r>
      <w:r>
        <w:rPr>
          <w:rFonts w:hint="eastAsia" w:ascii="宋体" w:hAnsi="宋体" w:eastAsia="宋体" w:cs="宋体"/>
          <w:b/>
          <w:color w:val="333333"/>
          <w:kern w:val="0"/>
          <w:sz w:val="48"/>
          <w:szCs w:val="48"/>
          <w:lang w:val="en-US" w:eastAsia="zh-CN"/>
        </w:rPr>
        <w:t xml:space="preserve"> </w:t>
      </w:r>
    </w:p>
    <w:p>
      <w:pPr>
        <w:jc w:val="center"/>
        <w:rPr>
          <w:rFonts w:hint="eastAsia" w:ascii="宋体" w:hAnsi="宋体" w:eastAsia="宋体" w:cs="宋体"/>
          <w:b/>
          <w:color w:val="333333"/>
          <w:kern w:val="0"/>
          <w:sz w:val="48"/>
          <w:szCs w:val="48"/>
          <w:lang w:val="en-US" w:eastAsia="zh-CN"/>
        </w:rPr>
      </w:pPr>
    </w:p>
    <w:p>
      <w:pPr>
        <w:widowControl/>
        <w:numPr>
          <w:ilvl w:val="0"/>
          <w:numId w:val="0"/>
        </w:numPr>
        <w:shd w:val="clear" w:color="auto" w:fill="FFFFFF"/>
        <w:ind w:firstLine="482" w:firstLineChars="20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lang w:eastAsia="zh-CN"/>
        </w:rPr>
        <w:t>一、</w:t>
      </w:r>
      <w:r>
        <w:rPr>
          <w:rFonts w:hint="eastAsia" w:ascii="宋体" w:hAnsi="宋体" w:eastAsia="宋体" w:cs="宋体"/>
          <w:b/>
          <w:color w:val="333333"/>
          <w:kern w:val="0"/>
          <w:sz w:val="24"/>
          <w:szCs w:val="24"/>
        </w:rPr>
        <w:t>总体情况</w:t>
      </w:r>
    </w:p>
    <w:p>
      <w:pPr>
        <w:ind w:firstLine="480" w:firstLineChars="200"/>
        <w:jc w:val="both"/>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rPr>
        <w:t>根据《中华人民共和国政府信息公开条例》和《海南省政府信息公开办法》的规定，三亚市海棠区旅游和文化广电体育局编制了202</w:t>
      </w:r>
      <w:r>
        <w:rPr>
          <w:rFonts w:hint="eastAsia" w:ascii="宋体" w:hAnsi="宋体" w:eastAsia="宋体" w:cs="宋体"/>
          <w:color w:val="333333"/>
          <w:kern w:val="0"/>
          <w:sz w:val="24"/>
          <w:szCs w:val="24"/>
          <w:lang w:val="en-US" w:eastAsia="zh-CN"/>
        </w:rPr>
        <w:t>5</w:t>
      </w:r>
      <w:r>
        <w:rPr>
          <w:rFonts w:hint="eastAsia" w:ascii="宋体" w:hAnsi="宋体" w:eastAsia="宋体" w:cs="宋体"/>
          <w:color w:val="333333"/>
          <w:kern w:val="0"/>
          <w:sz w:val="24"/>
          <w:szCs w:val="24"/>
        </w:rPr>
        <w:t>年政府信息公开工作年度报告。本年报由概述、主动公开情况、依申请公开办理情况、行政复议和行政诉讼情况、存在的主要问题及改进措施等组成。本年报中所列数据的统计时限为202</w:t>
      </w:r>
      <w:r>
        <w:rPr>
          <w:rFonts w:hint="eastAsia" w:ascii="宋体" w:hAnsi="宋体" w:eastAsia="宋体" w:cs="宋体"/>
          <w:color w:val="333333"/>
          <w:kern w:val="0"/>
          <w:sz w:val="24"/>
          <w:szCs w:val="24"/>
          <w:lang w:val="en-US" w:eastAsia="zh-CN"/>
        </w:rPr>
        <w:t>5</w:t>
      </w:r>
      <w:r>
        <w:rPr>
          <w:rFonts w:hint="eastAsia" w:ascii="宋体" w:hAnsi="宋体" w:eastAsia="宋体" w:cs="宋体"/>
          <w:color w:val="333333"/>
          <w:kern w:val="0"/>
          <w:sz w:val="24"/>
          <w:szCs w:val="24"/>
        </w:rPr>
        <w:t>年1月1日至12月31日。202</w:t>
      </w:r>
      <w:r>
        <w:rPr>
          <w:rFonts w:hint="eastAsia" w:ascii="宋体" w:hAnsi="宋体" w:eastAsia="宋体" w:cs="宋体"/>
          <w:color w:val="333333"/>
          <w:kern w:val="0"/>
          <w:sz w:val="24"/>
          <w:szCs w:val="24"/>
          <w:lang w:val="en-US" w:eastAsia="zh-CN"/>
        </w:rPr>
        <w:t>5</w:t>
      </w:r>
      <w:r>
        <w:rPr>
          <w:rFonts w:hint="eastAsia" w:ascii="宋体" w:hAnsi="宋体" w:eastAsia="宋体" w:cs="宋体"/>
          <w:color w:val="333333"/>
          <w:kern w:val="0"/>
          <w:sz w:val="24"/>
          <w:szCs w:val="24"/>
        </w:rPr>
        <w:t>年，三亚市海棠区旅游和文化广电体育局（以下简称区旅文局）认真贯彻落实《中华人民共和国政府信息公开条例》等有关规定，并在区委、区政府的正确领导下，深入贯彻党的</w:t>
      </w:r>
      <w:r>
        <w:rPr>
          <w:rFonts w:hint="eastAsia" w:ascii="宋体" w:hAnsi="宋体" w:eastAsia="宋体" w:cs="宋体"/>
          <w:color w:val="333333"/>
          <w:kern w:val="0"/>
          <w:sz w:val="24"/>
          <w:szCs w:val="24"/>
          <w:lang w:eastAsia="zh-CN"/>
        </w:rPr>
        <w:t>二十届三中、四中全会精神</w:t>
      </w:r>
      <w:r>
        <w:rPr>
          <w:rFonts w:hint="eastAsia" w:ascii="宋体" w:hAnsi="宋体" w:eastAsia="宋体" w:cs="宋体"/>
          <w:color w:val="333333"/>
          <w:kern w:val="0"/>
          <w:sz w:val="24"/>
          <w:szCs w:val="24"/>
        </w:rPr>
        <w:t>，根据省政府、市政府关于做好信息公开工作的要求，明确信息公开的指导思想、公开原则、工作职责、工作目标、工作要求。逐步完善各项工作措施，着力加强信息平台的建设、网站日常的更新和维护等工作</w:t>
      </w:r>
      <w:r>
        <w:rPr>
          <w:rFonts w:hint="eastAsia" w:ascii="宋体" w:hAnsi="宋体" w:eastAsia="宋体" w:cs="宋体"/>
          <w:color w:val="333333"/>
          <w:kern w:val="0"/>
          <w:sz w:val="24"/>
          <w:szCs w:val="24"/>
          <w:lang w:eastAsia="zh-CN"/>
        </w:rPr>
        <w:t>。</w:t>
      </w:r>
    </w:p>
    <w:p>
      <w:pPr>
        <w:numPr>
          <w:ilvl w:val="0"/>
          <w:numId w:val="1"/>
        </w:numPr>
        <w:ind w:firstLine="480" w:firstLineChars="200"/>
        <w:jc w:val="both"/>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完善部门信息公开管理</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rPr>
        <w:t>一是进一步完善政府部门信息常态化管理机制，不断建立健全政务信息制作、公开、存档等制度，探索对政务信息进行全生命周期的规范管理。二是进一步加强重要政务信息的管理。</w:t>
      </w:r>
    </w:p>
    <w:p>
      <w:pPr>
        <w:numPr>
          <w:ilvl w:val="0"/>
          <w:numId w:val="1"/>
        </w:numPr>
        <w:ind w:left="0" w:leftChars="0" w:firstLine="480" w:firstLineChars="200"/>
        <w:jc w:val="both"/>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加强宣传和培训工作</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rPr>
        <w:t>为扩大我局政府部门信息公开工作的影响，把深入学习宣传《中华人民共和国政府信息公开条例》作为一项重要工作，摆上议事日程。组织专题培训，学习《条例》的立法精神、主要内容、重要意义，政府部门信息公开目录的编制目的、内容和要求。使工作人员了解政府部门信息公开的各项制度，自觉学习，熟悉各项制度，把握文件的精神实质，把政府部门信息公开的要求融入到各项工作之中，提高工作的水平和质量。</w:t>
      </w:r>
    </w:p>
    <w:p>
      <w:pPr>
        <w:numPr>
          <w:ilvl w:val="0"/>
          <w:numId w:val="0"/>
        </w:numPr>
        <w:ind w:firstLine="480" w:firstLineChars="200"/>
        <w:jc w:val="both"/>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rPr>
        <w:t>（三）优化服务、建设新媒体促进信息新媒体融合，我局充分利用“</w:t>
      </w:r>
      <w:r>
        <w:rPr>
          <w:rFonts w:hint="eastAsia" w:ascii="宋体" w:hAnsi="宋体" w:eastAsia="宋体" w:cs="宋体"/>
          <w:color w:val="333333"/>
          <w:kern w:val="0"/>
          <w:sz w:val="24"/>
          <w:szCs w:val="24"/>
          <w:lang w:eastAsia="zh-CN"/>
        </w:rPr>
        <w:t>海棠旅文</w:t>
      </w:r>
      <w:r>
        <w:rPr>
          <w:rFonts w:hint="eastAsia" w:ascii="宋体" w:hAnsi="宋体" w:eastAsia="宋体" w:cs="宋体"/>
          <w:color w:val="333333"/>
          <w:kern w:val="0"/>
          <w:sz w:val="24"/>
          <w:szCs w:val="24"/>
        </w:rPr>
        <w:t>”</w:t>
      </w:r>
      <w:bookmarkStart w:id="0" w:name="_GoBack"/>
      <w:bookmarkEnd w:id="0"/>
      <w:r>
        <w:rPr>
          <w:rFonts w:hint="eastAsia" w:ascii="宋体" w:hAnsi="宋体" w:eastAsia="宋体" w:cs="宋体"/>
          <w:color w:val="333333"/>
          <w:kern w:val="0"/>
          <w:sz w:val="24"/>
          <w:szCs w:val="24"/>
        </w:rPr>
        <w:t>官方微信公众号，及时发布、解读文化和旅游领域的重要政策向公众介绍湾区内重点工作进展情况以及相关活动资讯，确保广大市民游客可以了解到第一手的文旅信息。同时，认真贯彻落实好新媒体的监督管理，建立规范的信息发布审核机制，确保发布内容准确、正面，并积极运用新媒体手段推进信息公开和创新办事服务。通过以上措施，更好地满足公众对信息的需求，提供更高效便捷的服务。</w:t>
      </w:r>
      <w:r>
        <w:rPr>
          <w:rFonts w:hint="eastAsia" w:ascii="宋体" w:hAnsi="宋体" w:eastAsia="宋体" w:cs="宋体"/>
          <w:color w:val="333333"/>
          <w:kern w:val="0"/>
          <w:sz w:val="24"/>
          <w:szCs w:val="24"/>
          <w:lang w:val="en-US" w:eastAsia="zh-CN"/>
        </w:rPr>
        <w:t>2025年“海棠旅文”微信公众号发布838篇，粉丝人数累计达到32605人。</w:t>
      </w:r>
      <w:r>
        <w:rPr>
          <w:rFonts w:hint="eastAsia" w:ascii="宋体" w:hAnsi="宋体" w:eastAsia="宋体" w:cs="宋体"/>
          <w:color w:val="333333"/>
          <w:kern w:val="0"/>
          <w:sz w:val="24"/>
          <w:szCs w:val="24"/>
        </w:rPr>
        <w:t>2025年全年，我局共计接到</w:t>
      </w:r>
      <w:r>
        <w:rPr>
          <w:rFonts w:hint="eastAsia" w:ascii="宋体" w:hAnsi="宋体" w:eastAsia="宋体" w:cs="宋体"/>
          <w:color w:val="333333"/>
          <w:kern w:val="0"/>
          <w:sz w:val="24"/>
          <w:szCs w:val="24"/>
          <w:lang w:eastAsia="zh-CN"/>
        </w:rPr>
        <w:t>平台</w:t>
      </w:r>
      <w:r>
        <w:rPr>
          <w:rFonts w:hint="eastAsia" w:ascii="宋体" w:hAnsi="宋体" w:eastAsia="宋体" w:cs="宋体"/>
          <w:color w:val="333333"/>
          <w:kern w:val="0"/>
          <w:sz w:val="24"/>
          <w:szCs w:val="24"/>
        </w:rPr>
        <w:t>投诉10784起，办结10784起（投诉类型：退订类7160起。服务类3624起）</w:t>
      </w:r>
      <w:r>
        <w:rPr>
          <w:rFonts w:hint="eastAsia" w:ascii="宋体" w:hAnsi="宋体" w:eastAsia="宋体" w:cs="宋体"/>
          <w:color w:val="333333"/>
          <w:kern w:val="0"/>
          <w:sz w:val="24"/>
          <w:szCs w:val="24"/>
          <w:lang w:eastAsia="zh-CN"/>
        </w:rPr>
        <w:t>。</w:t>
      </w:r>
    </w:p>
    <w:p>
      <w:pPr>
        <w:widowControl/>
        <w:numPr>
          <w:ilvl w:val="0"/>
          <w:numId w:val="2"/>
        </w:numPr>
        <w:shd w:val="clear" w:color="auto" w:fill="FFFFFF"/>
        <w:spacing w:after="240"/>
        <w:ind w:firstLine="48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主动公开政府信息情况</w:t>
      </w:r>
    </w:p>
    <w:tbl>
      <w:tblPr>
        <w:tblStyle w:val="2"/>
        <w:tblW w:w="8140" w:type="dxa"/>
        <w:jc w:val="center"/>
        <w:tblInd w:w="0" w:type="dxa"/>
        <w:tblLayout w:type="fixed"/>
        <w:tblCellMar>
          <w:top w:w="0" w:type="dxa"/>
          <w:left w:w="0" w:type="dxa"/>
          <w:bottom w:w="0" w:type="dxa"/>
          <w:right w:w="0" w:type="dxa"/>
        </w:tblCellMar>
      </w:tblPr>
      <w:tblGrid>
        <w:gridCol w:w="3113"/>
        <w:gridCol w:w="1875"/>
        <w:gridCol w:w="1271"/>
        <w:gridCol w:w="1881"/>
      </w:tblGrid>
      <w:tr>
        <w:tblPrEx>
          <w:tblLayout w:type="fixed"/>
          <w:tblCellMar>
            <w:top w:w="0" w:type="dxa"/>
            <w:left w:w="0" w:type="dxa"/>
            <w:bottom w:w="0" w:type="dxa"/>
            <w:right w:w="0"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tblPrEx>
          <w:tblLayout w:type="fixed"/>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本年</w:t>
            </w:r>
          </w:p>
          <w:p>
            <w:pPr>
              <w:widowControl/>
              <w:jc w:val="center"/>
              <w:rPr>
                <w:rFonts w:ascii="宋体" w:hAnsi="宋体" w:eastAsia="宋体" w:cs="宋体"/>
                <w:kern w:val="0"/>
                <w:sz w:val="24"/>
                <w:szCs w:val="24"/>
              </w:rPr>
            </w:pPr>
            <w:r>
              <w:rPr>
                <w:rFonts w:ascii="宋体" w:hAnsi="宋体" w:eastAsia="宋体" w:cs="宋体"/>
                <w:color w:val="000000"/>
                <w:kern w:val="0"/>
                <w:sz w:val="20"/>
                <w:szCs w:val="20"/>
              </w:rPr>
              <w:t>制</w:t>
            </w:r>
            <w:r>
              <w:rPr>
                <w:rFonts w:hint="eastAsia" w:ascii="宋体" w:hAnsi="宋体" w:eastAsia="宋体" w:cs="宋体"/>
                <w:color w:val="000000"/>
                <w:kern w:val="0"/>
                <w:sz w:val="20"/>
                <w:szCs w:val="20"/>
              </w:rPr>
              <w:t>发件</w:t>
            </w:r>
            <w:r>
              <w:rPr>
                <w:rFonts w:ascii="宋体" w:hAnsi="宋体" w:eastAsia="宋体" w:cs="宋体"/>
                <w:color w:val="000000"/>
                <w:kern w:val="0"/>
                <w:sz w:val="20"/>
                <w:szCs w:val="20"/>
              </w:rPr>
              <w:t>数</w:t>
            </w:r>
          </w:p>
        </w:tc>
        <w:tc>
          <w:tcPr>
            <w:tcW w:w="127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本年</w:t>
            </w:r>
          </w:p>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废止件数</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现行有效件数</w:t>
            </w:r>
          </w:p>
        </w:tc>
      </w:tr>
      <w:tr>
        <w:tblPrEx>
          <w:tblLayout w:type="fixed"/>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c>
          <w:tcPr>
            <w:tcW w:w="12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r>
      <w:tr>
        <w:tblPrEx>
          <w:tblLayout w:type="fixed"/>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c>
          <w:tcPr>
            <w:tcW w:w="12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r>
      <w:tr>
        <w:tblPrEx>
          <w:tblLayout w:type="fixed"/>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tblPrEx>
          <w:tblLayout w:type="fixed"/>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5027" w:type="dxa"/>
            <w:gridSpan w:val="3"/>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Layout w:type="fixed"/>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5027" w:type="dxa"/>
            <w:gridSpan w:val="3"/>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r>
      <w:tr>
        <w:tblPrEx>
          <w:tblLayout w:type="fixed"/>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tblPrEx>
          <w:tblLayout w:type="fixed"/>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5027" w:type="dxa"/>
            <w:gridSpan w:val="3"/>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Layout w:type="fixed"/>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5027" w:type="dxa"/>
            <w:gridSpan w:val="3"/>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r>
      <w:tr>
        <w:tblPrEx>
          <w:tblLayout w:type="fixed"/>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5027" w:type="dxa"/>
            <w:gridSpan w:val="3"/>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r>
      <w:tr>
        <w:tblPrEx>
          <w:tblLayout w:type="fixed"/>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tblPrEx>
          <w:tblLayout w:type="fixed"/>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5027" w:type="dxa"/>
            <w:gridSpan w:val="3"/>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tblPrEx>
          <w:tblLayout w:type="fixed"/>
          <w:tblCellMar>
            <w:top w:w="0" w:type="dxa"/>
            <w:left w:w="0" w:type="dxa"/>
            <w:bottom w:w="0" w:type="dxa"/>
            <w:right w:w="0" w:type="dxa"/>
          </w:tblCellMar>
        </w:tblPrEx>
        <w:trPr>
          <w:trHeight w:val="463"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5027" w:type="dxa"/>
            <w:gridSpan w:val="3"/>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r>
    </w:tbl>
    <w:p>
      <w:pPr>
        <w:widowControl/>
        <w:numPr>
          <w:ilvl w:val="0"/>
          <w:numId w:val="0"/>
        </w:numPr>
        <w:shd w:val="clear" w:color="auto" w:fill="FFFFFF"/>
        <w:spacing w:after="240"/>
        <w:rPr>
          <w:rFonts w:hint="eastAsia" w:ascii="宋体" w:hAnsi="宋体" w:eastAsia="宋体" w:cs="宋体"/>
          <w:b/>
          <w:color w:val="333333"/>
          <w:kern w:val="0"/>
          <w:sz w:val="24"/>
          <w:szCs w:val="24"/>
        </w:rPr>
      </w:pPr>
    </w:p>
    <w:p>
      <w:pPr>
        <w:widowControl/>
        <w:numPr>
          <w:ilvl w:val="0"/>
          <w:numId w:val="2"/>
        </w:numPr>
        <w:shd w:val="clear" w:color="auto" w:fill="FFFFFF"/>
        <w:spacing w:after="240"/>
        <w:ind w:left="0" w:leftChars="0" w:firstLine="480" w:firstLineChars="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收到和处理政府信息公开申请情况</w:t>
      </w:r>
    </w:p>
    <w:tbl>
      <w:tblPr>
        <w:tblStyle w:val="2"/>
        <w:tblW w:w="9071" w:type="dxa"/>
        <w:jc w:val="center"/>
        <w:tblInd w:w="0" w:type="dxa"/>
        <w:tblLayout w:type="fixed"/>
        <w:tblCellMar>
          <w:top w:w="0" w:type="dxa"/>
          <w:left w:w="0" w:type="dxa"/>
          <w:bottom w:w="0" w:type="dxa"/>
          <w:right w:w="0" w:type="dxa"/>
        </w:tblCellMar>
      </w:tblPr>
      <w:tblGrid>
        <w:gridCol w:w="616"/>
        <w:gridCol w:w="1628"/>
        <w:gridCol w:w="1181"/>
        <w:gridCol w:w="787"/>
        <w:gridCol w:w="783"/>
        <w:gridCol w:w="783"/>
        <w:gridCol w:w="787"/>
        <w:gridCol w:w="848"/>
        <w:gridCol w:w="783"/>
        <w:gridCol w:w="875"/>
      </w:tblGrid>
      <w:tr>
        <w:tblPrEx>
          <w:tblLayout w:type="fixed"/>
          <w:tblCellMar>
            <w:top w:w="0" w:type="dxa"/>
            <w:left w:w="0" w:type="dxa"/>
            <w:bottom w:w="0" w:type="dxa"/>
            <w:right w:w="0" w:type="dxa"/>
          </w:tblCellMar>
        </w:tblPrEx>
        <w:trPr>
          <w:jc w:val="center"/>
        </w:trPr>
        <w:tc>
          <w:tcPr>
            <w:tcW w:w="3425"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（本列数据的勾稽关系为：第一项加第二项之和，等于第三项加第四项之和）</w:t>
            </w:r>
          </w:p>
        </w:tc>
        <w:tc>
          <w:tcPr>
            <w:tcW w:w="5646"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申请人情况</w:t>
            </w:r>
          </w:p>
        </w:tc>
      </w:tr>
      <w:tr>
        <w:tblPrEx>
          <w:tblLayout w:type="fixed"/>
          <w:tblCellMar>
            <w:top w:w="0" w:type="dxa"/>
            <w:left w:w="0" w:type="dxa"/>
            <w:bottom w:w="0" w:type="dxa"/>
            <w:right w:w="0" w:type="dxa"/>
          </w:tblCellMar>
        </w:tblPrEx>
        <w:trPr>
          <w:jc w:val="center"/>
        </w:trPr>
        <w:tc>
          <w:tcPr>
            <w:tcW w:w="3425" w:type="dxa"/>
            <w:gridSpan w:val="3"/>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78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自然人</w:t>
            </w:r>
          </w:p>
        </w:tc>
        <w:tc>
          <w:tcPr>
            <w:tcW w:w="3984"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法人或其他组织</w:t>
            </w:r>
          </w:p>
        </w:tc>
        <w:tc>
          <w:tcPr>
            <w:tcW w:w="875"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总计</w:t>
            </w:r>
          </w:p>
        </w:tc>
      </w:tr>
      <w:tr>
        <w:tblPrEx>
          <w:tblLayout w:type="fixed"/>
          <w:tblCellMar>
            <w:top w:w="0" w:type="dxa"/>
            <w:left w:w="0" w:type="dxa"/>
            <w:bottom w:w="0" w:type="dxa"/>
            <w:right w:w="0" w:type="dxa"/>
          </w:tblCellMar>
        </w:tblPrEx>
        <w:trPr>
          <w:jc w:val="center"/>
        </w:trPr>
        <w:tc>
          <w:tcPr>
            <w:tcW w:w="3425" w:type="dxa"/>
            <w:gridSpan w:val="3"/>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787" w:type="dxa"/>
            <w:vMerge w:val="continue"/>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商业企业</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科研机构</w:t>
            </w:r>
          </w:p>
        </w:tc>
        <w:tc>
          <w:tcPr>
            <w:tcW w:w="78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社会公益组织</w:t>
            </w:r>
          </w:p>
        </w:tc>
        <w:tc>
          <w:tcPr>
            <w:tcW w:w="84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法律服务机构</w:t>
            </w:r>
          </w:p>
        </w:tc>
        <w:tc>
          <w:tcPr>
            <w:tcW w:w="78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其他</w:t>
            </w:r>
          </w:p>
        </w:tc>
        <w:tc>
          <w:tcPr>
            <w:tcW w:w="875" w:type="dxa"/>
            <w:vMerge w:val="continue"/>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r>
      <w:tr>
        <w:tblPrEx>
          <w:tblLayout w:type="fixed"/>
          <w:tblCellMar>
            <w:top w:w="0" w:type="dxa"/>
            <w:left w:w="0" w:type="dxa"/>
            <w:bottom w:w="0" w:type="dxa"/>
            <w:right w:w="0" w:type="dxa"/>
          </w:tblCellMar>
        </w:tblPrEx>
        <w:trPr>
          <w:jc w:val="center"/>
        </w:trPr>
        <w:tc>
          <w:tcPr>
            <w:tcW w:w="3425"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一、本年新收政府信息公开申请数量</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0</w:t>
            </w:r>
          </w:p>
        </w:tc>
        <w:tc>
          <w:tcPr>
            <w:tcW w:w="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0</w:t>
            </w:r>
          </w:p>
        </w:tc>
      </w:tr>
      <w:tr>
        <w:tblPrEx>
          <w:tblLayout w:type="fixed"/>
          <w:tblCellMar>
            <w:top w:w="0" w:type="dxa"/>
            <w:left w:w="0" w:type="dxa"/>
            <w:bottom w:w="0" w:type="dxa"/>
            <w:right w:w="0" w:type="dxa"/>
          </w:tblCellMar>
        </w:tblPrEx>
        <w:trPr>
          <w:jc w:val="center"/>
        </w:trPr>
        <w:tc>
          <w:tcPr>
            <w:tcW w:w="3425"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二、上年结转政府信息公开申请数量</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0</w:t>
            </w:r>
          </w:p>
        </w:tc>
        <w:tc>
          <w:tcPr>
            <w:tcW w:w="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0</w:t>
            </w:r>
          </w:p>
        </w:tc>
      </w:tr>
      <w:tr>
        <w:tblPrEx>
          <w:tblLayout w:type="fixed"/>
          <w:tblCellMar>
            <w:top w:w="0" w:type="dxa"/>
            <w:left w:w="0" w:type="dxa"/>
            <w:bottom w:w="0" w:type="dxa"/>
            <w:right w:w="0" w:type="dxa"/>
          </w:tblCellMar>
        </w:tblPrEx>
        <w:trPr>
          <w:jc w:val="center"/>
        </w:trPr>
        <w:tc>
          <w:tcPr>
            <w:tcW w:w="61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三、本年度办理结果</w:t>
            </w:r>
          </w:p>
        </w:tc>
        <w:tc>
          <w:tcPr>
            <w:tcW w:w="280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rFonts w:ascii="宋体" w:hAnsi="宋体" w:eastAsia="宋体" w:cs="Calibri"/>
                <w:kern w:val="0"/>
                <w:sz w:val="20"/>
                <w:szCs w:val="20"/>
              </w:rPr>
            </w:pPr>
            <w:r>
              <w:rPr>
                <w:rFonts w:hint="eastAsia" w:ascii="宋体" w:hAnsi="宋体" w:eastAsia="宋体" w:cs="Calibri"/>
                <w:kern w:val="0"/>
                <w:sz w:val="20"/>
                <w:szCs w:val="20"/>
              </w:rPr>
              <w:t>（一）予以公开</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7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280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（二）部分公开（区分处理的，只计这一情形，不计其他情形）</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162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（三）不予公开</w:t>
            </w:r>
          </w:p>
        </w:tc>
        <w:tc>
          <w:tcPr>
            <w:tcW w:w="1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1.属于国家秘密</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7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1628" w:type="dxa"/>
            <w:vMerge w:val="continue"/>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1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2.其他法律行政法规禁止公开</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1628" w:type="dxa"/>
            <w:vMerge w:val="continue"/>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1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3.危及“三安全一稳定”</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1628" w:type="dxa"/>
            <w:vMerge w:val="continue"/>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1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4.保护第三方合法权益</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1628" w:type="dxa"/>
            <w:vMerge w:val="continue"/>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1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5.属于三类内部事务信息</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1628" w:type="dxa"/>
            <w:vMerge w:val="continue"/>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1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6.属于四类过程性信息</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1628" w:type="dxa"/>
            <w:vMerge w:val="continue"/>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1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7.属于行政执法案卷</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1628" w:type="dxa"/>
            <w:vMerge w:val="continue"/>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1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8.属于行政查询事项</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162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（四）无法提供</w:t>
            </w:r>
          </w:p>
        </w:tc>
        <w:tc>
          <w:tcPr>
            <w:tcW w:w="1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1.本机关不掌握相关政府信息</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1628" w:type="dxa"/>
            <w:vMerge w:val="continue"/>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1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2.没有现成信息需要另行制作</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1628" w:type="dxa"/>
            <w:vMerge w:val="continue"/>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1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3.补正后申请内容仍不明确</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c>
          <w:tcPr>
            <w:tcW w:w="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ascii="宋体" w:hAnsi="宋体" w:eastAsia="宋体" w:cs="Calibri"/>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Calibri"/>
                <w:kern w:val="0"/>
                <w:sz w:val="20"/>
                <w:szCs w:val="20"/>
              </w:rPr>
            </w:pPr>
          </w:p>
        </w:tc>
        <w:tc>
          <w:tcPr>
            <w:tcW w:w="162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（五）不予处理</w:t>
            </w:r>
          </w:p>
        </w:tc>
        <w:tc>
          <w:tcPr>
            <w:tcW w:w="1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1.信访举报投诉类申请</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0</w:t>
            </w:r>
          </w:p>
        </w:tc>
        <w:tc>
          <w:tcPr>
            <w:tcW w:w="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Calibri"/>
                <w:kern w:val="0"/>
                <w:sz w:val="20"/>
                <w:szCs w:val="20"/>
              </w:rPr>
            </w:pPr>
            <w:r>
              <w:rPr>
                <w:rFonts w:hint="eastAsia" w:ascii="宋体" w:hAnsi="宋体" w:eastAsia="宋体" w:cs="Calibri"/>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kern w:val="0"/>
                <w:sz w:val="24"/>
                <w:szCs w:val="24"/>
              </w:rPr>
            </w:pPr>
          </w:p>
        </w:tc>
        <w:tc>
          <w:tcPr>
            <w:tcW w:w="1628" w:type="dxa"/>
            <w:vMerge w:val="continue"/>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24"/>
                <w:szCs w:val="24"/>
              </w:rPr>
            </w:pPr>
          </w:p>
        </w:tc>
        <w:tc>
          <w:tcPr>
            <w:tcW w:w="1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kern w:val="0"/>
                <w:sz w:val="24"/>
                <w:szCs w:val="24"/>
              </w:rPr>
            </w:pPr>
          </w:p>
        </w:tc>
        <w:tc>
          <w:tcPr>
            <w:tcW w:w="1628" w:type="dxa"/>
            <w:vMerge w:val="continue"/>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24"/>
                <w:szCs w:val="24"/>
              </w:rPr>
            </w:pPr>
          </w:p>
        </w:tc>
        <w:tc>
          <w:tcPr>
            <w:tcW w:w="1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kern w:val="0"/>
                <w:sz w:val="24"/>
                <w:szCs w:val="24"/>
              </w:rPr>
            </w:pPr>
          </w:p>
        </w:tc>
        <w:tc>
          <w:tcPr>
            <w:tcW w:w="1628" w:type="dxa"/>
            <w:vMerge w:val="continue"/>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24"/>
                <w:szCs w:val="24"/>
              </w:rPr>
            </w:pPr>
          </w:p>
        </w:tc>
        <w:tc>
          <w:tcPr>
            <w:tcW w:w="1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Calibri"/>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Calibri"/>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Calibri"/>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Calibri"/>
                <w:kern w:val="0"/>
                <w:sz w:val="20"/>
                <w:szCs w:val="20"/>
              </w:rPr>
              <w:t>0</w:t>
            </w:r>
          </w:p>
        </w:tc>
        <w:tc>
          <w:tcPr>
            <w:tcW w:w="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Calibri"/>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kern w:val="0"/>
                <w:sz w:val="24"/>
                <w:szCs w:val="24"/>
              </w:rPr>
            </w:pPr>
          </w:p>
        </w:tc>
        <w:tc>
          <w:tcPr>
            <w:tcW w:w="1628" w:type="dxa"/>
            <w:vMerge w:val="continue"/>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24"/>
                <w:szCs w:val="24"/>
              </w:rPr>
            </w:pPr>
          </w:p>
        </w:tc>
        <w:tc>
          <w:tcPr>
            <w:tcW w:w="1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kern w:val="0"/>
                <w:sz w:val="24"/>
                <w:szCs w:val="24"/>
              </w:rPr>
            </w:pPr>
          </w:p>
        </w:tc>
        <w:tc>
          <w:tcPr>
            <w:tcW w:w="1628" w:type="dxa"/>
            <w:vMerge w:val="restar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（六）其他处理</w:t>
            </w:r>
          </w:p>
        </w:tc>
        <w:tc>
          <w:tcPr>
            <w:tcW w:w="1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1.申请人无正当理由逾期不补正、行政机关不再处理其政府信息公开申请</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kern w:val="0"/>
                <w:sz w:val="24"/>
                <w:szCs w:val="24"/>
              </w:rPr>
            </w:pPr>
          </w:p>
        </w:tc>
        <w:tc>
          <w:tcPr>
            <w:tcW w:w="1628" w:type="dxa"/>
            <w:vMerge w:val="continue"/>
            <w:tcBorders>
              <w:left w:val="nil"/>
              <w:right w:val="single" w:color="auto" w:sz="8" w:space="0"/>
            </w:tcBorders>
            <w:shd w:val="clear" w:color="auto" w:fill="auto"/>
            <w:vAlign w:val="center"/>
          </w:tcPr>
          <w:p>
            <w:pPr>
              <w:widowControl/>
              <w:jc w:val="left"/>
              <w:rPr>
                <w:rFonts w:ascii="宋体" w:hAnsi="宋体" w:eastAsia="宋体" w:cs="宋体"/>
                <w:kern w:val="0"/>
                <w:sz w:val="24"/>
                <w:szCs w:val="24"/>
              </w:rPr>
            </w:pPr>
          </w:p>
        </w:tc>
        <w:tc>
          <w:tcPr>
            <w:tcW w:w="1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2.申请人逾期未按收费通知要求缴纳费用、行政机关不再处理其政府信息公开申请</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kern w:val="0"/>
                <w:sz w:val="24"/>
                <w:szCs w:val="24"/>
              </w:rPr>
            </w:pPr>
          </w:p>
        </w:tc>
        <w:tc>
          <w:tcPr>
            <w:tcW w:w="1628" w:type="dxa"/>
            <w:vMerge w:val="continue"/>
            <w:tcBorders>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24"/>
                <w:szCs w:val="24"/>
              </w:rPr>
            </w:pPr>
          </w:p>
        </w:tc>
        <w:tc>
          <w:tcPr>
            <w:tcW w:w="1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3.其他</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kern w:val="0"/>
                <w:sz w:val="24"/>
                <w:szCs w:val="24"/>
              </w:rPr>
            </w:pPr>
          </w:p>
        </w:tc>
        <w:tc>
          <w:tcPr>
            <w:tcW w:w="280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（七）总计</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r>
      <w:tr>
        <w:tblPrEx>
          <w:tblLayout w:type="fixed"/>
          <w:tblCellMar>
            <w:top w:w="0" w:type="dxa"/>
            <w:left w:w="0" w:type="dxa"/>
            <w:bottom w:w="0" w:type="dxa"/>
            <w:right w:w="0" w:type="dxa"/>
          </w:tblCellMar>
        </w:tblPrEx>
        <w:trPr>
          <w:jc w:val="center"/>
        </w:trPr>
        <w:tc>
          <w:tcPr>
            <w:tcW w:w="3425"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7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8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r>
    </w:tbl>
    <w:p>
      <w:pPr>
        <w:widowControl/>
        <w:numPr>
          <w:ilvl w:val="0"/>
          <w:numId w:val="0"/>
        </w:numPr>
        <w:shd w:val="clear" w:color="auto" w:fill="FFFFFF"/>
        <w:rPr>
          <w:rFonts w:hint="eastAsia" w:ascii="宋体" w:hAnsi="宋体" w:eastAsia="宋体" w:cs="宋体"/>
          <w:b/>
          <w:color w:val="333333"/>
          <w:kern w:val="0"/>
          <w:sz w:val="24"/>
          <w:szCs w:val="24"/>
        </w:rPr>
      </w:pPr>
    </w:p>
    <w:p>
      <w:pPr>
        <w:widowControl/>
        <w:numPr>
          <w:ilvl w:val="0"/>
          <w:numId w:val="0"/>
        </w:numPr>
        <w:shd w:val="clear" w:color="auto" w:fill="FFFFFF"/>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lang w:eastAsia="zh-CN"/>
        </w:rPr>
        <w:t>四、</w:t>
      </w:r>
      <w:r>
        <w:rPr>
          <w:rFonts w:hint="eastAsia" w:ascii="宋体" w:hAnsi="宋体" w:eastAsia="宋体" w:cs="宋体"/>
          <w:b/>
          <w:color w:val="333333"/>
          <w:kern w:val="0"/>
          <w:sz w:val="24"/>
          <w:szCs w:val="24"/>
        </w:rPr>
        <w:t>政府信息公开行政复议、行政诉讼情况</w:t>
      </w:r>
    </w:p>
    <w:p>
      <w:pPr>
        <w:widowControl/>
        <w:numPr>
          <w:ilvl w:val="0"/>
          <w:numId w:val="0"/>
        </w:numPr>
        <w:shd w:val="clear" w:color="auto" w:fill="FFFFFF"/>
        <w:rPr>
          <w:rFonts w:hint="eastAsia" w:ascii="宋体" w:hAnsi="宋体" w:eastAsia="宋体" w:cs="宋体"/>
          <w:b/>
          <w:color w:val="333333"/>
          <w:kern w:val="0"/>
          <w:sz w:val="24"/>
          <w:szCs w:val="24"/>
        </w:rPr>
      </w:pPr>
    </w:p>
    <w:tbl>
      <w:tblPr>
        <w:tblStyle w:val="2"/>
        <w:tblW w:w="9440" w:type="dxa"/>
        <w:jc w:val="center"/>
        <w:tblInd w:w="0" w:type="dxa"/>
        <w:tblLayout w:type="fixed"/>
        <w:tblCellMar>
          <w:top w:w="0" w:type="dxa"/>
          <w:left w:w="0" w:type="dxa"/>
          <w:bottom w:w="0" w:type="dxa"/>
          <w:right w:w="0" w:type="dxa"/>
        </w:tblCellMar>
      </w:tblPr>
      <w:tblGrid>
        <w:gridCol w:w="625"/>
        <w:gridCol w:w="625"/>
        <w:gridCol w:w="624"/>
        <w:gridCol w:w="624"/>
        <w:gridCol w:w="589"/>
        <w:gridCol w:w="703"/>
        <w:gridCol w:w="662"/>
        <w:gridCol w:w="622"/>
        <w:gridCol w:w="622"/>
        <w:gridCol w:w="622"/>
        <w:gridCol w:w="622"/>
        <w:gridCol w:w="623"/>
        <w:gridCol w:w="623"/>
        <w:gridCol w:w="624"/>
        <w:gridCol w:w="630"/>
      </w:tblGrid>
      <w:tr>
        <w:tblPrEx>
          <w:tblLayout w:type="fixed"/>
          <w:tblCellMar>
            <w:top w:w="0" w:type="dxa"/>
            <w:left w:w="0" w:type="dxa"/>
            <w:bottom w:w="0" w:type="dxa"/>
            <w:right w:w="0" w:type="dxa"/>
          </w:tblCellMar>
        </w:tblPrEx>
        <w:trPr>
          <w:jc w:val="center"/>
        </w:trPr>
        <w:tc>
          <w:tcPr>
            <w:tcW w:w="3087"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6353"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tblPrEx>
          <w:tblLayout w:type="fixed"/>
          <w:tblCellMar>
            <w:top w:w="0" w:type="dxa"/>
            <w:left w:w="0" w:type="dxa"/>
            <w:bottom w:w="0" w:type="dxa"/>
            <w:right w:w="0" w:type="dxa"/>
          </w:tblCellMar>
        </w:tblPrEx>
        <w:trPr>
          <w:jc w:val="center"/>
        </w:trPr>
        <w:tc>
          <w:tcPr>
            <w:tcW w:w="62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2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2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2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58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3231"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122"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tblPrEx>
          <w:tblLayout w:type="fixed"/>
          <w:tblCellMar>
            <w:top w:w="0" w:type="dxa"/>
            <w:left w:w="0" w:type="dxa"/>
            <w:bottom w:w="0" w:type="dxa"/>
            <w:right w:w="0" w:type="dxa"/>
          </w:tblCellMar>
        </w:tblPrEx>
        <w:trPr>
          <w:jc w:val="center"/>
        </w:trPr>
        <w:tc>
          <w:tcPr>
            <w:tcW w:w="625"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kern w:val="0"/>
                <w:sz w:val="24"/>
                <w:szCs w:val="24"/>
              </w:rPr>
            </w:pPr>
          </w:p>
        </w:tc>
        <w:tc>
          <w:tcPr>
            <w:tcW w:w="625" w:type="dxa"/>
            <w:vMerge w:val="continue"/>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24"/>
                <w:szCs w:val="24"/>
              </w:rPr>
            </w:pPr>
          </w:p>
        </w:tc>
        <w:tc>
          <w:tcPr>
            <w:tcW w:w="624" w:type="dxa"/>
            <w:vMerge w:val="continue"/>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24"/>
                <w:szCs w:val="24"/>
              </w:rPr>
            </w:pPr>
          </w:p>
        </w:tc>
        <w:tc>
          <w:tcPr>
            <w:tcW w:w="624" w:type="dxa"/>
            <w:vMerge w:val="continue"/>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24"/>
                <w:szCs w:val="24"/>
              </w:rPr>
            </w:pPr>
          </w:p>
        </w:tc>
        <w:tc>
          <w:tcPr>
            <w:tcW w:w="589" w:type="dxa"/>
            <w:vMerge w:val="continue"/>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24"/>
                <w:szCs w:val="24"/>
              </w:rPr>
            </w:pPr>
          </w:p>
        </w:tc>
        <w:tc>
          <w:tcPr>
            <w:tcW w:w="70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2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2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2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tblPrEx>
          <w:tblLayout w:type="fixed"/>
          <w:tblCellMar>
            <w:top w:w="0" w:type="dxa"/>
            <w:left w:w="0" w:type="dxa"/>
            <w:bottom w:w="0" w:type="dxa"/>
            <w:right w:w="0" w:type="dxa"/>
          </w:tblCellMar>
        </w:tblPrEx>
        <w:trPr>
          <w:jc w:val="center"/>
        </w:trPr>
        <w:tc>
          <w:tcPr>
            <w:tcW w:w="62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6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6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6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5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70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6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6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6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c>
          <w:tcPr>
            <w:tcW w:w="6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6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6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c>
          <w:tcPr>
            <w:tcW w:w="6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6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r>
    </w:tbl>
    <w:p>
      <w:pPr>
        <w:widowControl/>
        <w:numPr>
          <w:ilvl w:val="0"/>
          <w:numId w:val="0"/>
        </w:numPr>
        <w:shd w:val="clear" w:color="auto" w:fill="FFFFFF"/>
        <w:rPr>
          <w:rFonts w:hint="eastAsia" w:ascii="宋体" w:hAnsi="宋体" w:eastAsia="宋体" w:cs="宋体"/>
          <w:b/>
          <w:color w:val="333333"/>
          <w:kern w:val="0"/>
          <w:sz w:val="24"/>
          <w:szCs w:val="24"/>
        </w:rPr>
      </w:pPr>
    </w:p>
    <w:p>
      <w:pPr>
        <w:widowControl/>
        <w:shd w:val="clear" w:color="auto" w:fill="FFFFFF"/>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五、存在的主要问题及改进情况</w:t>
      </w:r>
    </w:p>
    <w:p>
      <w:pPr>
        <w:ind w:firstLine="480" w:firstLineChars="200"/>
        <w:jc w:val="both"/>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一、存在的主要问题</w:t>
      </w:r>
    </w:p>
    <w:p>
      <w:pPr>
        <w:ind w:firstLine="480" w:firstLineChars="200"/>
        <w:jc w:val="both"/>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一是人员建设层面。政务信息工作人员责任意识不足，专业业务能力亟待提升。二是公开实施层面。政务信息公开的形式与内容精细化、深化程度不够，核心重点信息未突出，公开针对性不强。三是新媒体运营层面。政务新媒体标准化、规范化建设水平不高，运营管理、内容发布等方面仍有提升空间。</w:t>
      </w:r>
    </w:p>
    <w:p>
      <w:pPr>
        <w:numPr>
          <w:ilvl w:val="0"/>
          <w:numId w:val="3"/>
        </w:numPr>
        <w:ind w:firstLine="480" w:firstLineChars="200"/>
        <w:jc w:val="both"/>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下一步改进措施</w:t>
      </w:r>
    </w:p>
    <w:p>
      <w:pPr>
        <w:numPr>
          <w:ilvl w:val="0"/>
          <w:numId w:val="0"/>
        </w:numPr>
        <w:jc w:val="both"/>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 xml:space="preserve">    一是，强化队伍建设，提升履职能力。健全政务公开组织机构，压实工作责任；通过开展多形式内部业务培训、组织参加外部专业培训等方式，全方位提升工作人员的责任意识和业务实操能力，务实工作基础。二是，优化工作机制，突出公开重点。进一步完善政务公开工作机制，系统梳理本局政务公开信息资源，聚焦群众关切的重点、热点问题，明确公开核心内容，确保与群众生产生活密切相关的政务信息及时、准确发布。三是规范新媒体运营，提升服务效能。健全政务新媒体运营管理体制机制，规范信息发布全流程，丰富功能设置与内容供给；严格落实发布审核制度，强化政民互动环节管理，提升回应群众咨询、诉求的及时性和有效性，推动政务新媒体规范化、有序化、高质量发展。</w:t>
      </w:r>
    </w:p>
    <w:p>
      <w:pPr>
        <w:widowControl/>
        <w:shd w:val="clear" w:color="auto" w:fill="FFFFFF"/>
        <w:ind w:firstLine="480"/>
        <w:rPr>
          <w:rFonts w:ascii="宋体" w:hAnsi="宋体" w:eastAsia="宋体" w:cs="宋体"/>
          <w:color w:val="333333"/>
          <w:kern w:val="0"/>
          <w:sz w:val="24"/>
          <w:szCs w:val="24"/>
        </w:rPr>
      </w:pPr>
      <w:r>
        <w:rPr>
          <w:rFonts w:hint="eastAsia" w:ascii="宋体" w:hAnsi="宋体" w:eastAsia="宋体" w:cs="宋体"/>
          <w:b/>
          <w:color w:val="333333"/>
          <w:kern w:val="0"/>
          <w:sz w:val="24"/>
          <w:szCs w:val="24"/>
        </w:rPr>
        <w:t>六、其他需要报告的事项</w:t>
      </w:r>
    </w:p>
    <w:p>
      <w:pPr>
        <w:jc w:val="both"/>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rPr>
        <w:t>202</w:t>
      </w:r>
      <w:r>
        <w:rPr>
          <w:rFonts w:hint="eastAsia" w:ascii="宋体" w:hAnsi="宋体" w:eastAsia="宋体" w:cs="宋体"/>
          <w:color w:val="333333"/>
          <w:kern w:val="0"/>
          <w:sz w:val="24"/>
          <w:szCs w:val="24"/>
          <w:lang w:val="en-US" w:eastAsia="zh-CN"/>
        </w:rPr>
        <w:t>5</w:t>
      </w:r>
      <w:r>
        <w:rPr>
          <w:rFonts w:hint="eastAsia" w:ascii="宋体" w:hAnsi="宋体" w:eastAsia="宋体" w:cs="宋体"/>
          <w:color w:val="333333"/>
          <w:kern w:val="0"/>
          <w:sz w:val="24"/>
          <w:szCs w:val="24"/>
        </w:rPr>
        <w:t>年，三亚市海棠区旅游和文化广电体育局无收取政府信息公开信息处理费的情况。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C088"/>
    <w:multiLevelType w:val="singleLevel"/>
    <w:tmpl w:val="0568C088"/>
    <w:lvl w:ilvl="0" w:tentative="0">
      <w:start w:val="2"/>
      <w:numFmt w:val="chineseCounting"/>
      <w:suff w:val="nothing"/>
      <w:lvlText w:val="%1、"/>
      <w:lvlJc w:val="left"/>
      <w:rPr>
        <w:rFonts w:hint="eastAsia"/>
      </w:rPr>
    </w:lvl>
  </w:abstractNum>
  <w:abstractNum w:abstractNumId="1">
    <w:nsid w:val="111757C0"/>
    <w:multiLevelType w:val="singleLevel"/>
    <w:tmpl w:val="111757C0"/>
    <w:lvl w:ilvl="0" w:tentative="0">
      <w:start w:val="2"/>
      <w:numFmt w:val="chineseCounting"/>
      <w:suff w:val="nothing"/>
      <w:lvlText w:val="%1、"/>
      <w:lvlJc w:val="left"/>
      <w:rPr>
        <w:rFonts w:hint="eastAsia"/>
      </w:rPr>
    </w:lvl>
  </w:abstractNum>
  <w:abstractNum w:abstractNumId="2">
    <w:nsid w:val="6A27935A"/>
    <w:multiLevelType w:val="singleLevel"/>
    <w:tmpl w:val="6A27935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451A"/>
    <w:rsid w:val="008D5A78"/>
    <w:rsid w:val="009C4A0E"/>
    <w:rsid w:val="00A2219A"/>
    <w:rsid w:val="00AB7A64"/>
    <w:rsid w:val="00AE5FAD"/>
    <w:rsid w:val="00E11C7F"/>
    <w:rsid w:val="01183B62"/>
    <w:rsid w:val="019E58B5"/>
    <w:rsid w:val="0204567E"/>
    <w:rsid w:val="029C1F55"/>
    <w:rsid w:val="02A47361"/>
    <w:rsid w:val="02C22194"/>
    <w:rsid w:val="03056101"/>
    <w:rsid w:val="03537505"/>
    <w:rsid w:val="040C2EBB"/>
    <w:rsid w:val="04380A7C"/>
    <w:rsid w:val="04CD34EE"/>
    <w:rsid w:val="050339C8"/>
    <w:rsid w:val="05257400"/>
    <w:rsid w:val="056F2CF7"/>
    <w:rsid w:val="0586291D"/>
    <w:rsid w:val="05A11814"/>
    <w:rsid w:val="05CB3411"/>
    <w:rsid w:val="05DB36AB"/>
    <w:rsid w:val="06254DA5"/>
    <w:rsid w:val="067D67E4"/>
    <w:rsid w:val="069872E2"/>
    <w:rsid w:val="069A6F62"/>
    <w:rsid w:val="06C45BA7"/>
    <w:rsid w:val="071D4EC0"/>
    <w:rsid w:val="075E7FA4"/>
    <w:rsid w:val="07986E84"/>
    <w:rsid w:val="07B40D33"/>
    <w:rsid w:val="07E910FD"/>
    <w:rsid w:val="08182E48"/>
    <w:rsid w:val="08517143"/>
    <w:rsid w:val="086C26E0"/>
    <w:rsid w:val="0884394A"/>
    <w:rsid w:val="0891161B"/>
    <w:rsid w:val="08973524"/>
    <w:rsid w:val="08FF1C4F"/>
    <w:rsid w:val="09157676"/>
    <w:rsid w:val="0925408D"/>
    <w:rsid w:val="09CD35A1"/>
    <w:rsid w:val="0A64281B"/>
    <w:rsid w:val="0A9D3C79"/>
    <w:rsid w:val="0AFD1714"/>
    <w:rsid w:val="0AFD4F98"/>
    <w:rsid w:val="0B5C2DB3"/>
    <w:rsid w:val="0B676BC5"/>
    <w:rsid w:val="0BCB0E68"/>
    <w:rsid w:val="0BD64C7B"/>
    <w:rsid w:val="0BDD4606"/>
    <w:rsid w:val="0C815114"/>
    <w:rsid w:val="0C984D39"/>
    <w:rsid w:val="0D643188"/>
    <w:rsid w:val="0D747B9F"/>
    <w:rsid w:val="0DAC6DFF"/>
    <w:rsid w:val="0DE436D6"/>
    <w:rsid w:val="0E2F02D2"/>
    <w:rsid w:val="0E43134A"/>
    <w:rsid w:val="0E4A2181"/>
    <w:rsid w:val="0E5D7B1D"/>
    <w:rsid w:val="0E673CAF"/>
    <w:rsid w:val="0E6A6868"/>
    <w:rsid w:val="0E907072"/>
    <w:rsid w:val="0EE67E01"/>
    <w:rsid w:val="0EFD76DC"/>
    <w:rsid w:val="0F0D7CC0"/>
    <w:rsid w:val="0F1A79CD"/>
    <w:rsid w:val="0F20565C"/>
    <w:rsid w:val="0F2E01F5"/>
    <w:rsid w:val="0F476BA1"/>
    <w:rsid w:val="0F684B57"/>
    <w:rsid w:val="0F752B68"/>
    <w:rsid w:val="0FCD487B"/>
    <w:rsid w:val="0FE679A4"/>
    <w:rsid w:val="1012756E"/>
    <w:rsid w:val="10985249"/>
    <w:rsid w:val="10AC0666"/>
    <w:rsid w:val="10B33874"/>
    <w:rsid w:val="10BE7687"/>
    <w:rsid w:val="1104237A"/>
    <w:rsid w:val="11162294"/>
    <w:rsid w:val="116B779F"/>
    <w:rsid w:val="116E3FA7"/>
    <w:rsid w:val="120963A4"/>
    <w:rsid w:val="12117034"/>
    <w:rsid w:val="122F07E2"/>
    <w:rsid w:val="12442D06"/>
    <w:rsid w:val="12531C9B"/>
    <w:rsid w:val="12AE4934"/>
    <w:rsid w:val="12ED1E9A"/>
    <w:rsid w:val="135463C6"/>
    <w:rsid w:val="137F1200"/>
    <w:rsid w:val="13DF4CA5"/>
    <w:rsid w:val="141D000D"/>
    <w:rsid w:val="142A18A2"/>
    <w:rsid w:val="143F5FC4"/>
    <w:rsid w:val="1462527F"/>
    <w:rsid w:val="14725519"/>
    <w:rsid w:val="1474429F"/>
    <w:rsid w:val="148B0641"/>
    <w:rsid w:val="149434CF"/>
    <w:rsid w:val="14B14FFE"/>
    <w:rsid w:val="14F75772"/>
    <w:rsid w:val="151C7F30"/>
    <w:rsid w:val="154126EF"/>
    <w:rsid w:val="15756040"/>
    <w:rsid w:val="15C26140"/>
    <w:rsid w:val="15C52948"/>
    <w:rsid w:val="15CD7D54"/>
    <w:rsid w:val="160114A8"/>
    <w:rsid w:val="160E65BF"/>
    <w:rsid w:val="16922F95"/>
    <w:rsid w:val="16C90EF1"/>
    <w:rsid w:val="16EB6EA7"/>
    <w:rsid w:val="16F41D35"/>
    <w:rsid w:val="17155AED"/>
    <w:rsid w:val="175120CE"/>
    <w:rsid w:val="17606E66"/>
    <w:rsid w:val="17B82D77"/>
    <w:rsid w:val="17C96895"/>
    <w:rsid w:val="17D4783E"/>
    <w:rsid w:val="17DF25AB"/>
    <w:rsid w:val="18150F13"/>
    <w:rsid w:val="182A48E4"/>
    <w:rsid w:val="1831173C"/>
    <w:rsid w:val="18453C60"/>
    <w:rsid w:val="18A85F03"/>
    <w:rsid w:val="18E90EEB"/>
    <w:rsid w:val="190817A0"/>
    <w:rsid w:val="19763FD2"/>
    <w:rsid w:val="19B5733A"/>
    <w:rsid w:val="19D96275"/>
    <w:rsid w:val="19DA3CF6"/>
    <w:rsid w:val="1A980C31"/>
    <w:rsid w:val="1A9F05BC"/>
    <w:rsid w:val="1AA44A44"/>
    <w:rsid w:val="1AFE5932"/>
    <w:rsid w:val="1B0B56ED"/>
    <w:rsid w:val="1B3B3CBE"/>
    <w:rsid w:val="1B4C7393"/>
    <w:rsid w:val="1B707610"/>
    <w:rsid w:val="1B710915"/>
    <w:rsid w:val="1B8575B5"/>
    <w:rsid w:val="1BA47E6A"/>
    <w:rsid w:val="1BE835D7"/>
    <w:rsid w:val="1BED245D"/>
    <w:rsid w:val="1C097B8F"/>
    <w:rsid w:val="1C546989"/>
    <w:rsid w:val="1C787E42"/>
    <w:rsid w:val="1CBD2B35"/>
    <w:rsid w:val="1CD63A5F"/>
    <w:rsid w:val="1CF94F18"/>
    <w:rsid w:val="1D1E3E53"/>
    <w:rsid w:val="1D453D13"/>
    <w:rsid w:val="1D5A0435"/>
    <w:rsid w:val="1D636B46"/>
    <w:rsid w:val="1DC53368"/>
    <w:rsid w:val="1E1024E2"/>
    <w:rsid w:val="1E1046E0"/>
    <w:rsid w:val="1E274306"/>
    <w:rsid w:val="1E5828D6"/>
    <w:rsid w:val="1EA374D2"/>
    <w:rsid w:val="1EAA6E5D"/>
    <w:rsid w:val="1EAE7A62"/>
    <w:rsid w:val="1EEA56C8"/>
    <w:rsid w:val="1F022D6F"/>
    <w:rsid w:val="1F0D1100"/>
    <w:rsid w:val="1F20231F"/>
    <w:rsid w:val="1F4956E2"/>
    <w:rsid w:val="1FD47844"/>
    <w:rsid w:val="201B383C"/>
    <w:rsid w:val="211017CA"/>
    <w:rsid w:val="21567D40"/>
    <w:rsid w:val="21590CC5"/>
    <w:rsid w:val="21800B85"/>
    <w:rsid w:val="219F1439"/>
    <w:rsid w:val="21BA3EA4"/>
    <w:rsid w:val="21BC2F68"/>
    <w:rsid w:val="22124DF5"/>
    <w:rsid w:val="22703D10"/>
    <w:rsid w:val="22C55999"/>
    <w:rsid w:val="22D0502F"/>
    <w:rsid w:val="22F464E8"/>
    <w:rsid w:val="23097387"/>
    <w:rsid w:val="234D23FA"/>
    <w:rsid w:val="240D11B3"/>
    <w:rsid w:val="242877DE"/>
    <w:rsid w:val="249E0AA2"/>
    <w:rsid w:val="25355EDB"/>
    <w:rsid w:val="256604EB"/>
    <w:rsid w:val="260747F1"/>
    <w:rsid w:val="263343BB"/>
    <w:rsid w:val="26583D33"/>
    <w:rsid w:val="2684763E"/>
    <w:rsid w:val="2695315B"/>
    <w:rsid w:val="27896EEB"/>
    <w:rsid w:val="279A2A09"/>
    <w:rsid w:val="27D86C6A"/>
    <w:rsid w:val="280C12C0"/>
    <w:rsid w:val="284169E9"/>
    <w:rsid w:val="284B6FA9"/>
    <w:rsid w:val="28696559"/>
    <w:rsid w:val="288C5814"/>
    <w:rsid w:val="294D58D2"/>
    <w:rsid w:val="29CE7125"/>
    <w:rsid w:val="2A193D21"/>
    <w:rsid w:val="2A1A17A3"/>
    <w:rsid w:val="2A357DCE"/>
    <w:rsid w:val="2A3D1958"/>
    <w:rsid w:val="2A783D3B"/>
    <w:rsid w:val="2A994270"/>
    <w:rsid w:val="2AAD2F10"/>
    <w:rsid w:val="2B3C2B7F"/>
    <w:rsid w:val="2B6D334E"/>
    <w:rsid w:val="2B7B6DE1"/>
    <w:rsid w:val="2BCE686B"/>
    <w:rsid w:val="2BD561F6"/>
    <w:rsid w:val="2C7F0C0D"/>
    <w:rsid w:val="2C8F472B"/>
    <w:rsid w:val="2CA87853"/>
    <w:rsid w:val="2CC9360B"/>
    <w:rsid w:val="2CFB185B"/>
    <w:rsid w:val="2D064369"/>
    <w:rsid w:val="2D953FD8"/>
    <w:rsid w:val="2DD3023A"/>
    <w:rsid w:val="2DDF5351"/>
    <w:rsid w:val="2E452AF7"/>
    <w:rsid w:val="2E460579"/>
    <w:rsid w:val="2E866DE4"/>
    <w:rsid w:val="2E9615FD"/>
    <w:rsid w:val="2EE72300"/>
    <w:rsid w:val="2F461143"/>
    <w:rsid w:val="2F4E2FA9"/>
    <w:rsid w:val="2F607BA9"/>
    <w:rsid w:val="2F6D1C05"/>
    <w:rsid w:val="2F7708EA"/>
    <w:rsid w:val="2F9B0EAA"/>
    <w:rsid w:val="2FA64CBD"/>
    <w:rsid w:val="2FAC3343"/>
    <w:rsid w:val="2FC67770"/>
    <w:rsid w:val="300D5966"/>
    <w:rsid w:val="305B7C64"/>
    <w:rsid w:val="306153F0"/>
    <w:rsid w:val="30767F8E"/>
    <w:rsid w:val="30933641"/>
    <w:rsid w:val="314011DB"/>
    <w:rsid w:val="315C308A"/>
    <w:rsid w:val="316C7AA1"/>
    <w:rsid w:val="317503B0"/>
    <w:rsid w:val="31A4347E"/>
    <w:rsid w:val="31C439B2"/>
    <w:rsid w:val="31D077C5"/>
    <w:rsid w:val="322E55E0"/>
    <w:rsid w:val="327921DC"/>
    <w:rsid w:val="32963D0B"/>
    <w:rsid w:val="32B62041"/>
    <w:rsid w:val="33005939"/>
    <w:rsid w:val="330D2A50"/>
    <w:rsid w:val="335B4D4D"/>
    <w:rsid w:val="336864BB"/>
    <w:rsid w:val="336A7566"/>
    <w:rsid w:val="33835F12"/>
    <w:rsid w:val="33910AAB"/>
    <w:rsid w:val="339616AF"/>
    <w:rsid w:val="33CF0D98"/>
    <w:rsid w:val="33DA6921"/>
    <w:rsid w:val="33E23D2D"/>
    <w:rsid w:val="34126A7A"/>
    <w:rsid w:val="34373437"/>
    <w:rsid w:val="34511DE2"/>
    <w:rsid w:val="34654306"/>
    <w:rsid w:val="3476679F"/>
    <w:rsid w:val="349B56DA"/>
    <w:rsid w:val="34E238D0"/>
    <w:rsid w:val="34FD577E"/>
    <w:rsid w:val="35424BEE"/>
    <w:rsid w:val="357331BF"/>
    <w:rsid w:val="35A1628C"/>
    <w:rsid w:val="35A74912"/>
    <w:rsid w:val="35B85EB2"/>
    <w:rsid w:val="361502FC"/>
    <w:rsid w:val="362B296D"/>
    <w:rsid w:val="366E215D"/>
    <w:rsid w:val="3695459B"/>
    <w:rsid w:val="36EC71A8"/>
    <w:rsid w:val="37292890"/>
    <w:rsid w:val="373B602E"/>
    <w:rsid w:val="375223CF"/>
    <w:rsid w:val="378D6D31"/>
    <w:rsid w:val="37B256AA"/>
    <w:rsid w:val="37BF4F82"/>
    <w:rsid w:val="37CB0D94"/>
    <w:rsid w:val="37DD7DB5"/>
    <w:rsid w:val="385357F5"/>
    <w:rsid w:val="3861258D"/>
    <w:rsid w:val="386C091E"/>
    <w:rsid w:val="388572C9"/>
    <w:rsid w:val="389771E3"/>
    <w:rsid w:val="38A22FF6"/>
    <w:rsid w:val="38FA1486"/>
    <w:rsid w:val="3908401F"/>
    <w:rsid w:val="39AC6D2C"/>
    <w:rsid w:val="39C82DD9"/>
    <w:rsid w:val="39D349ED"/>
    <w:rsid w:val="39D57EF0"/>
    <w:rsid w:val="39DD52FC"/>
    <w:rsid w:val="39FA48AC"/>
    <w:rsid w:val="3A324A06"/>
    <w:rsid w:val="3A4B33B2"/>
    <w:rsid w:val="3A5804C9"/>
    <w:rsid w:val="3A595F4B"/>
    <w:rsid w:val="3A5E6B4F"/>
    <w:rsid w:val="3A6058D6"/>
    <w:rsid w:val="3A744576"/>
    <w:rsid w:val="3AA008BD"/>
    <w:rsid w:val="3AC37B79"/>
    <w:rsid w:val="3AC8077D"/>
    <w:rsid w:val="3AD96499"/>
    <w:rsid w:val="3ADA3F1A"/>
    <w:rsid w:val="3B261E1B"/>
    <w:rsid w:val="3B6C128B"/>
    <w:rsid w:val="3B89663D"/>
    <w:rsid w:val="3B903A49"/>
    <w:rsid w:val="3BAA0D70"/>
    <w:rsid w:val="3BC21C9A"/>
    <w:rsid w:val="3BC52C1E"/>
    <w:rsid w:val="3C3B065F"/>
    <w:rsid w:val="3C740D90"/>
    <w:rsid w:val="3C8903DE"/>
    <w:rsid w:val="3C8F5B6A"/>
    <w:rsid w:val="3C9E2902"/>
    <w:rsid w:val="3CE00DEC"/>
    <w:rsid w:val="3D07322A"/>
    <w:rsid w:val="3D3C5C83"/>
    <w:rsid w:val="3DAB17BA"/>
    <w:rsid w:val="3DC52364"/>
    <w:rsid w:val="3DD34EFD"/>
    <w:rsid w:val="3DFF3C2D"/>
    <w:rsid w:val="3E0334CE"/>
    <w:rsid w:val="3E0B08DA"/>
    <w:rsid w:val="3E251484"/>
    <w:rsid w:val="3E35171E"/>
    <w:rsid w:val="3E4D6DC5"/>
    <w:rsid w:val="3E5C3B5C"/>
    <w:rsid w:val="3E762E96"/>
    <w:rsid w:val="3E800899"/>
    <w:rsid w:val="3EA00DCD"/>
    <w:rsid w:val="3ED847AB"/>
    <w:rsid w:val="3EF604D7"/>
    <w:rsid w:val="3F220916"/>
    <w:rsid w:val="3F602105"/>
    <w:rsid w:val="3F61340A"/>
    <w:rsid w:val="3FA702FB"/>
    <w:rsid w:val="3FCE5FBC"/>
    <w:rsid w:val="3FF160FB"/>
    <w:rsid w:val="402334C8"/>
    <w:rsid w:val="4026664B"/>
    <w:rsid w:val="402D5FD6"/>
    <w:rsid w:val="402E72DA"/>
    <w:rsid w:val="404104F9"/>
    <w:rsid w:val="40472403"/>
    <w:rsid w:val="405B6EA5"/>
    <w:rsid w:val="406C133E"/>
    <w:rsid w:val="407D28DD"/>
    <w:rsid w:val="40813935"/>
    <w:rsid w:val="4086576B"/>
    <w:rsid w:val="40BE1148"/>
    <w:rsid w:val="40D47A68"/>
    <w:rsid w:val="41154A0F"/>
    <w:rsid w:val="41217B68"/>
    <w:rsid w:val="41263FEF"/>
    <w:rsid w:val="4153163B"/>
    <w:rsid w:val="416910AD"/>
    <w:rsid w:val="418B5019"/>
    <w:rsid w:val="41A63644"/>
    <w:rsid w:val="41BD3269"/>
    <w:rsid w:val="41E14722"/>
    <w:rsid w:val="42004FD7"/>
    <w:rsid w:val="42410116"/>
    <w:rsid w:val="42693382"/>
    <w:rsid w:val="42993ED1"/>
    <w:rsid w:val="42DB23BC"/>
    <w:rsid w:val="42E5654F"/>
    <w:rsid w:val="42E73C50"/>
    <w:rsid w:val="430147FA"/>
    <w:rsid w:val="4357300A"/>
    <w:rsid w:val="4389705D"/>
    <w:rsid w:val="43A24383"/>
    <w:rsid w:val="43B2241F"/>
    <w:rsid w:val="43B57B21"/>
    <w:rsid w:val="43FB0295"/>
    <w:rsid w:val="44480394"/>
    <w:rsid w:val="44860EF6"/>
    <w:rsid w:val="44922254"/>
    <w:rsid w:val="44BA73CE"/>
    <w:rsid w:val="454C7889"/>
    <w:rsid w:val="455A36D4"/>
    <w:rsid w:val="4568626D"/>
    <w:rsid w:val="45B63DEE"/>
    <w:rsid w:val="45BE5977"/>
    <w:rsid w:val="45C9758C"/>
    <w:rsid w:val="461D4A97"/>
    <w:rsid w:val="46325936"/>
    <w:rsid w:val="46783EAC"/>
    <w:rsid w:val="46847CBF"/>
    <w:rsid w:val="46E666DE"/>
    <w:rsid w:val="46F53476"/>
    <w:rsid w:val="473345DF"/>
    <w:rsid w:val="47513B8F"/>
    <w:rsid w:val="47B84838"/>
    <w:rsid w:val="47E330FE"/>
    <w:rsid w:val="47E95008"/>
    <w:rsid w:val="47FA65A7"/>
    <w:rsid w:val="480126AE"/>
    <w:rsid w:val="481610D0"/>
    <w:rsid w:val="481E7A60"/>
    <w:rsid w:val="48A81BC2"/>
    <w:rsid w:val="48FC5DC9"/>
    <w:rsid w:val="48FE57AD"/>
    <w:rsid w:val="49206389"/>
    <w:rsid w:val="49300BA2"/>
    <w:rsid w:val="495132D5"/>
    <w:rsid w:val="495E1FB7"/>
    <w:rsid w:val="499A27D0"/>
    <w:rsid w:val="499D5953"/>
    <w:rsid w:val="49AF10F0"/>
    <w:rsid w:val="49B5687D"/>
    <w:rsid w:val="49FB5CEC"/>
    <w:rsid w:val="4A021E4C"/>
    <w:rsid w:val="4A105C92"/>
    <w:rsid w:val="4A152119"/>
    <w:rsid w:val="4A431964"/>
    <w:rsid w:val="4A880DD3"/>
    <w:rsid w:val="4AB5099E"/>
    <w:rsid w:val="4ABD162D"/>
    <w:rsid w:val="4ADD1B62"/>
    <w:rsid w:val="4B7E16EB"/>
    <w:rsid w:val="4B994494"/>
    <w:rsid w:val="4BC30B5B"/>
    <w:rsid w:val="4C7E128E"/>
    <w:rsid w:val="4CC92607"/>
    <w:rsid w:val="4CE17CAE"/>
    <w:rsid w:val="4CFA2DD6"/>
    <w:rsid w:val="4D1107FD"/>
    <w:rsid w:val="4D3651B9"/>
    <w:rsid w:val="4D4941DA"/>
    <w:rsid w:val="4DA06DE7"/>
    <w:rsid w:val="4DDE46CE"/>
    <w:rsid w:val="4DFC3C7E"/>
    <w:rsid w:val="4E46667C"/>
    <w:rsid w:val="4EE4617A"/>
    <w:rsid w:val="4EE64F00"/>
    <w:rsid w:val="4EF77399"/>
    <w:rsid w:val="4F707062"/>
    <w:rsid w:val="4F7F3DFA"/>
    <w:rsid w:val="4F901B16"/>
    <w:rsid w:val="4FC43269"/>
    <w:rsid w:val="4FF572BC"/>
    <w:rsid w:val="50190775"/>
    <w:rsid w:val="508436A7"/>
    <w:rsid w:val="508942AC"/>
    <w:rsid w:val="508F3C37"/>
    <w:rsid w:val="50A84B61"/>
    <w:rsid w:val="50AF1F6D"/>
    <w:rsid w:val="50B72BFD"/>
    <w:rsid w:val="50C77614"/>
    <w:rsid w:val="50F3175D"/>
    <w:rsid w:val="51093901"/>
    <w:rsid w:val="51193B9B"/>
    <w:rsid w:val="512841B5"/>
    <w:rsid w:val="51413A5A"/>
    <w:rsid w:val="515526FB"/>
    <w:rsid w:val="515B7E88"/>
    <w:rsid w:val="518C579C"/>
    <w:rsid w:val="519434E5"/>
    <w:rsid w:val="52283D58"/>
    <w:rsid w:val="52376571"/>
    <w:rsid w:val="525635A3"/>
    <w:rsid w:val="525D67B1"/>
    <w:rsid w:val="527F6965"/>
    <w:rsid w:val="528B2778"/>
    <w:rsid w:val="52BF2FD2"/>
    <w:rsid w:val="52E23187"/>
    <w:rsid w:val="532E5804"/>
    <w:rsid w:val="539677B2"/>
    <w:rsid w:val="53E83A59"/>
    <w:rsid w:val="53F16BC7"/>
    <w:rsid w:val="54417C4B"/>
    <w:rsid w:val="54745B1B"/>
    <w:rsid w:val="54AC72FA"/>
    <w:rsid w:val="551D2AB1"/>
    <w:rsid w:val="555D389B"/>
    <w:rsid w:val="557A53C9"/>
    <w:rsid w:val="559304F1"/>
    <w:rsid w:val="55B20DA6"/>
    <w:rsid w:val="55D4055B"/>
    <w:rsid w:val="55D52260"/>
    <w:rsid w:val="56204E20"/>
    <w:rsid w:val="56245862"/>
    <w:rsid w:val="56586FB6"/>
    <w:rsid w:val="565C123F"/>
    <w:rsid w:val="56750AE4"/>
    <w:rsid w:val="56C20BE3"/>
    <w:rsid w:val="56E06236"/>
    <w:rsid w:val="57561457"/>
    <w:rsid w:val="57A23AD5"/>
    <w:rsid w:val="57BE7B82"/>
    <w:rsid w:val="57DC29B5"/>
    <w:rsid w:val="57F112D5"/>
    <w:rsid w:val="57F80C60"/>
    <w:rsid w:val="58235328"/>
    <w:rsid w:val="58587D80"/>
    <w:rsid w:val="585B2F03"/>
    <w:rsid w:val="58907EDA"/>
    <w:rsid w:val="58D7284D"/>
    <w:rsid w:val="591304B3"/>
    <w:rsid w:val="59704FCA"/>
    <w:rsid w:val="59A41FA0"/>
    <w:rsid w:val="59BD50C9"/>
    <w:rsid w:val="59F1681C"/>
    <w:rsid w:val="5A3D6C9C"/>
    <w:rsid w:val="5A5A29C9"/>
    <w:rsid w:val="5A5F26D4"/>
    <w:rsid w:val="5A897C95"/>
    <w:rsid w:val="5A8A0F99"/>
    <w:rsid w:val="5AAD0254"/>
    <w:rsid w:val="5ADC1525"/>
    <w:rsid w:val="5AE03F27"/>
    <w:rsid w:val="5B0A2B6C"/>
    <w:rsid w:val="5B561967"/>
    <w:rsid w:val="5B584E6A"/>
    <w:rsid w:val="5B74479A"/>
    <w:rsid w:val="5B867F38"/>
    <w:rsid w:val="5BA64BE9"/>
    <w:rsid w:val="5BD76A3D"/>
    <w:rsid w:val="5BD80C3B"/>
    <w:rsid w:val="5BFD55F8"/>
    <w:rsid w:val="5C104619"/>
    <w:rsid w:val="5C730ABA"/>
    <w:rsid w:val="5C7368BB"/>
    <w:rsid w:val="5C784F41"/>
    <w:rsid w:val="5C9D7700"/>
    <w:rsid w:val="5CAD579C"/>
    <w:rsid w:val="5CCD244D"/>
    <w:rsid w:val="5CD146D7"/>
    <w:rsid w:val="5CE26B6F"/>
    <w:rsid w:val="5CE37E74"/>
    <w:rsid w:val="5D207CD9"/>
    <w:rsid w:val="5D37407B"/>
    <w:rsid w:val="5D502A26"/>
    <w:rsid w:val="5D6E20E3"/>
    <w:rsid w:val="5D890602"/>
    <w:rsid w:val="5DA57F32"/>
    <w:rsid w:val="5DB13D45"/>
    <w:rsid w:val="5DB736CF"/>
    <w:rsid w:val="5DD87487"/>
    <w:rsid w:val="5DF32230"/>
    <w:rsid w:val="5DF631B4"/>
    <w:rsid w:val="5E19246F"/>
    <w:rsid w:val="5E53134F"/>
    <w:rsid w:val="5E5A2ED9"/>
    <w:rsid w:val="5E910E34"/>
    <w:rsid w:val="5EB400EF"/>
    <w:rsid w:val="5EE00BB3"/>
    <w:rsid w:val="5F087B79"/>
    <w:rsid w:val="5F8A104C"/>
    <w:rsid w:val="5FB55714"/>
    <w:rsid w:val="5FEC7DEC"/>
    <w:rsid w:val="60490185"/>
    <w:rsid w:val="605A3CA3"/>
    <w:rsid w:val="60841264"/>
    <w:rsid w:val="60852569"/>
    <w:rsid w:val="60CB2168"/>
    <w:rsid w:val="611B62E0"/>
    <w:rsid w:val="611D7264"/>
    <w:rsid w:val="61250DED"/>
    <w:rsid w:val="61D2220B"/>
    <w:rsid w:val="61F86BC7"/>
    <w:rsid w:val="62736511"/>
    <w:rsid w:val="628C22F2"/>
    <w:rsid w:val="62B13DF7"/>
    <w:rsid w:val="62D35631"/>
    <w:rsid w:val="62E010C3"/>
    <w:rsid w:val="62EB2CD8"/>
    <w:rsid w:val="62FB30A8"/>
    <w:rsid w:val="631A7FA3"/>
    <w:rsid w:val="63320ECD"/>
    <w:rsid w:val="634E4F7A"/>
    <w:rsid w:val="63554905"/>
    <w:rsid w:val="63991B77"/>
    <w:rsid w:val="63E73E74"/>
    <w:rsid w:val="644D291F"/>
    <w:rsid w:val="64515AA2"/>
    <w:rsid w:val="64AF16BF"/>
    <w:rsid w:val="64D305FA"/>
    <w:rsid w:val="65031149"/>
    <w:rsid w:val="652006F9"/>
    <w:rsid w:val="652128F7"/>
    <w:rsid w:val="652B6A8A"/>
    <w:rsid w:val="654D24C2"/>
    <w:rsid w:val="65863920"/>
    <w:rsid w:val="65A86053"/>
    <w:rsid w:val="665264EC"/>
    <w:rsid w:val="66555272"/>
    <w:rsid w:val="66834ABD"/>
    <w:rsid w:val="66B3308E"/>
    <w:rsid w:val="66BE141F"/>
    <w:rsid w:val="66F66FFA"/>
    <w:rsid w:val="66F824FD"/>
    <w:rsid w:val="67863B33"/>
    <w:rsid w:val="679226FC"/>
    <w:rsid w:val="685F2D49"/>
    <w:rsid w:val="68A2033A"/>
    <w:rsid w:val="68BE0B64"/>
    <w:rsid w:val="68CD337D"/>
    <w:rsid w:val="68DB2693"/>
    <w:rsid w:val="69162878"/>
    <w:rsid w:val="69475245"/>
    <w:rsid w:val="694F5ED5"/>
    <w:rsid w:val="69960847"/>
    <w:rsid w:val="699740CB"/>
    <w:rsid w:val="69B97B02"/>
    <w:rsid w:val="69D151A9"/>
    <w:rsid w:val="6A0E500E"/>
    <w:rsid w:val="6A16241A"/>
    <w:rsid w:val="6A4C7071"/>
    <w:rsid w:val="6A6B1B24"/>
    <w:rsid w:val="6A7833B8"/>
    <w:rsid w:val="6AA92C8E"/>
    <w:rsid w:val="6AD74A57"/>
    <w:rsid w:val="6AFD2718"/>
    <w:rsid w:val="6B1C3EC6"/>
    <w:rsid w:val="6B260059"/>
    <w:rsid w:val="6B437609"/>
    <w:rsid w:val="6B48020E"/>
    <w:rsid w:val="6B6B74C9"/>
    <w:rsid w:val="6B803BEB"/>
    <w:rsid w:val="6B88487B"/>
    <w:rsid w:val="6C1134DA"/>
    <w:rsid w:val="6C3C65DB"/>
    <w:rsid w:val="6CF33ACD"/>
    <w:rsid w:val="6D3A643F"/>
    <w:rsid w:val="6D652B07"/>
    <w:rsid w:val="6D73789E"/>
    <w:rsid w:val="6D9D64E4"/>
    <w:rsid w:val="6DBE449A"/>
    <w:rsid w:val="6E2713D6"/>
    <w:rsid w:val="6E9D190A"/>
    <w:rsid w:val="6EBE1E3F"/>
    <w:rsid w:val="6EDA1DC4"/>
    <w:rsid w:val="6EDD48F2"/>
    <w:rsid w:val="6F403311"/>
    <w:rsid w:val="6FB410D2"/>
    <w:rsid w:val="6FBA2FDB"/>
    <w:rsid w:val="6FE3639E"/>
    <w:rsid w:val="70030E51"/>
    <w:rsid w:val="70092D5A"/>
    <w:rsid w:val="70216ADD"/>
    <w:rsid w:val="702C664F"/>
    <w:rsid w:val="704563AA"/>
    <w:rsid w:val="70776C11"/>
    <w:rsid w:val="70A4425D"/>
    <w:rsid w:val="70DB30B2"/>
    <w:rsid w:val="70F83CE8"/>
    <w:rsid w:val="71201629"/>
    <w:rsid w:val="71791CB7"/>
    <w:rsid w:val="71E103E2"/>
    <w:rsid w:val="71E75B6E"/>
    <w:rsid w:val="720B4AA9"/>
    <w:rsid w:val="722865D8"/>
    <w:rsid w:val="7248108B"/>
    <w:rsid w:val="724A7E11"/>
    <w:rsid w:val="72902B04"/>
    <w:rsid w:val="72B03567"/>
    <w:rsid w:val="731507DF"/>
    <w:rsid w:val="73306E0A"/>
    <w:rsid w:val="73FD2CDB"/>
    <w:rsid w:val="743431B5"/>
    <w:rsid w:val="74404A49"/>
    <w:rsid w:val="74653984"/>
    <w:rsid w:val="74784BA3"/>
    <w:rsid w:val="74991580"/>
    <w:rsid w:val="74A71E6F"/>
    <w:rsid w:val="74B8340E"/>
    <w:rsid w:val="74D05231"/>
    <w:rsid w:val="74DA0B15"/>
    <w:rsid w:val="74F26A6B"/>
    <w:rsid w:val="753D7DE4"/>
    <w:rsid w:val="75450A73"/>
    <w:rsid w:val="7553580B"/>
    <w:rsid w:val="75745D3F"/>
    <w:rsid w:val="758C33E6"/>
    <w:rsid w:val="75D2195C"/>
    <w:rsid w:val="75DE796D"/>
    <w:rsid w:val="766D5F57"/>
    <w:rsid w:val="76857BC9"/>
    <w:rsid w:val="769F582D"/>
    <w:rsid w:val="76A74E38"/>
    <w:rsid w:val="76AE47C2"/>
    <w:rsid w:val="76CB62F1"/>
    <w:rsid w:val="77116A65"/>
    <w:rsid w:val="77846B1B"/>
    <w:rsid w:val="77A572D9"/>
    <w:rsid w:val="77BF3706"/>
    <w:rsid w:val="77E2713E"/>
    <w:rsid w:val="78031871"/>
    <w:rsid w:val="780D5A03"/>
    <w:rsid w:val="78435EDE"/>
    <w:rsid w:val="784513E1"/>
    <w:rsid w:val="78461060"/>
    <w:rsid w:val="786E47A3"/>
    <w:rsid w:val="788C75D7"/>
    <w:rsid w:val="78AF300E"/>
    <w:rsid w:val="78F61204"/>
    <w:rsid w:val="79101DAE"/>
    <w:rsid w:val="795934A7"/>
    <w:rsid w:val="79A05E1A"/>
    <w:rsid w:val="79D52DF1"/>
    <w:rsid w:val="79E10E02"/>
    <w:rsid w:val="7A35088C"/>
    <w:rsid w:val="7A9131A4"/>
    <w:rsid w:val="7AA80BCB"/>
    <w:rsid w:val="7ACE3009"/>
    <w:rsid w:val="7B135CFC"/>
    <w:rsid w:val="7B402043"/>
    <w:rsid w:val="7B8749B6"/>
    <w:rsid w:val="7B8D2142"/>
    <w:rsid w:val="7BD712BD"/>
    <w:rsid w:val="7CA95D92"/>
    <w:rsid w:val="7D0C0035"/>
    <w:rsid w:val="7D1641C7"/>
    <w:rsid w:val="7D1D3B52"/>
    <w:rsid w:val="7DA75CB5"/>
    <w:rsid w:val="7DEF3EAB"/>
    <w:rsid w:val="7E065CCE"/>
    <w:rsid w:val="7E1178E2"/>
    <w:rsid w:val="7E404BAE"/>
    <w:rsid w:val="7E6C6CF7"/>
    <w:rsid w:val="7EA448D3"/>
    <w:rsid w:val="7ED21F1F"/>
    <w:rsid w:val="7EEF72D1"/>
    <w:rsid w:val="7EF533D8"/>
    <w:rsid w:val="7F115287"/>
    <w:rsid w:val="7FA03871"/>
    <w:rsid w:val="7FA73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2026-01-20T07:55:00Z</dcterms:created>
  <dc:creator>Administrator</dc:creator>
  <cp:lastModifiedBy>区旅文局收发员</cp:lastModifiedBy>
  <dcterms:modified xsi:type="dcterms:W3CDTF">2026-01-30T00:58:08Z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F90F35FFDE1D4FB79DDC9574C1A56055_12</vt:lpwstr>
  </property>
</Properties>
</file>