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356A">
      <w:pPr>
        <w:spacing w:line="578" w:lineRule="exact"/>
        <w:jc w:val="center"/>
        <w:rPr>
          <w:rFonts w:hint="eastAsia" w:asciiTheme="majorEastAsia" w:hAnsiTheme="majorEastAsia" w:eastAsiaTheme="majorEastAsia" w:cstheme="majorEastAsia"/>
          <w:b/>
          <w:bCs/>
          <w:color w:val="000000" w:themeColor="text1"/>
          <w:sz w:val="44"/>
          <w:szCs w:val="44"/>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14:textFill>
            <w14:solidFill>
              <w14:schemeClr w14:val="tx1"/>
            </w14:solidFill>
          </w14:textFill>
        </w:rPr>
        <w:t>三亚市海棠区进士小学2024年度部门决算公开报告</w:t>
      </w:r>
    </w:p>
    <w:p w14:paraId="1E8F4CF7">
      <w:pPr>
        <w:spacing w:line="578" w:lineRule="exact"/>
        <w:jc w:val="center"/>
        <w:rPr>
          <w:rFonts w:hint="eastAsia" w:asciiTheme="majorEastAsia" w:hAnsiTheme="majorEastAsia" w:eastAsiaTheme="majorEastAsia" w:cstheme="majorEastAsia"/>
          <w:b/>
          <w:bCs/>
          <w:color w:val="000000" w:themeColor="text1"/>
          <w:sz w:val="44"/>
          <w:szCs w:val="44"/>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14:textFill>
            <w14:solidFill>
              <w14:schemeClr w14:val="tx1"/>
            </w14:solidFill>
          </w14:textFill>
        </w:rPr>
        <w:t>（公开文字说明参考模板）</w:t>
      </w:r>
    </w:p>
    <w:p w14:paraId="6C2B2D3A">
      <w:pPr>
        <w:spacing w:line="578" w:lineRule="exact"/>
        <w:jc w:val="center"/>
        <w:rPr>
          <w:rFonts w:hint="eastAsia" w:ascii="黑体" w:hAnsi="ˎ̥" w:eastAsia="黑体"/>
          <w:b/>
          <w:color w:val="000000" w:themeColor="text1"/>
          <w:sz w:val="32"/>
          <w:szCs w:val="32"/>
          <w14:textFill>
            <w14:solidFill>
              <w14:schemeClr w14:val="tx1"/>
            </w14:solidFill>
          </w14:textFill>
        </w:rPr>
      </w:pPr>
    </w:p>
    <w:p w14:paraId="6A8F1018">
      <w:pPr>
        <w:spacing w:line="578" w:lineRule="exact"/>
        <w:jc w:val="center"/>
        <w:rPr>
          <w:rFonts w:hint="eastAsia" w:ascii="黑体" w:hAnsi="黑体" w:eastAsia="黑体" w:cs="黑体"/>
          <w:color w:val="000000" w:themeColor="text1"/>
          <w:sz w:val="44"/>
          <w:szCs w:val="44"/>
          <w14:textFill>
            <w14:solidFill>
              <w14:schemeClr w14:val="tx1"/>
            </w14:solidFill>
          </w14:textFill>
        </w:rPr>
      </w:pPr>
      <w:bookmarkStart w:id="0" w:name="_Toc11440_WPSOffice_Type2"/>
      <w:r>
        <w:rPr>
          <w:rFonts w:hint="eastAsia" w:ascii="黑体" w:hAnsi="黑体" w:eastAsia="黑体" w:cs="黑体"/>
          <w:color w:val="000000" w:themeColor="text1"/>
          <w:sz w:val="44"/>
          <w:szCs w:val="44"/>
          <w14:textFill>
            <w14:solidFill>
              <w14:schemeClr w14:val="tx1"/>
            </w14:solidFill>
          </w14:textFill>
        </w:rPr>
        <w:t>目  录</w:t>
      </w:r>
    </w:p>
    <w:p w14:paraId="6A2F743B">
      <w:pPr>
        <w:pStyle w:val="15"/>
        <w:tabs>
          <w:tab w:val="right" w:leader="dot" w:pos="8306"/>
        </w:tabs>
        <w:spacing w:line="578" w:lineRule="exact"/>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_Toc1704_WPSOffice_Level1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第一部分 基本情况</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2</w:t>
      </w:r>
    </w:p>
    <w:p w14:paraId="29CBFE79">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_Toc20274_WPSOffice_Level2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color w:val="000000" w:themeColor="text1"/>
          <w:sz w:val="32"/>
          <w:szCs w:val="32"/>
          <w14:textFill>
            <w14:solidFill>
              <w14:schemeClr w14:val="tx1"/>
            </w14:solidFill>
          </w14:textFill>
        </w:rPr>
        <w:t>一、部门（单位）职责</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2</w:t>
      </w:r>
    </w:p>
    <w:p w14:paraId="09089809">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_Toc4833_WPSOffice_Level2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color w:val="000000" w:themeColor="text1"/>
          <w:sz w:val="32"/>
          <w:szCs w:val="32"/>
          <w14:textFill>
            <w14:solidFill>
              <w14:schemeClr w14:val="tx1"/>
            </w14:solidFill>
          </w14:textFill>
        </w:rPr>
        <w:t>二、机构设置</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2</w:t>
      </w:r>
    </w:p>
    <w:p w14:paraId="3B013F23">
      <w:pPr>
        <w:pStyle w:val="15"/>
        <w:tabs>
          <w:tab w:val="right" w:leader="dot" w:pos="8306"/>
        </w:tabs>
        <w:spacing w:line="578" w:lineRule="exact"/>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_Toc28253_WPSOffice_Level1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年度部门决算公开表</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2</w:t>
      </w:r>
    </w:p>
    <w:p w14:paraId="6E57563D">
      <w:pPr>
        <w:pStyle w:val="15"/>
        <w:tabs>
          <w:tab w:val="right" w:leader="dot" w:pos="8306"/>
        </w:tabs>
        <w:spacing w:line="578" w:lineRule="exact"/>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_Toc27590_WPSOffice_Level1 </w:instrText>
      </w:r>
      <w:r>
        <w:rPr>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第三部分</w:t>
      </w:r>
      <w:r>
        <w:rPr>
          <w:rFonts w:hint="eastAsia"/>
          <w:color w:val="000000" w:themeColor="text1"/>
          <w:sz w:val="32"/>
          <w:szCs w:val="32"/>
          <w14:textFill>
            <w14:solidFill>
              <w14:schemeClr w14:val="tx1"/>
            </w14:solidFill>
          </w14:textFill>
        </w:rPr>
        <w:t xml:space="preserve">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年度部门决算情况说明</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3</w:t>
      </w:r>
    </w:p>
    <w:p w14:paraId="65C40179">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_Toc21737_WPSOffice_Level2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一、收入支出总体情况说明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3</w:t>
      </w:r>
    </w:p>
    <w:p w14:paraId="4BD7D57F">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二、收入决算情况说明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14:paraId="0C54764D">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三、支出决算情况说明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14:paraId="51FC70A3">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四、财政拨款收入支出决算</w:t>
      </w:r>
      <w:r>
        <w:rPr>
          <w:rFonts w:hint="eastAsia" w:ascii="仿宋" w:hAnsi="仿宋" w:eastAsia="仿宋" w:cs="仿宋"/>
          <w:bCs/>
          <w:color w:val="000000" w:themeColor="text1"/>
          <w:sz w:val="32"/>
          <w:szCs w:val="32"/>
          <w:lang w:val="en-US" w:eastAsia="zh-CN"/>
          <w14:textFill>
            <w14:solidFill>
              <w14:schemeClr w14:val="tx1"/>
            </w14:solidFill>
          </w14:textFill>
        </w:rPr>
        <w:t>总体</w:t>
      </w:r>
      <w:r>
        <w:rPr>
          <w:rFonts w:hint="eastAsia" w:ascii="仿宋" w:hAnsi="仿宋" w:eastAsia="仿宋" w:cs="仿宋"/>
          <w:bCs/>
          <w:color w:val="000000" w:themeColor="text1"/>
          <w:sz w:val="32"/>
          <w:szCs w:val="32"/>
          <w14:textFill>
            <w14:solidFill>
              <w14:schemeClr w14:val="tx1"/>
            </w14:solidFill>
          </w14:textFill>
        </w:rPr>
        <w:t>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14:paraId="7A0C8420">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五、一般公共预算财政拨款支出决算情况说明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5</w:t>
      </w:r>
    </w:p>
    <w:p w14:paraId="0F3513AE">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六、一般公共预算财政拨款基本支出决算情况说明</w:t>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6</w:t>
      </w:r>
    </w:p>
    <w:p w14:paraId="14C271AC">
      <w:pPr>
        <w:pStyle w:val="16"/>
        <w:numPr>
          <w:ilvl w:val="0"/>
          <w:numId w:val="1"/>
        </w:numPr>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政府性基金预算财政拨款支出决算情况说明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7</w:t>
      </w:r>
    </w:p>
    <w:p w14:paraId="341B0484">
      <w:pPr>
        <w:pStyle w:val="16"/>
        <w:numPr>
          <w:ilvl w:val="0"/>
          <w:numId w:val="1"/>
        </w:numPr>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国有资本经营预算财政拨款支出决算情况说明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8</w:t>
      </w:r>
    </w:p>
    <w:p w14:paraId="4A5010BD">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九、财政拨款“三公”经费支出决算情况说明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9</w:t>
      </w:r>
    </w:p>
    <w:p w14:paraId="23F091F4">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十、预算绩效情况说明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11</w:t>
      </w:r>
    </w:p>
    <w:p w14:paraId="11226842">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十一、其他重要事项情况说明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13</w:t>
      </w:r>
    </w:p>
    <w:p w14:paraId="1704E608">
      <w:pPr>
        <w:pStyle w:val="15"/>
        <w:tabs>
          <w:tab w:val="right" w:leader="dot" w:pos="8306"/>
        </w:tabs>
        <w:spacing w:line="578" w:lineRule="exact"/>
        <w:rPr>
          <w:rFonts w:hint="eastAsia" w:ascii="黑体" w:hAnsi="ˎ̥"/>
          <w:b/>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_Toc15425_WPSOffice_Level1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第四部分  名词解释</w:t>
      </w:r>
      <w:r>
        <w:rPr>
          <w:color w:val="000000" w:themeColor="text1"/>
          <w:sz w:val="32"/>
          <w:szCs w:val="32"/>
          <w14:textFill>
            <w14:solidFill>
              <w14:schemeClr w14:val="tx1"/>
            </w14:solidFill>
          </w14:textFill>
        </w:rPr>
        <w:tab/>
      </w:r>
      <w:bookmarkStart w:id="1" w:name="_Toc15425_WPSOffice_Level1Page"/>
      <w:r>
        <w:rPr>
          <w:color w:val="000000" w:themeColor="text1"/>
          <w:sz w:val="32"/>
          <w:szCs w:val="32"/>
          <w14:textFill>
            <w14:solidFill>
              <w14:schemeClr w14:val="tx1"/>
            </w14:solidFill>
          </w14:textFill>
        </w:rPr>
        <w:t>1</w:t>
      </w:r>
      <w:bookmarkEnd w:id="1"/>
      <w:r>
        <w:rPr>
          <w:color w:val="000000" w:themeColor="text1"/>
          <w:sz w:val="32"/>
          <w:szCs w:val="32"/>
          <w14:textFill>
            <w14:solidFill>
              <w14:schemeClr w14:val="tx1"/>
            </w14:solidFill>
          </w14:textFill>
        </w:rPr>
        <w:fldChar w:fldCharType="end"/>
      </w:r>
      <w:bookmarkEnd w:id="0"/>
      <w:r>
        <w:rPr>
          <w:rFonts w:hint="eastAsia"/>
          <w:color w:val="000000" w:themeColor="text1"/>
          <w:sz w:val="32"/>
          <w:szCs w:val="32"/>
          <w14:textFill>
            <w14:solidFill>
              <w14:schemeClr w14:val="tx1"/>
            </w14:solidFill>
          </w14:textFill>
        </w:rPr>
        <w:t>5</w:t>
      </w:r>
    </w:p>
    <w:p w14:paraId="4EC8D6DA">
      <w:pPr>
        <w:spacing w:line="578" w:lineRule="exact"/>
        <w:jc w:val="both"/>
        <w:rPr>
          <w:rFonts w:hint="eastAsia" w:ascii="黑体" w:hAnsi="ˎ̥" w:eastAsia="黑体"/>
          <w:color w:val="000000" w:themeColor="text1"/>
          <w:sz w:val="32"/>
          <w:szCs w:val="32"/>
          <w14:textFill>
            <w14:solidFill>
              <w14:schemeClr w14:val="tx1"/>
            </w14:solidFill>
          </w14:textFill>
        </w:rPr>
      </w:pPr>
      <w:bookmarkStart w:id="2" w:name="_Toc10049_WPSOffice_Level1"/>
      <w:bookmarkStart w:id="3" w:name="_Toc22941_WPSOffice_Level1"/>
      <w:bookmarkStart w:id="4" w:name="_Toc10720_WPSOffice_Level1"/>
      <w:bookmarkStart w:id="5" w:name="_Toc1704_WPSOffice_Level1"/>
      <w:bookmarkStart w:id="6" w:name="_Toc23465_WPSOffice_Level1"/>
      <w:bookmarkStart w:id="7" w:name="_Toc32433_WPSOffice_Level1"/>
      <w:bookmarkStart w:id="8" w:name="_Toc24238_WPSOffice_Level2"/>
      <w:bookmarkStart w:id="9" w:name="_Toc32622_WPSOffice_Level2"/>
      <w:bookmarkStart w:id="10" w:name="_Toc26580_WPSOffice_Level2"/>
      <w:bookmarkStart w:id="11" w:name="_Toc20274_WPSOffice_Level2"/>
      <w:bookmarkStart w:id="12" w:name="_Toc14159_WPSOffice_Level2"/>
      <w:bookmarkStart w:id="13" w:name="_Toc20205_WPSOffice_Level2"/>
    </w:p>
    <w:p w14:paraId="13495E08">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第一部分  </w:t>
      </w:r>
      <w:bookmarkEnd w:id="2"/>
      <w:bookmarkEnd w:id="3"/>
      <w:bookmarkEnd w:id="4"/>
      <w:bookmarkEnd w:id="5"/>
      <w:bookmarkEnd w:id="6"/>
      <w:bookmarkEnd w:id="7"/>
      <w:r>
        <w:rPr>
          <w:rFonts w:hint="eastAsia" w:ascii="黑体" w:hAnsi="ˎ̥" w:eastAsia="黑体"/>
          <w:color w:val="000000" w:themeColor="text1"/>
          <w:sz w:val="32"/>
          <w:szCs w:val="32"/>
          <w14:textFill>
            <w14:solidFill>
              <w14:schemeClr w14:val="tx1"/>
            </w14:solidFill>
          </w14:textFill>
        </w:rPr>
        <w:t>基本情况</w:t>
      </w:r>
    </w:p>
    <w:p w14:paraId="59DE4DDD">
      <w:pPr>
        <w:spacing w:line="578" w:lineRule="exact"/>
        <w:ind w:firstLine="640" w:firstLineChars="200"/>
        <w:rPr>
          <w:rFonts w:hint="eastAsia" w:ascii="楷体" w:hAnsi="楷体" w:eastAsia="楷体" w:cs="楷体"/>
          <w:color w:val="000000" w:themeColor="text1"/>
          <w:sz w:val="32"/>
          <w:szCs w:val="32"/>
          <w14:textFill>
            <w14:solidFill>
              <w14:schemeClr w14:val="tx1"/>
            </w14:solidFill>
          </w14:textFill>
        </w:rPr>
      </w:pPr>
    </w:p>
    <w:p w14:paraId="4A3D8885">
      <w:pPr>
        <w:numPr>
          <w:ilvl w:val="0"/>
          <w:numId w:val="2"/>
        </w:numPr>
        <w:spacing w:line="578"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部门</w:t>
      </w:r>
      <w:bookmarkEnd w:id="8"/>
      <w:r>
        <w:rPr>
          <w:rFonts w:hint="eastAsia" w:ascii="黑体" w:hAnsi="黑体" w:eastAsia="黑体" w:cs="黑体"/>
          <w:color w:val="000000" w:themeColor="text1"/>
          <w:sz w:val="32"/>
          <w:szCs w:val="32"/>
          <w14:textFill>
            <w14:solidFill>
              <w14:schemeClr w14:val="tx1"/>
            </w14:solidFill>
          </w14:textFill>
        </w:rPr>
        <w:t>（单位）职责</w:t>
      </w:r>
      <w:bookmarkEnd w:id="9"/>
      <w:bookmarkEnd w:id="10"/>
      <w:bookmarkEnd w:id="11"/>
      <w:bookmarkEnd w:id="12"/>
      <w:bookmarkEnd w:id="13"/>
    </w:p>
    <w:p w14:paraId="35CB4D21">
      <w:pPr>
        <w:keepNext w:val="0"/>
        <w:keepLines w:val="0"/>
        <w:pageBreakBefore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cs="仿宋_GB2312"/>
          <w:color w:val="000000" w:themeColor="text1"/>
          <w:sz w:val="30"/>
          <w:szCs w:val="30"/>
          <w14:textFill>
            <w14:solidFill>
              <w14:schemeClr w14:val="tx1"/>
            </w14:solidFill>
          </w14:textFill>
        </w:rPr>
        <w:t>三亚市海棠区进士小学是全额拨款事业单位。其主要职责：实施小学义务教育，促进基础教育发展，</w:t>
      </w:r>
      <w:r>
        <w:rPr>
          <w:rFonts w:hint="eastAsia" w:cs="仿宋_GB2312"/>
          <w:color w:val="000000" w:themeColor="text1"/>
          <w:sz w:val="30"/>
          <w:szCs w:val="30"/>
          <w:lang w:eastAsia="zh-CN"/>
          <w14:textFill>
            <w14:solidFill>
              <w14:schemeClr w14:val="tx1"/>
            </w14:solidFill>
          </w14:textFill>
        </w:rPr>
        <w:t>以抓好教学管理形式形成自身特色为基础，深化教育改革，全面推进素质教育，培养全面发展的合格人才。</w:t>
      </w:r>
    </w:p>
    <w:p w14:paraId="0680DACE">
      <w:pPr>
        <w:spacing w:line="578" w:lineRule="exact"/>
        <w:ind w:firstLine="640" w:firstLineChars="200"/>
        <w:rPr>
          <w:rFonts w:hint="eastAsia" w:ascii="黑体" w:hAnsi="黑体" w:eastAsia="黑体" w:cs="黑体"/>
          <w:color w:val="000000" w:themeColor="text1"/>
          <w:sz w:val="32"/>
          <w:szCs w:val="32"/>
          <w14:textFill>
            <w14:solidFill>
              <w14:schemeClr w14:val="tx1"/>
            </w14:solidFill>
          </w14:textFill>
        </w:rPr>
      </w:pPr>
      <w:bookmarkStart w:id="14" w:name="_Toc6572_WPSOffice_Level2"/>
      <w:bookmarkStart w:id="15" w:name="_Toc4833_WPSOffice_Level2"/>
      <w:bookmarkStart w:id="16" w:name="_Toc24474_WPSOffice_Level2"/>
      <w:bookmarkStart w:id="17" w:name="_Toc24059_WPSOffice_Level2"/>
      <w:bookmarkStart w:id="18" w:name="_Toc17796_WPSOffice_Level2"/>
      <w:r>
        <w:rPr>
          <w:rFonts w:hint="eastAsia" w:ascii="黑体" w:hAnsi="黑体" w:eastAsia="黑体" w:cs="黑体"/>
          <w:color w:val="000000" w:themeColor="text1"/>
          <w:sz w:val="32"/>
          <w:szCs w:val="32"/>
          <w14:textFill>
            <w14:solidFill>
              <w14:schemeClr w14:val="tx1"/>
            </w14:solidFill>
          </w14:textFill>
        </w:rPr>
        <w:t>二、机构设置</w:t>
      </w:r>
      <w:bookmarkEnd w:id="14"/>
      <w:bookmarkEnd w:id="15"/>
      <w:bookmarkEnd w:id="16"/>
      <w:bookmarkEnd w:id="17"/>
      <w:bookmarkEnd w:id="18"/>
    </w:p>
    <w:p w14:paraId="0CD2568C">
      <w:pPr>
        <w:ind w:firstLine="640" w:firstLineChars="200"/>
        <w:rPr>
          <w:rFonts w:hint="eastAsia" w:ascii="仿宋_GB2312" w:hAnsi="ˎ̥" w:eastAsia="仿宋_GB2312"/>
          <w:color w:val="000000" w:themeColor="text1"/>
          <w:sz w:val="32"/>
          <w:szCs w:val="32"/>
          <w14:textFill>
            <w14:solidFill>
              <w14:schemeClr w14:val="tx1"/>
            </w14:solidFill>
          </w14:textFill>
        </w:rPr>
      </w:pPr>
      <w:bookmarkStart w:id="19" w:name="_Toc8164_WPSOffice_Level1"/>
      <w:bookmarkStart w:id="20" w:name="_Toc6234_WPSOffice_Level1"/>
      <w:bookmarkStart w:id="21" w:name="_Toc30451_WPSOffice_Level1"/>
      <w:bookmarkStart w:id="22" w:name="_Toc15521_WPSOffice_Level1"/>
      <w:bookmarkStart w:id="23" w:name="_Toc28253_WPSOffice_Level1"/>
      <w:bookmarkStart w:id="24" w:name="_Toc30690_WPSOffice_Level1"/>
      <w:bookmarkStart w:id="25" w:name="_Toc6211_WPSOffice_Level2"/>
      <w:bookmarkStart w:id="26" w:name="_Toc11518_WPSOffice_Level2"/>
      <w:bookmarkStart w:id="27" w:name="_Toc32472_WPSOffice_Level2"/>
      <w:bookmarkStart w:id="28" w:name="_Toc4029_WPSOffice_Level2"/>
      <w:bookmarkStart w:id="29" w:name="_Toc32695_WPSOffice_Level2"/>
      <w:bookmarkStart w:id="30" w:name="_Toc8867_WPSOffice_Level2"/>
      <w:r>
        <w:rPr>
          <w:rFonts w:hint="eastAsia" w:ascii="仿宋_GB2312" w:hAnsi="ˎ̥" w:eastAsia="仿宋_GB2312"/>
          <w:color w:val="000000" w:themeColor="text1"/>
          <w:sz w:val="32"/>
          <w:szCs w:val="32"/>
          <w14:textFill>
            <w14:solidFill>
              <w14:schemeClr w14:val="tx1"/>
            </w14:solidFill>
          </w14:textFill>
        </w:rPr>
        <w:t>纳入</w:t>
      </w:r>
      <w:r>
        <w:rPr>
          <w:rFonts w:hint="eastAsia" w:ascii="仿宋_GB2312" w:hAnsi="ˎ̥" w:eastAsia="仿宋_GB2312"/>
          <w:color w:val="000000" w:themeColor="text1"/>
          <w:sz w:val="32"/>
          <w:szCs w:val="32"/>
          <w:lang w:eastAsia="zh-CN"/>
          <w14:textFill>
            <w14:solidFill>
              <w14:schemeClr w14:val="tx1"/>
            </w14:solidFill>
          </w14:textFill>
        </w:rPr>
        <w:t>三亚市海棠区进士小学202</w:t>
      </w:r>
      <w:r>
        <w:rPr>
          <w:rFonts w:hint="eastAsia" w:ascii="仿宋_GB2312" w:hAnsi="ˎ̥" w:eastAsia="仿宋_GB2312"/>
          <w:color w:val="000000" w:themeColor="text1"/>
          <w:sz w:val="32"/>
          <w:szCs w:val="32"/>
          <w:lang w:val="en-US" w:eastAsia="zh-CN"/>
          <w14:textFill>
            <w14:solidFill>
              <w14:schemeClr w14:val="tx1"/>
            </w14:solidFill>
          </w14:textFill>
        </w:rPr>
        <w:t>3</w:t>
      </w:r>
      <w:r>
        <w:rPr>
          <w:rFonts w:hint="eastAsia" w:ascii="仿宋_GB2312" w:hAnsi="ˎ̥" w:eastAsia="仿宋_GB2312"/>
          <w:color w:val="000000" w:themeColor="text1"/>
          <w:sz w:val="32"/>
          <w:szCs w:val="32"/>
          <w:lang w:eastAsia="zh-CN"/>
          <w14:textFill>
            <w14:solidFill>
              <w14:schemeClr w14:val="tx1"/>
            </w14:solidFill>
          </w14:textFill>
        </w:rPr>
        <w:t>年度</w:t>
      </w:r>
      <w:r>
        <w:rPr>
          <w:rFonts w:hint="eastAsia" w:ascii="仿宋_GB2312" w:hAnsi="ˎ̥" w:eastAsia="仿宋_GB2312"/>
          <w:color w:val="000000" w:themeColor="text1"/>
          <w:sz w:val="32"/>
          <w:szCs w:val="32"/>
          <w14:textFill>
            <w14:solidFill>
              <w14:schemeClr w14:val="tx1"/>
            </w14:solidFill>
          </w14:textFill>
        </w:rPr>
        <w:t>部门决算编制范围的二级预算单位包括：</w:t>
      </w:r>
    </w:p>
    <w:p w14:paraId="05052030">
      <w:pPr>
        <w:numPr>
          <w:ilvl w:val="0"/>
          <w:numId w:val="3"/>
        </w:numPr>
        <w:ind w:firstLine="640" w:firstLineChars="200"/>
        <w:rPr>
          <w:rFonts w:hint="eastAsia" w:ascii="楷体" w:hAnsi="楷体" w:eastAsia="楷体" w:cs="楷体"/>
          <w:color w:val="000000" w:themeColor="text1"/>
          <w:sz w:val="32"/>
          <w:szCs w:val="32"/>
          <w:lang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三亚市海棠区</w:t>
      </w:r>
      <w:r>
        <w:rPr>
          <w:rFonts w:hint="eastAsia" w:ascii="楷体" w:hAnsi="楷体" w:eastAsia="楷体" w:cs="楷体"/>
          <w:color w:val="000000" w:themeColor="text1"/>
          <w:sz w:val="32"/>
          <w:szCs w:val="32"/>
          <w:lang w:eastAsia="zh-CN"/>
          <w14:textFill>
            <w14:solidFill>
              <w14:schemeClr w14:val="tx1"/>
            </w14:solidFill>
          </w14:textFill>
        </w:rPr>
        <w:t>进士小学</w:t>
      </w:r>
    </w:p>
    <w:p w14:paraId="3C24AE56">
      <w:pPr>
        <w:numPr>
          <w:ilvl w:val="0"/>
          <w:numId w:val="0"/>
        </w:numPr>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 xml:space="preserve">     </w:t>
      </w:r>
      <w:r>
        <w:rPr>
          <w:rFonts w:hint="eastAsia" w:ascii="仿宋_GB2312" w:hAnsi="ˎ̥" w:eastAsia="仿宋_GB2312"/>
          <w:color w:val="000000" w:themeColor="text1"/>
          <w:sz w:val="32"/>
          <w:szCs w:val="32"/>
          <w:lang w:eastAsia="zh-CN"/>
          <w14:textFill>
            <w14:solidFill>
              <w14:schemeClr w14:val="tx1"/>
            </w14:solidFill>
          </w14:textFill>
        </w:rPr>
        <w:t>是基层预算单位，没有下属单位，无内设机构。事业编制</w:t>
      </w:r>
      <w:r>
        <w:rPr>
          <w:rFonts w:hint="eastAsia" w:ascii="仿宋_GB2312" w:hAnsi="ˎ̥" w:eastAsia="仿宋_GB2312"/>
          <w:color w:val="000000" w:themeColor="text1"/>
          <w:sz w:val="32"/>
          <w:szCs w:val="32"/>
          <w:lang w:val="en-US" w:eastAsia="zh-CN"/>
          <w14:textFill>
            <w14:solidFill>
              <w14:schemeClr w14:val="tx1"/>
            </w14:solidFill>
          </w14:textFill>
        </w:rPr>
        <w:t>21人。其中校长1名，副校长2名。截止2024年12月31日，单位实际在编人员21人。</w:t>
      </w:r>
    </w:p>
    <w:p w14:paraId="67FE164D">
      <w:pPr>
        <w:spacing w:line="578" w:lineRule="exact"/>
        <w:jc w:val="center"/>
        <w:rPr>
          <w:rFonts w:hint="eastAsia" w:ascii="黑体" w:hAnsi="ˎ̥" w:eastAsia="黑体"/>
          <w:color w:val="000000" w:themeColor="text1"/>
          <w:sz w:val="32"/>
          <w:szCs w:val="32"/>
          <w14:textFill>
            <w14:solidFill>
              <w14:schemeClr w14:val="tx1"/>
            </w14:solidFill>
          </w14:textFill>
        </w:rPr>
      </w:pPr>
    </w:p>
    <w:p w14:paraId="5ABA64D5">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年度部门决算公开报表</w:t>
      </w:r>
      <w:bookmarkEnd w:id="19"/>
      <w:bookmarkEnd w:id="20"/>
      <w:bookmarkEnd w:id="21"/>
      <w:bookmarkEnd w:id="22"/>
      <w:bookmarkEnd w:id="23"/>
      <w:bookmarkEnd w:id="24"/>
    </w:p>
    <w:p w14:paraId="1A7D1292">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p>
    <w:p w14:paraId="4609FEC3">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一、收入支出决算公开表</w:t>
      </w:r>
      <w:bookmarkEnd w:id="25"/>
      <w:bookmarkEnd w:id="26"/>
      <w:bookmarkEnd w:id="27"/>
      <w:bookmarkEnd w:id="28"/>
      <w:bookmarkEnd w:id="29"/>
      <w:bookmarkEnd w:id="30"/>
    </w:p>
    <w:p w14:paraId="646AEC68">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31" w:name="_Toc25608_WPSOffice_Level2"/>
      <w:bookmarkStart w:id="32" w:name="_Toc30334_WPSOffice_Level2"/>
      <w:bookmarkStart w:id="33" w:name="_Toc28622_WPSOffice_Level2"/>
      <w:bookmarkStart w:id="34" w:name="_Toc23139_WPSOffice_Level2"/>
      <w:bookmarkStart w:id="35" w:name="_Toc14349_WPSOffice_Level2"/>
      <w:bookmarkStart w:id="36" w:name="_Toc26621_WPSOffice_Level2"/>
      <w:r>
        <w:rPr>
          <w:rFonts w:hint="eastAsia" w:ascii="黑体" w:hAnsi="黑体" w:eastAsia="黑体" w:cs="黑体"/>
          <w:color w:val="000000" w:themeColor="text1"/>
          <w:sz w:val="32"/>
          <w:szCs w:val="32"/>
          <w14:textFill>
            <w14:solidFill>
              <w14:schemeClr w14:val="tx1"/>
            </w14:solidFill>
          </w14:textFill>
        </w:rPr>
        <w:t>二、收入决算公开表</w:t>
      </w:r>
      <w:bookmarkEnd w:id="31"/>
      <w:bookmarkEnd w:id="32"/>
      <w:bookmarkEnd w:id="33"/>
      <w:bookmarkEnd w:id="34"/>
      <w:bookmarkEnd w:id="35"/>
      <w:bookmarkEnd w:id="36"/>
      <w:bookmarkStart w:id="37" w:name="_Toc17626_WPSOffice_Level2"/>
      <w:bookmarkStart w:id="38" w:name="_Toc3262_WPSOffice_Level2"/>
      <w:bookmarkStart w:id="39" w:name="_Toc14658_WPSOffice_Level2"/>
      <w:bookmarkStart w:id="40" w:name="_Toc17858_WPSOffice_Level2"/>
      <w:bookmarkStart w:id="41" w:name="_Toc13854_WPSOffice_Level2"/>
      <w:bookmarkStart w:id="42" w:name="_Toc5489_WPSOffice_Level2"/>
    </w:p>
    <w:p w14:paraId="2D43FEAF">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三、支出决算公开表</w:t>
      </w:r>
      <w:bookmarkEnd w:id="37"/>
      <w:bookmarkEnd w:id="38"/>
      <w:bookmarkEnd w:id="39"/>
      <w:bookmarkEnd w:id="40"/>
      <w:bookmarkEnd w:id="41"/>
      <w:bookmarkEnd w:id="42"/>
      <w:bookmarkStart w:id="43" w:name="_Toc21415_WPSOffice_Level2"/>
      <w:bookmarkStart w:id="44" w:name="_Toc23493_WPSOffice_Level2"/>
      <w:bookmarkStart w:id="45" w:name="_Toc7988_WPSOffice_Level2"/>
      <w:bookmarkStart w:id="46" w:name="_Toc13701_WPSOffice_Level2"/>
      <w:bookmarkStart w:id="47" w:name="_Toc4265_WPSOffice_Level2"/>
      <w:bookmarkStart w:id="48" w:name="_Toc23591_WPSOffice_Level2"/>
    </w:p>
    <w:p w14:paraId="466CE0B2">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四、财政拨款收入支出决算公开表</w:t>
      </w:r>
      <w:bookmarkEnd w:id="43"/>
      <w:bookmarkEnd w:id="44"/>
      <w:bookmarkEnd w:id="45"/>
      <w:bookmarkEnd w:id="46"/>
      <w:bookmarkEnd w:id="47"/>
      <w:bookmarkEnd w:id="48"/>
    </w:p>
    <w:p w14:paraId="1CA1AAB7">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49" w:name="_Toc23829_WPSOffice_Level2"/>
      <w:bookmarkStart w:id="50" w:name="_Toc25166_WPSOffice_Level2"/>
      <w:bookmarkStart w:id="51" w:name="_Toc22783_WPSOffice_Level2"/>
      <w:bookmarkStart w:id="52" w:name="_Toc7879_WPSOffice_Level2"/>
      <w:bookmarkStart w:id="53" w:name="_Toc13516_WPSOffice_Level2"/>
      <w:bookmarkStart w:id="54" w:name="_Toc2158_WPSOffice_Level2"/>
      <w:r>
        <w:rPr>
          <w:rFonts w:hint="eastAsia" w:ascii="黑体" w:hAnsi="黑体" w:eastAsia="黑体" w:cs="黑体"/>
          <w:color w:val="000000" w:themeColor="text1"/>
          <w:sz w:val="32"/>
          <w:szCs w:val="32"/>
          <w14:textFill>
            <w14:solidFill>
              <w14:schemeClr w14:val="tx1"/>
            </w14:solidFill>
          </w14:textFill>
        </w:rPr>
        <w:t>五、一般公共预算财政拨款收入支出决算</w:t>
      </w:r>
      <w:bookmarkEnd w:id="49"/>
      <w:bookmarkEnd w:id="50"/>
      <w:bookmarkEnd w:id="51"/>
      <w:bookmarkEnd w:id="52"/>
      <w:r>
        <w:rPr>
          <w:rFonts w:hint="eastAsia" w:ascii="黑体" w:hAnsi="黑体" w:eastAsia="黑体" w:cs="黑体"/>
          <w:color w:val="000000" w:themeColor="text1"/>
          <w:sz w:val="32"/>
          <w:szCs w:val="32"/>
          <w14:textFill>
            <w14:solidFill>
              <w14:schemeClr w14:val="tx1"/>
            </w14:solidFill>
          </w14:textFill>
        </w:rPr>
        <w:t>公开表</w:t>
      </w:r>
      <w:bookmarkEnd w:id="53"/>
      <w:bookmarkEnd w:id="54"/>
      <w:bookmarkStart w:id="55" w:name="_Toc2632_WPSOffice_Level2"/>
      <w:bookmarkStart w:id="56" w:name="_Toc25362_WPSOffice_Level2"/>
      <w:bookmarkStart w:id="57" w:name="_Toc17283_WPSOffice_Level2"/>
      <w:bookmarkStart w:id="58" w:name="_Toc5343_WPSOffice_Level2"/>
      <w:bookmarkStart w:id="59" w:name="_Toc8373_WPSOffice_Level2"/>
      <w:bookmarkStart w:id="60" w:name="_Toc17833_WPSOffice_Level2"/>
    </w:p>
    <w:p w14:paraId="163493D2">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六、一般公共预算财政拨款基本支出决算</w:t>
      </w:r>
      <w:bookmarkEnd w:id="55"/>
      <w:bookmarkEnd w:id="56"/>
      <w:bookmarkEnd w:id="57"/>
      <w:bookmarkEnd w:id="58"/>
      <w:bookmarkEnd w:id="59"/>
      <w:bookmarkEnd w:id="60"/>
      <w:r>
        <w:rPr>
          <w:rFonts w:hint="eastAsia" w:ascii="黑体" w:hAnsi="黑体" w:eastAsia="黑体" w:cs="黑体"/>
          <w:color w:val="000000" w:themeColor="text1"/>
          <w:sz w:val="32"/>
          <w:szCs w:val="32"/>
          <w14:textFill>
            <w14:solidFill>
              <w14:schemeClr w14:val="tx1"/>
            </w14:solidFill>
          </w14:textFill>
        </w:rPr>
        <w:t>公开表</w:t>
      </w:r>
    </w:p>
    <w:p w14:paraId="11250B0D">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bookmarkStart w:id="61" w:name="_Toc13345_WPSOffice_Level2"/>
      <w:bookmarkStart w:id="62" w:name="_Toc21310_WPSOffice_Level2"/>
      <w:bookmarkStart w:id="63" w:name="_Toc5594_WPSOffice_Level2"/>
      <w:bookmarkStart w:id="64" w:name="_Toc11799_WPSOffice_Level2"/>
      <w:bookmarkStart w:id="65" w:name="_Toc1533_WPSOffice_Level2"/>
      <w:bookmarkStart w:id="66" w:name="_Toc6020_WPSOffice_Level2"/>
      <w:r>
        <w:rPr>
          <w:rFonts w:hint="eastAsia" w:ascii="黑体" w:hAnsi="黑体" w:eastAsia="黑体" w:cs="黑体"/>
          <w:color w:val="000000" w:themeColor="text1"/>
          <w:sz w:val="32"/>
          <w:szCs w:val="32"/>
          <w14:textFill>
            <w14:solidFill>
              <w14:schemeClr w14:val="tx1"/>
            </w14:solidFill>
          </w14:textFill>
        </w:rPr>
        <w:t>七、政府性基金预算财政拨款收入支出决算</w:t>
      </w:r>
      <w:bookmarkEnd w:id="61"/>
      <w:bookmarkEnd w:id="62"/>
      <w:bookmarkEnd w:id="63"/>
      <w:bookmarkEnd w:id="64"/>
      <w:bookmarkEnd w:id="65"/>
      <w:bookmarkEnd w:id="66"/>
      <w:r>
        <w:rPr>
          <w:rFonts w:hint="eastAsia" w:ascii="黑体" w:hAnsi="黑体" w:eastAsia="黑体" w:cs="黑体"/>
          <w:color w:val="000000" w:themeColor="text1"/>
          <w:sz w:val="32"/>
          <w:szCs w:val="32"/>
          <w14:textFill>
            <w14:solidFill>
              <w14:schemeClr w14:val="tx1"/>
            </w14:solidFill>
          </w14:textFill>
        </w:rPr>
        <w:t>公开表</w:t>
      </w:r>
    </w:p>
    <w:p w14:paraId="33B6C1DC">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八、国有资本经营预算财政拨款收入支出决算公开表</w:t>
      </w:r>
    </w:p>
    <w:p w14:paraId="6225979D">
      <w:pPr>
        <w:spacing w:line="578" w:lineRule="exact"/>
        <w:ind w:firstLine="640"/>
        <w:rPr>
          <w:rFonts w:hint="eastAsia" w:ascii="黑体" w:hAnsi="黑体" w:eastAsia="黑体" w:cs="黑体"/>
          <w:color w:val="000000" w:themeColor="text1"/>
          <w:sz w:val="32"/>
          <w:szCs w:val="32"/>
          <w14:textFill>
            <w14:solidFill>
              <w14:schemeClr w14:val="tx1"/>
            </w14:solidFill>
          </w14:textFill>
        </w:rPr>
      </w:pPr>
      <w:bookmarkStart w:id="67" w:name="_Toc29886_WPSOffice_Level2"/>
      <w:bookmarkStart w:id="68" w:name="_Toc9377_WPSOffice_Level2"/>
      <w:bookmarkStart w:id="69" w:name="_Toc19961_WPSOffice_Level2"/>
      <w:bookmarkStart w:id="70" w:name="_Toc1820_WPSOffice_Level2"/>
      <w:r>
        <w:rPr>
          <w:rFonts w:hint="eastAsia" w:ascii="黑体" w:hAnsi="黑体" w:eastAsia="黑体" w:cs="黑体"/>
          <w:color w:val="000000" w:themeColor="text1"/>
          <w:sz w:val="32"/>
          <w:szCs w:val="32"/>
          <w14:textFill>
            <w14:solidFill>
              <w14:schemeClr w14:val="tx1"/>
            </w14:solidFill>
          </w14:textFill>
        </w:rPr>
        <w:t>九、财政拨款“三公”经费支出决算</w:t>
      </w:r>
      <w:bookmarkEnd w:id="67"/>
      <w:bookmarkEnd w:id="68"/>
      <w:bookmarkEnd w:id="69"/>
      <w:bookmarkEnd w:id="70"/>
      <w:r>
        <w:rPr>
          <w:rFonts w:hint="eastAsia" w:ascii="黑体" w:hAnsi="黑体" w:eastAsia="黑体" w:cs="黑体"/>
          <w:color w:val="000000" w:themeColor="text1"/>
          <w:sz w:val="32"/>
          <w:szCs w:val="32"/>
          <w14:textFill>
            <w14:solidFill>
              <w14:schemeClr w14:val="tx1"/>
            </w14:solidFill>
          </w14:textFill>
        </w:rPr>
        <w:t>公开表</w:t>
      </w:r>
    </w:p>
    <w:p w14:paraId="752E8721">
      <w:pPr>
        <w:spacing w:line="578" w:lineRule="exact"/>
        <w:ind w:firstLine="640"/>
        <w:rPr>
          <w:rFonts w:hint="eastAsia" w:ascii="仿宋" w:hAnsi="仿宋" w:eastAsia="仿宋" w:cs="仿宋"/>
          <w:color w:val="000000" w:themeColor="text1"/>
          <w:w w:val="100"/>
          <w:sz w:val="32"/>
          <w:szCs w:val="32"/>
          <w14:textFill>
            <w14:solidFill>
              <w14:schemeClr w14:val="tx1"/>
            </w14:solidFill>
          </w14:textFill>
        </w:rPr>
      </w:pPr>
      <w:r>
        <w:rPr>
          <w:rFonts w:hint="eastAsia" w:ascii="仿宋" w:hAnsi="仿宋" w:eastAsia="仿宋" w:cs="仿宋"/>
          <w:color w:val="000000" w:themeColor="text1"/>
          <w:w w:val="100"/>
          <w:sz w:val="32"/>
          <w:szCs w:val="32"/>
          <w14:textFill>
            <w14:solidFill>
              <w14:schemeClr w14:val="tx1"/>
            </w14:solidFill>
          </w14:textFill>
        </w:rPr>
        <w:t xml:space="preserve">以上报表见附件1。   </w:t>
      </w:r>
    </w:p>
    <w:p w14:paraId="5B482E07">
      <w:pPr>
        <w:spacing w:line="578" w:lineRule="exact"/>
        <w:rPr>
          <w:rFonts w:hint="eastAsia" w:ascii="黑体" w:hAnsi="黑体" w:eastAsia="黑体" w:cs="黑体"/>
          <w:color w:val="000000" w:themeColor="text1"/>
          <w:sz w:val="32"/>
          <w:szCs w:val="32"/>
          <w14:textFill>
            <w14:solidFill>
              <w14:schemeClr w14:val="tx1"/>
            </w14:solidFill>
          </w14:textFill>
        </w:rPr>
      </w:pPr>
    </w:p>
    <w:p w14:paraId="31BF6332">
      <w:pPr>
        <w:spacing w:line="578" w:lineRule="exact"/>
        <w:jc w:val="center"/>
        <w:rPr>
          <w:rFonts w:hint="eastAsia" w:ascii="黑体" w:hAnsi="ˎ̥" w:eastAsia="黑体"/>
          <w:color w:val="000000" w:themeColor="text1"/>
          <w:sz w:val="32"/>
          <w:szCs w:val="32"/>
          <w14:textFill>
            <w14:solidFill>
              <w14:schemeClr w14:val="tx1"/>
            </w14:solidFill>
          </w14:textFill>
        </w:rPr>
      </w:pPr>
      <w:bookmarkStart w:id="71" w:name="_Toc31264_WPSOffice_Level1"/>
      <w:bookmarkStart w:id="72" w:name="_Toc28629_WPSOffice_Level1"/>
      <w:bookmarkStart w:id="73" w:name="_Toc29683_WPSOffice_Level1"/>
      <w:bookmarkStart w:id="74" w:name="_Toc27590_WPSOffice_Level1"/>
      <w:bookmarkStart w:id="75" w:name="_Toc16686_WPSOffice_Level1"/>
      <w:bookmarkStart w:id="76" w:name="_Toc4402_WPSOffice_Level1"/>
      <w:r>
        <w:rPr>
          <w:rFonts w:hint="eastAsia" w:ascii="黑体" w:hAnsi="ˎ̥" w:eastAsia="黑体"/>
          <w:color w:val="000000" w:themeColor="text1"/>
          <w:sz w:val="32"/>
          <w:szCs w:val="32"/>
          <w14:textFill>
            <w14:solidFill>
              <w14:schemeClr w14:val="tx1"/>
            </w14:solidFill>
          </w14:textFill>
        </w:rPr>
        <w:t xml:space="preserve">第三部分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年度部门决算情况说明</w:t>
      </w:r>
      <w:bookmarkEnd w:id="71"/>
      <w:bookmarkEnd w:id="72"/>
      <w:bookmarkEnd w:id="73"/>
      <w:bookmarkEnd w:id="74"/>
      <w:bookmarkEnd w:id="75"/>
      <w:bookmarkEnd w:id="76"/>
    </w:p>
    <w:p w14:paraId="0108672B">
      <w:pPr>
        <w:spacing w:line="578" w:lineRule="exact"/>
        <w:jc w:val="center"/>
        <w:rPr>
          <w:rFonts w:hint="eastAsia" w:ascii="黑体" w:hAnsi="ˎ̥" w:eastAsia="黑体"/>
          <w:color w:val="000000" w:themeColor="text1"/>
          <w:sz w:val="32"/>
          <w:szCs w:val="32"/>
          <w14:textFill>
            <w14:solidFill>
              <w14:schemeClr w14:val="tx1"/>
            </w14:solidFill>
          </w14:textFill>
        </w:rPr>
      </w:pPr>
    </w:p>
    <w:p w14:paraId="24303C8D">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highlight w:val="none"/>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收入支出总体情况说明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楷体_GB2312" w:hAnsi="ˎ̥" w:eastAsia="楷体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年度收入总计</w:t>
      </w:r>
      <w:r>
        <w:rPr>
          <w:rFonts w:hint="default" w:ascii="仿宋_GB2312" w:hAnsi="ˎ̥" w:eastAsia="仿宋_GB2312"/>
          <w:color w:val="000000" w:themeColor="text1"/>
          <w:sz w:val="32"/>
          <w:szCs w:val="32"/>
          <w:lang w:val="en-US"/>
          <w14:textFill>
            <w14:solidFill>
              <w14:schemeClr w14:val="tx1"/>
            </w14:solidFill>
          </w14:textFill>
        </w:rPr>
        <w:t>1,169.59</w:t>
      </w:r>
      <w:r>
        <w:rPr>
          <w:rFonts w:hint="eastAsia" w:ascii="仿宋_GB2312" w:hAnsi="ˎ̥" w:eastAsia="仿宋_GB2312"/>
          <w:color w:val="000000" w:themeColor="text1"/>
          <w:sz w:val="32"/>
          <w:szCs w:val="32"/>
          <w14:textFill>
            <w14:solidFill>
              <w14:schemeClr w14:val="tx1"/>
            </w14:solidFill>
          </w14:textFill>
        </w:rPr>
        <w:t>万元，支出总计</w:t>
      </w:r>
      <w:r>
        <w:rPr>
          <w:rFonts w:hint="default" w:ascii="仿宋_GB2312" w:hAnsi="ˎ̥" w:eastAsia="仿宋_GB2312"/>
          <w:color w:val="000000" w:themeColor="text1"/>
          <w:sz w:val="32"/>
          <w:szCs w:val="32"/>
          <w:lang w:val="en-US"/>
          <w14:textFill>
            <w14:solidFill>
              <w14:schemeClr w14:val="tx1"/>
            </w14:solidFill>
          </w14:textFill>
        </w:rPr>
        <w:t>1,169.59</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年度相比，收入、支出总计各增加</w:t>
      </w:r>
      <w:r>
        <w:rPr>
          <w:rFonts w:hint="eastAsia" w:ascii="仿宋_GB2312" w:hAnsi="ˎ̥" w:eastAsia="仿宋_GB2312"/>
          <w:color w:val="000000" w:themeColor="text1"/>
          <w:sz w:val="32"/>
          <w:szCs w:val="32"/>
          <w:lang w:val="en-US" w:eastAsia="zh-CN"/>
          <w14:textFill>
            <w14:solidFill>
              <w14:schemeClr w14:val="tx1"/>
            </w14:solidFill>
          </w14:textFill>
        </w:rPr>
        <w:t>275.7</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30.84</w:t>
      </w:r>
      <w:r>
        <w:rPr>
          <w:rFonts w:hint="eastAsia" w:ascii="仿宋_GB2312" w:hAnsi="ˎ̥" w:eastAsia="仿宋_GB2312"/>
          <w:color w:val="000000" w:themeColor="text1"/>
          <w:sz w:val="32"/>
          <w:szCs w:val="32"/>
          <w14:textFill>
            <w14:solidFill>
              <w14:schemeClr w14:val="tx1"/>
            </w14:solidFill>
          </w14:textFill>
        </w:rPr>
        <w:t>%。主要原因：一是</w:t>
      </w:r>
      <w:r>
        <w:rPr>
          <w:rFonts w:hint="eastAsia" w:ascii="仿宋_GB2312" w:hAnsi="ˎ̥" w:eastAsia="仿宋_GB2312"/>
          <w:color w:val="000000" w:themeColor="text1"/>
          <w:sz w:val="32"/>
          <w:szCs w:val="32"/>
          <w:lang w:val="en-US" w:eastAsia="zh-CN"/>
          <w14:textFill>
            <w14:solidFill>
              <w14:schemeClr w14:val="tx1"/>
            </w14:solidFill>
          </w14:textFill>
        </w:rPr>
        <w:t>教育支出比上年增加了</w:t>
      </w:r>
      <w:r>
        <w:rPr>
          <w:rFonts w:hint="eastAsia" w:ascii="仿宋_GB2312" w:hAnsi="ˎ̥" w:eastAsia="仿宋_GB2312"/>
          <w:color w:val="000000" w:themeColor="text1"/>
          <w:sz w:val="32"/>
          <w:szCs w:val="32"/>
          <w14:textFill>
            <w14:solidFill>
              <w14:schemeClr w14:val="tx1"/>
            </w14:solidFill>
          </w14:textFill>
        </w:rPr>
        <w:t>；二是</w:t>
      </w:r>
      <w:r>
        <w:rPr>
          <w:rFonts w:hint="eastAsia" w:ascii="仿宋_GB2312" w:hAnsi="ˎ̥" w:eastAsia="仿宋_GB2312"/>
          <w:color w:val="000000" w:themeColor="text1"/>
          <w:sz w:val="32"/>
          <w:szCs w:val="32"/>
          <w:lang w:val="en-US" w:eastAsia="zh-CN"/>
          <w14:textFill>
            <w14:solidFill>
              <w14:schemeClr w14:val="tx1"/>
            </w14:solidFill>
          </w14:textFill>
        </w:rPr>
        <w:t>社会保障就业支出增加</w:t>
      </w:r>
      <w:r>
        <w:rPr>
          <w:rFonts w:hint="eastAsia" w:ascii="仿宋_GB2312" w:hAnsi="ˎ̥" w:eastAsia="仿宋_GB2312"/>
          <w:color w:val="000000" w:themeColor="text1"/>
          <w:sz w:val="32"/>
          <w:szCs w:val="32"/>
          <w:highlight w:val="none"/>
          <w14:textFill>
            <w14:solidFill>
              <w14:schemeClr w14:val="tx1"/>
            </w14:solidFill>
          </w14:textFill>
        </w:rPr>
        <w:t>。</w:t>
      </w:r>
    </w:p>
    <w:p w14:paraId="05B8AFDA">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收入</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w:t>
      </w:r>
      <w:r>
        <w:rPr>
          <w:rFonts w:ascii="仿宋_GB2312" w:hAnsi="ˎ̥" w:eastAsia="仿宋_GB2312"/>
          <w:color w:val="000000" w:themeColor="text1"/>
          <w:sz w:val="32"/>
          <w:szCs w:val="32"/>
          <w14:textFill>
            <w14:solidFill>
              <w14:schemeClr w14:val="tx1"/>
            </w14:solidFill>
          </w14:textFill>
        </w:rPr>
        <w:t>收入</w:t>
      </w:r>
      <w:r>
        <w:rPr>
          <w:rFonts w:hint="default" w:ascii="仿宋_GB2312" w:hAnsi="ˎ̥" w:eastAsia="仿宋_GB2312"/>
          <w:color w:val="000000" w:themeColor="text1"/>
          <w:sz w:val="32"/>
          <w:szCs w:val="32"/>
          <w:lang w:val="en-US"/>
          <w14:textFill>
            <w14:solidFill>
              <w14:schemeClr w14:val="tx1"/>
            </w14:solidFill>
          </w14:textFill>
        </w:rPr>
        <w:t>1,148.62</w:t>
      </w:r>
      <w:r>
        <w:rPr>
          <w:rFonts w:hint="eastAsia" w:ascii="仿宋_GB2312" w:hAnsi="ˎ̥" w:eastAsia="仿宋_GB2312"/>
          <w:color w:val="000000" w:themeColor="text1"/>
          <w:sz w:val="32"/>
          <w:szCs w:val="32"/>
          <w14:textFill>
            <w14:solidFill>
              <w14:schemeClr w14:val="tx1"/>
            </w14:solidFill>
          </w14:textFill>
        </w:rPr>
        <w:t>万元。</w:t>
      </w:r>
    </w:p>
    <w:p w14:paraId="34A5C8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使用非财政拨款结余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万元，主要原因是非财政拨款结余。</w:t>
      </w:r>
    </w:p>
    <w:p w14:paraId="5B2819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年初结转结余</w:t>
      </w:r>
      <w:r>
        <w:rPr>
          <w:rFonts w:hint="default" w:ascii="仿宋_GB2312" w:hAnsi="ˎ̥" w:eastAsia="仿宋_GB2312"/>
          <w:color w:val="000000" w:themeColor="text1"/>
          <w:sz w:val="32"/>
          <w:szCs w:val="32"/>
          <w:lang w:val="en-US"/>
          <w14:textFill>
            <w14:solidFill>
              <w14:schemeClr w14:val="tx1"/>
            </w14:solidFill>
          </w14:textFill>
        </w:rPr>
        <w:t>20.97</w:t>
      </w:r>
      <w:r>
        <w:rPr>
          <w:rFonts w:hint="eastAsia" w:ascii="仿宋_GB2312" w:hAnsi="ˎ̥" w:eastAsia="仿宋_GB2312"/>
          <w:color w:val="000000" w:themeColor="text1"/>
          <w:sz w:val="32"/>
          <w:szCs w:val="32"/>
          <w14:textFill>
            <w14:solidFill>
              <w14:schemeClr w14:val="tx1"/>
            </w14:solidFill>
          </w14:textFill>
        </w:rPr>
        <w:t>万元，主要是</w:t>
      </w:r>
      <w:r>
        <w:rPr>
          <w:rFonts w:hint="eastAsia" w:ascii="仿宋_GB2312" w:hAnsi="ˎ̥" w:eastAsia="仿宋_GB2312"/>
          <w:color w:val="000000" w:themeColor="text1"/>
          <w:sz w:val="32"/>
          <w:szCs w:val="32"/>
          <w:lang w:eastAsia="zh-CN"/>
          <w14:textFill>
            <w14:solidFill>
              <w14:schemeClr w14:val="tx1"/>
            </w14:solidFill>
          </w14:textFill>
        </w:rPr>
        <w:t>财政拨款</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%，主要原因是年初结转结余。</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lang w:eastAsia="zh-CN"/>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支出</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1,146.60</w:t>
      </w:r>
      <w:r>
        <w:rPr>
          <w:rFonts w:hint="eastAsia" w:ascii="仿宋_GB2312" w:hAnsi="ˎ̥" w:eastAsia="仿宋_GB2312"/>
          <w:color w:val="000000" w:themeColor="text1"/>
          <w:sz w:val="32"/>
          <w:szCs w:val="32"/>
          <w14:textFill>
            <w14:solidFill>
              <w14:schemeClr w14:val="tx1"/>
            </w14:solidFill>
          </w14:textFill>
        </w:rPr>
        <w:t>万元。</w:t>
      </w:r>
    </w:p>
    <w:p w14:paraId="6DAAEA12">
      <w:pPr>
        <w:spacing w:line="578" w:lineRule="exact"/>
        <w:ind w:firstLine="640" w:firstLineChars="200"/>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结余分配</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万元，主要是</w:t>
      </w:r>
      <w:r>
        <w:rPr>
          <w:rFonts w:hint="eastAsia" w:ascii="仿宋_GB2312" w:hAnsi="ˎ̥" w:eastAsia="仿宋_GB2312"/>
          <w:color w:val="000000" w:themeColor="text1"/>
          <w:sz w:val="32"/>
          <w:szCs w:val="32"/>
          <w:lang w:eastAsia="zh-CN"/>
          <w14:textFill>
            <w14:solidFill>
              <w14:schemeClr w14:val="tx1"/>
            </w14:solidFill>
          </w14:textFill>
        </w:rPr>
        <w:t>财政拨款</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eastAsia="zh-CN"/>
          <w14:textFill>
            <w14:solidFill>
              <w14:schemeClr w14:val="tx1"/>
            </w14:solidFill>
          </w14:textFill>
        </w:rPr>
        <w:t>结余分配</w:t>
      </w:r>
      <w:r>
        <w:rPr>
          <w:rFonts w:hint="eastAsia" w:ascii="仿宋_GB2312" w:hAnsi="ˎ̥" w:eastAsia="仿宋_GB2312"/>
          <w:color w:val="000000" w:themeColor="text1"/>
          <w:sz w:val="32"/>
          <w:szCs w:val="32"/>
          <w14:textFill>
            <w14:solidFill>
              <w14:schemeClr w14:val="tx1"/>
            </w14:solidFill>
          </w14:textFill>
        </w:rPr>
        <w:t>。</w:t>
      </w:r>
    </w:p>
    <w:p w14:paraId="643576ED">
      <w:pPr>
        <w:spacing w:line="578" w:lineRule="exact"/>
        <w:ind w:firstLine="640" w:firstLineChars="200"/>
        <w:rPr>
          <w:rFonts w:hint="eastAsia" w:ascii="楷体_GB2312" w:hAnsi="ˎ̥" w:eastAsia="楷体_GB2312"/>
          <w:color w:val="000000" w:themeColor="text1"/>
          <w:sz w:val="32"/>
          <w:szCs w:val="32"/>
          <w:highlight w:val="none"/>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年末结转结余</w:t>
      </w:r>
      <w:r>
        <w:rPr>
          <w:rFonts w:hint="default" w:ascii="仿宋_GB2312" w:hAnsi="ˎ̥" w:eastAsia="仿宋_GB2312"/>
          <w:color w:val="000000" w:themeColor="text1"/>
          <w:sz w:val="32"/>
          <w:szCs w:val="32"/>
          <w:lang w:val="en-US"/>
          <w14:textFill>
            <w14:solidFill>
              <w14:schemeClr w14:val="tx1"/>
            </w14:solidFill>
          </w14:textFill>
        </w:rPr>
        <w:t>22.99</w:t>
      </w:r>
      <w:r>
        <w:rPr>
          <w:rFonts w:hint="eastAsia" w:ascii="仿宋_GB2312" w:hAnsi="ˎ̥" w:eastAsia="仿宋_GB2312"/>
          <w:color w:val="000000" w:themeColor="text1"/>
          <w:sz w:val="32"/>
          <w:szCs w:val="32"/>
          <w14:textFill>
            <w14:solidFill>
              <w14:schemeClr w14:val="tx1"/>
            </w14:solidFill>
          </w14:textFill>
        </w:rPr>
        <w:t>万元，主要是</w:t>
      </w:r>
      <w:r>
        <w:rPr>
          <w:rFonts w:hint="eastAsia" w:ascii="仿宋_GB2312" w:hAnsi="ˎ̥" w:eastAsia="仿宋_GB2312"/>
          <w:color w:val="000000" w:themeColor="text1"/>
          <w:sz w:val="32"/>
          <w:szCs w:val="32"/>
          <w:lang w:eastAsia="zh-CN"/>
          <w14:textFill>
            <w14:solidFill>
              <w14:schemeClr w14:val="tx1"/>
            </w14:solidFill>
          </w14:textFill>
        </w:rPr>
        <w:t>财政拨款</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%，主要原因是年末结转结余。</w:t>
      </w:r>
    </w:p>
    <w:p w14:paraId="5ABFB0DE">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p>
    <w:p w14:paraId="3B02073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二、收入决算情况说明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仿宋_GB2312" w:hAnsi="ˎ̥" w:eastAsia="仿宋_GB2312"/>
          <w:color w:val="000000" w:themeColor="text1"/>
          <w:sz w:val="32"/>
          <w:szCs w:val="32"/>
          <w14:textFill>
            <w14:solidFill>
              <w14:schemeClr w14:val="tx1"/>
            </w14:solidFill>
          </w14:textFill>
        </w:rPr>
        <w:t xml:space="preserve">    本年收入</w:t>
      </w:r>
      <w:r>
        <w:rPr>
          <w:rFonts w:hint="default" w:ascii="仿宋_GB2312" w:hAnsi="ˎ̥" w:eastAsia="仿宋_GB2312"/>
          <w:color w:val="000000" w:themeColor="text1"/>
          <w:sz w:val="32"/>
          <w:szCs w:val="32"/>
          <w:lang w:val="en-US"/>
          <w14:textFill>
            <w14:solidFill>
              <w14:schemeClr w14:val="tx1"/>
            </w14:solidFill>
          </w14:textFill>
        </w:rPr>
        <w:t>1,148.62</w:t>
      </w:r>
      <w:r>
        <w:rPr>
          <w:rFonts w:hint="eastAsia" w:ascii="仿宋_GB2312" w:hAnsi="ˎ̥" w:eastAsia="仿宋_GB2312"/>
          <w:color w:val="000000" w:themeColor="text1"/>
          <w:sz w:val="32"/>
          <w:szCs w:val="32"/>
          <w14:textFill>
            <w14:solidFill>
              <w14:schemeClr w14:val="tx1"/>
            </w14:solidFill>
          </w14:textFill>
        </w:rPr>
        <w:t>万元，其中：财政拨款收入</w:t>
      </w:r>
      <w:r>
        <w:rPr>
          <w:rFonts w:hint="default" w:ascii="仿宋_GB2312" w:hAnsi="ˎ̥" w:eastAsia="仿宋_GB2312"/>
          <w:color w:val="000000" w:themeColor="text1"/>
          <w:sz w:val="32"/>
          <w:szCs w:val="32"/>
          <w:lang w:val="en-US"/>
          <w14:textFill>
            <w14:solidFill>
              <w14:schemeClr w14:val="tx1"/>
            </w14:solidFill>
          </w14:textFill>
        </w:rPr>
        <w:t>1,121.61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97.64</w:t>
      </w:r>
      <w:r>
        <w:rPr>
          <w:rFonts w:hint="eastAsia" w:ascii="仿宋_GB2312" w:hAnsi="ˎ̥" w:eastAsia="仿宋_GB2312"/>
          <w:color w:val="000000" w:themeColor="text1"/>
          <w:sz w:val="32"/>
          <w:szCs w:val="32"/>
          <w14:textFill>
            <w14:solidFill>
              <w14:schemeClr w14:val="tx1"/>
            </w14:solidFill>
          </w14:textFill>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%；事业收入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%；其他收入</w:t>
      </w:r>
      <w:r>
        <w:rPr>
          <w:rFonts w:hint="default" w:ascii="仿宋_GB2312" w:hAnsi="ˎ̥" w:eastAsia="仿宋_GB2312"/>
          <w:color w:val="000000" w:themeColor="text1"/>
          <w:sz w:val="32"/>
          <w:szCs w:val="32"/>
          <w:lang w:val="en-US"/>
          <w14:textFill>
            <w14:solidFill>
              <w14:schemeClr w14:val="tx1"/>
            </w14:solidFill>
          </w14:textFill>
        </w:rPr>
        <w:t>27.01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2.35</w:t>
      </w:r>
      <w:r>
        <w:rPr>
          <w:rFonts w:hint="eastAsia" w:ascii="仿宋_GB2312" w:hAnsi="ˎ̥" w:eastAsia="仿宋_GB2312"/>
          <w:color w:val="000000" w:themeColor="text1"/>
          <w:sz w:val="32"/>
          <w:szCs w:val="32"/>
          <w14:textFill>
            <w14:solidFill>
              <w14:schemeClr w14:val="tx1"/>
            </w14:solidFill>
          </w14:textFill>
        </w:rPr>
        <w:t>%。</w:t>
      </w:r>
    </w:p>
    <w:p w14:paraId="5FF693E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1,146.60</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731.84</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63.82</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414.76</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36.17</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四、财政拨款收入支出决算总体情况说明</w:t>
      </w:r>
    </w:p>
    <w:p w14:paraId="46977F3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000000" w:themeColor="text1"/>
          <w:sz w:val="32"/>
          <w:szCs w:val="32"/>
          <w:highlight w:val="none"/>
          <w14:textFill>
            <w14:solidFill>
              <w14:schemeClr w14:val="tx1"/>
            </w14:solidFill>
          </w14:textFill>
        </w:rPr>
      </w:pPr>
      <w:r>
        <w:rPr>
          <w:rFonts w:hint="eastAsia" w:ascii="仿宋_GB2312" w:hAnsi="ˎ̥" w:eastAsia="仿宋_GB2312"/>
          <w:color w:val="000000" w:themeColor="text1"/>
          <w:sz w:val="32"/>
          <w:szCs w:val="32"/>
          <w:highlight w:val="none"/>
          <w14:textFill>
            <w14:solidFill>
              <w14:schemeClr w14:val="tx1"/>
            </w14:solidFill>
          </w14:textFill>
        </w:rPr>
        <w:t>202</w:t>
      </w:r>
      <w:r>
        <w:rPr>
          <w:rFonts w:hint="eastAsia" w:ascii="仿宋_GB2312" w:hAnsi="ˎ̥" w:eastAsia="仿宋_GB2312"/>
          <w:color w:val="000000" w:themeColor="text1"/>
          <w:sz w:val="32"/>
          <w:szCs w:val="32"/>
          <w:highlight w:val="none"/>
          <w:lang w:val="en-US" w:eastAsia="zh-CN"/>
          <w14:textFill>
            <w14:solidFill>
              <w14:schemeClr w14:val="tx1"/>
            </w14:solidFill>
          </w14:textFill>
        </w:rPr>
        <w:t>4</w:t>
      </w:r>
      <w:r>
        <w:rPr>
          <w:rFonts w:hint="eastAsia" w:ascii="仿宋_GB2312" w:hAnsi="ˎ̥" w:eastAsia="仿宋_GB2312"/>
          <w:color w:val="000000" w:themeColor="text1"/>
          <w:sz w:val="32"/>
          <w:szCs w:val="32"/>
          <w:highlight w:val="none"/>
          <w14:textFill>
            <w14:solidFill>
              <w14:schemeClr w14:val="tx1"/>
            </w14:solidFill>
          </w14:textFill>
        </w:rPr>
        <w:t>年度财政拨款收入</w:t>
      </w:r>
      <w:r>
        <w:rPr>
          <w:rFonts w:hint="eastAsia" w:ascii="仿宋_GB2312" w:hAnsi="ˎ̥" w:eastAsia="仿宋_GB2312"/>
          <w:color w:val="000000" w:themeColor="text1"/>
          <w:sz w:val="32"/>
          <w:szCs w:val="32"/>
          <w:highlight w:val="none"/>
          <w:lang w:val="en-US" w:eastAsia="zh-CN"/>
          <w14:textFill>
            <w14:solidFill>
              <w14:schemeClr w14:val="tx1"/>
            </w14:solidFill>
          </w14:textFill>
        </w:rPr>
        <w:t>1121.61</w:t>
      </w:r>
      <w:r>
        <w:rPr>
          <w:rFonts w:hint="eastAsia" w:ascii="仿宋_GB2312" w:hAnsi="ˎ̥" w:eastAsia="仿宋_GB2312"/>
          <w:color w:val="000000" w:themeColor="text1"/>
          <w:sz w:val="32"/>
          <w:szCs w:val="32"/>
          <w:highlight w:val="none"/>
          <w14:textFill>
            <w14:solidFill>
              <w14:schemeClr w14:val="tx1"/>
            </w14:solidFill>
          </w14:textFill>
        </w:rPr>
        <w:t>万元，支出</w:t>
      </w:r>
      <w:r>
        <w:rPr>
          <w:rFonts w:hint="eastAsia" w:ascii="仿宋_GB2312" w:hAnsi="ˎ̥" w:eastAsia="仿宋_GB2312"/>
          <w:color w:val="000000" w:themeColor="text1"/>
          <w:sz w:val="32"/>
          <w:szCs w:val="32"/>
          <w:highlight w:val="none"/>
          <w:lang w:val="en-US" w:eastAsia="zh-CN"/>
          <w14:textFill>
            <w14:solidFill>
              <w14:schemeClr w14:val="tx1"/>
            </w14:solidFill>
          </w14:textFill>
        </w:rPr>
        <w:t>1121.61</w:t>
      </w:r>
      <w:r>
        <w:rPr>
          <w:rFonts w:hint="eastAsia" w:ascii="仿宋_GB2312" w:hAnsi="ˎ̥" w:eastAsia="仿宋_GB2312"/>
          <w:color w:val="000000" w:themeColor="text1"/>
          <w:sz w:val="32"/>
          <w:szCs w:val="32"/>
          <w:highlight w:val="none"/>
          <w14:textFill>
            <w14:solidFill>
              <w14:schemeClr w14:val="tx1"/>
            </w14:solidFill>
          </w14:textFill>
        </w:rPr>
        <w:t>万元。与202</w:t>
      </w:r>
      <w:r>
        <w:rPr>
          <w:rFonts w:hint="eastAsia" w:ascii="仿宋_GB2312" w:hAnsi="ˎ̥" w:eastAsia="仿宋_GB2312"/>
          <w:color w:val="000000" w:themeColor="text1"/>
          <w:sz w:val="32"/>
          <w:szCs w:val="32"/>
          <w:highlight w:val="none"/>
          <w:lang w:val="en-US" w:eastAsia="zh-CN"/>
          <w14:textFill>
            <w14:solidFill>
              <w14:schemeClr w14:val="tx1"/>
            </w14:solidFill>
          </w14:textFill>
        </w:rPr>
        <w:t>3</w:t>
      </w:r>
      <w:r>
        <w:rPr>
          <w:rFonts w:hint="eastAsia" w:ascii="仿宋_GB2312" w:hAnsi="ˎ̥" w:eastAsia="仿宋_GB2312"/>
          <w:color w:val="000000" w:themeColor="text1"/>
          <w:sz w:val="32"/>
          <w:szCs w:val="32"/>
          <w:highlight w:val="none"/>
          <w14:textFill>
            <w14:solidFill>
              <w14:schemeClr w14:val="tx1"/>
            </w14:solidFill>
          </w14:textFill>
        </w:rPr>
        <w:t>年度相比，财政拨款收入、支出各增加</w:t>
      </w:r>
      <w:r>
        <w:rPr>
          <w:rFonts w:hint="eastAsia" w:ascii="仿宋_GB2312" w:hAnsi="ˎ̥" w:eastAsia="仿宋_GB2312"/>
          <w:color w:val="000000" w:themeColor="text1"/>
          <w:sz w:val="32"/>
          <w:szCs w:val="32"/>
          <w:highlight w:val="none"/>
          <w:lang w:val="en-US" w:eastAsia="zh-CN"/>
          <w14:textFill>
            <w14:solidFill>
              <w14:schemeClr w14:val="tx1"/>
            </w14:solidFill>
          </w14:textFill>
        </w:rPr>
        <w:t>237.07</w:t>
      </w:r>
      <w:r>
        <w:rPr>
          <w:rFonts w:hint="eastAsia" w:ascii="仿宋_GB2312" w:hAnsi="ˎ̥" w:eastAsia="仿宋_GB2312"/>
          <w:color w:val="000000" w:themeColor="text1"/>
          <w:sz w:val="32"/>
          <w:szCs w:val="32"/>
          <w:highlight w:val="none"/>
          <w14:textFill>
            <w14:solidFill>
              <w14:schemeClr w14:val="tx1"/>
            </w14:solidFill>
          </w14:textFill>
        </w:rPr>
        <w:t>万元，增长</w:t>
      </w:r>
      <w:r>
        <w:rPr>
          <w:rFonts w:hint="eastAsia" w:ascii="仿宋_GB2312" w:hAnsi="ˎ̥" w:eastAsia="仿宋_GB2312"/>
          <w:color w:val="000000" w:themeColor="text1"/>
          <w:sz w:val="32"/>
          <w:szCs w:val="32"/>
          <w:highlight w:val="none"/>
          <w:lang w:val="en-US" w:eastAsia="zh-CN"/>
          <w14:textFill>
            <w14:solidFill>
              <w14:schemeClr w14:val="tx1"/>
            </w14:solidFill>
          </w14:textFill>
        </w:rPr>
        <w:t>26.80</w:t>
      </w:r>
      <w:r>
        <w:rPr>
          <w:rFonts w:hint="eastAsia" w:ascii="仿宋_GB2312" w:hAnsi="ˎ̥" w:eastAsia="仿宋_GB2312"/>
          <w:color w:val="000000" w:themeColor="text1"/>
          <w:sz w:val="32"/>
          <w:szCs w:val="32"/>
          <w:highlight w:val="none"/>
          <w14:textFill>
            <w14:solidFill>
              <w14:schemeClr w14:val="tx1"/>
            </w14:solidFill>
          </w14:textFill>
        </w:rPr>
        <w:t>%。主要原因：</w:t>
      </w:r>
      <w:r>
        <w:rPr>
          <w:rFonts w:hint="eastAsia" w:ascii="仿宋_GB2312" w:hAnsi="ˎ̥" w:eastAsia="仿宋_GB2312"/>
          <w:color w:val="000000" w:themeColor="text1"/>
          <w:sz w:val="32"/>
          <w:szCs w:val="32"/>
          <w:highlight w:val="none"/>
          <w:lang w:val="en-US" w:eastAsia="zh-CN"/>
          <w14:textFill>
            <w14:solidFill>
              <w14:schemeClr w14:val="tx1"/>
            </w14:solidFill>
          </w14:textFill>
        </w:rPr>
        <w:t>教育支出增加了</w:t>
      </w:r>
      <w:r>
        <w:rPr>
          <w:rFonts w:hint="eastAsia" w:ascii="仿宋_GB2312" w:hAnsi="ˎ̥" w:eastAsia="仿宋_GB2312"/>
          <w:color w:val="000000" w:themeColor="text1"/>
          <w:sz w:val="32"/>
          <w:szCs w:val="32"/>
          <w:highlight w:val="none"/>
          <w14:textFill>
            <w14:solidFill>
              <w14:schemeClr w14:val="tx1"/>
            </w14:solidFill>
          </w14:textFill>
        </w:rPr>
        <w:t>。</w:t>
      </w:r>
    </w:p>
    <w:p w14:paraId="6DA6EC7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000000" w:themeColor="text1"/>
          <w:sz w:val="32"/>
          <w:szCs w:val="32"/>
          <w:highlight w:val="none"/>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万元，主要是……（简要说明结转结余形成或来源），较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19.11</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下降</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highlight w:val="none"/>
          <w:lang w:eastAsia="zh-CN"/>
          <w14:textFill>
            <w14:solidFill>
              <w14:schemeClr w14:val="tx1"/>
            </w14:solidFill>
          </w14:textFill>
        </w:rPr>
        <w:t>上一年度结转结余</w:t>
      </w:r>
      <w:r>
        <w:rPr>
          <w:rFonts w:hint="eastAsia" w:ascii="仿宋_GB2312" w:hAnsi="ˎ̥" w:eastAsia="仿宋_GB2312"/>
          <w:color w:val="000000" w:themeColor="text1"/>
          <w:sz w:val="32"/>
          <w:szCs w:val="32"/>
          <w:highlight w:val="none"/>
          <w:lang w:val="en-US" w:eastAsia="zh-CN"/>
          <w14:textFill>
            <w14:solidFill>
              <w14:schemeClr w14:val="tx1"/>
            </w14:solidFill>
          </w14:textFill>
        </w:rPr>
        <w:t>未</w:t>
      </w:r>
      <w:r>
        <w:rPr>
          <w:rFonts w:hint="eastAsia" w:ascii="仿宋_GB2312" w:hAnsi="ˎ̥" w:eastAsia="仿宋_GB2312"/>
          <w:color w:val="000000" w:themeColor="text1"/>
          <w:sz w:val="32"/>
          <w:szCs w:val="32"/>
          <w:highlight w:val="none"/>
          <w:lang w:eastAsia="zh-CN"/>
          <w14:textFill>
            <w14:solidFill>
              <w14:schemeClr w14:val="tx1"/>
            </w14:solidFill>
          </w14:textFill>
        </w:rPr>
        <w:t>分配。</w:t>
      </w:r>
    </w:p>
    <w:p w14:paraId="49F4BEF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highlight w:val="none"/>
          <w14:textFill>
            <w14:solidFill>
              <w14:schemeClr w14:val="tx1"/>
            </w14:solidFill>
          </w14:textFill>
        </w:rPr>
        <w:t>主要是</w:t>
      </w:r>
      <w:r>
        <w:rPr>
          <w:rFonts w:hint="eastAsia" w:ascii="仿宋_GB2312" w:hAnsi="ˎ̥" w:eastAsia="仿宋_GB2312"/>
          <w:color w:val="000000" w:themeColor="text1"/>
          <w:sz w:val="32"/>
          <w:szCs w:val="32"/>
          <w:lang w:eastAsia="zh-CN"/>
          <w14:textFill>
            <w14:solidFill>
              <w14:schemeClr w14:val="tx1"/>
            </w14:solidFill>
          </w14:textFill>
        </w:rPr>
        <w:t>主要是商品和服务支出</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19.11</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highlight w:val="none"/>
          <w:lang w:eastAsia="zh-CN"/>
          <w14:textFill>
            <w14:solidFill>
              <w14:schemeClr w14:val="tx1"/>
            </w14:solidFill>
          </w14:textFill>
        </w:rPr>
        <w:t>本年度结转结余</w:t>
      </w:r>
      <w:r>
        <w:rPr>
          <w:rFonts w:hint="eastAsia" w:ascii="仿宋_GB2312" w:hAnsi="ˎ̥" w:eastAsia="仿宋_GB2312"/>
          <w:color w:val="000000" w:themeColor="text1"/>
          <w:sz w:val="32"/>
          <w:szCs w:val="32"/>
          <w:highlight w:val="none"/>
          <w:lang w:val="en-US" w:eastAsia="zh-CN"/>
          <w14:textFill>
            <w14:solidFill>
              <w14:schemeClr w14:val="tx1"/>
            </w14:solidFill>
          </w14:textFill>
        </w:rPr>
        <w:t>已</w:t>
      </w:r>
      <w:r>
        <w:rPr>
          <w:rFonts w:hint="eastAsia" w:ascii="仿宋_GB2312" w:hAnsi="ˎ̥" w:eastAsia="仿宋_GB2312"/>
          <w:color w:val="000000" w:themeColor="text1"/>
          <w:sz w:val="32"/>
          <w:szCs w:val="32"/>
          <w:highlight w:val="none"/>
          <w:lang w:eastAsia="zh-CN"/>
          <w14:textFill>
            <w14:solidFill>
              <w14:schemeClr w14:val="tx1"/>
            </w14:solidFill>
          </w14:textFill>
        </w:rPr>
        <w:t>分配。</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五、一般公共预算财政拨款支出决算情况说明</w:t>
      </w:r>
    </w:p>
    <w:p w14:paraId="556163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77" w:name="_Toc17398_WPSOffice_Level2"/>
      <w:bookmarkStart w:id="78" w:name="_Toc23005_WPSOffice_Level2"/>
      <w:bookmarkStart w:id="79" w:name="_Toc9989_WPSOffice_Level2"/>
      <w:bookmarkStart w:id="80" w:name="_Toc21737_WPSOffice_Level2"/>
      <w:bookmarkStart w:id="81" w:name="_Toc13694_WPSOffice_Level2"/>
      <w:bookmarkStart w:id="82" w:name="_Toc19665_WPSOffice_Level2"/>
      <w:r>
        <w:rPr>
          <w:rFonts w:hint="eastAsia" w:ascii="楷体" w:hAnsi="楷体" w:eastAsia="楷体" w:cs="楷体"/>
          <w:color w:val="000000" w:themeColor="text1"/>
          <w:sz w:val="32"/>
          <w:szCs w:val="32"/>
          <w14:textFill>
            <w14:solidFill>
              <w14:schemeClr w14:val="tx1"/>
            </w14:solidFill>
          </w14:textFill>
        </w:rPr>
        <w:t>（一）一般公共预算财政拨款支出决算总体情况</w:t>
      </w:r>
      <w:bookmarkEnd w:id="77"/>
      <w:bookmarkEnd w:id="78"/>
      <w:bookmarkEnd w:id="79"/>
      <w:bookmarkEnd w:id="80"/>
      <w:bookmarkEnd w:id="81"/>
      <w:bookmarkEnd w:id="82"/>
    </w:p>
    <w:p w14:paraId="0A6D05A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1,121.61</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95.89</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年度相比，一般公共预算财政拨款支出增加</w:t>
      </w:r>
      <w:r>
        <w:rPr>
          <w:rFonts w:hint="eastAsia" w:ascii="仿宋_GB2312" w:hAnsi="ˎ̥" w:eastAsia="仿宋_GB2312"/>
          <w:color w:val="000000" w:themeColor="text1"/>
          <w:sz w:val="32"/>
          <w:szCs w:val="32"/>
          <w:lang w:val="en-US" w:eastAsia="zh-CN"/>
          <w14:textFill>
            <w14:solidFill>
              <w14:schemeClr w14:val="tx1"/>
            </w14:solidFill>
          </w14:textFill>
        </w:rPr>
        <w:t>256.19</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29.60</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highlight w:val="none"/>
          <w:lang w:eastAsia="zh-CN"/>
          <w14:textFill>
            <w14:solidFill>
              <w14:schemeClr w14:val="tx1"/>
            </w14:solidFill>
          </w14:textFill>
        </w:rPr>
        <w:t>教育支出</w:t>
      </w:r>
      <w:r>
        <w:rPr>
          <w:rFonts w:hint="eastAsia" w:ascii="仿宋_GB2312" w:hAnsi="ˎ̥" w:eastAsia="仿宋_GB2312"/>
          <w:color w:val="000000" w:themeColor="text1"/>
          <w:sz w:val="32"/>
          <w:szCs w:val="32"/>
          <w:lang w:eastAsia="zh-CN"/>
          <w14:textFill>
            <w14:solidFill>
              <w14:schemeClr w14:val="tx1"/>
            </w14:solidFill>
          </w14:textFill>
        </w:rPr>
        <w:t>增加</w:t>
      </w:r>
      <w:r>
        <w:rPr>
          <w:rFonts w:hint="eastAsia" w:ascii="仿宋_GB2312" w:hAnsi="ˎ̥" w:eastAsia="仿宋_GB2312"/>
          <w:color w:val="000000" w:themeColor="text1"/>
          <w:sz w:val="32"/>
          <w:szCs w:val="32"/>
          <w:highlight w:val="none"/>
          <w14:textFill>
            <w14:solidFill>
              <w14:schemeClr w14:val="tx1"/>
            </w14:solidFill>
          </w14:textFill>
        </w:rPr>
        <w:t>。</w:t>
      </w:r>
    </w:p>
    <w:p w14:paraId="02CF4A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3" w:name="_Toc27767_WPSOffice_Level2"/>
      <w:bookmarkStart w:id="84" w:name="_Toc19535_WPSOffice_Level2"/>
      <w:bookmarkStart w:id="85" w:name="_Toc19075_WPSOffice_Level2"/>
      <w:bookmarkStart w:id="86" w:name="_Toc23864_WPSOffice_Level2"/>
      <w:bookmarkStart w:id="87" w:name="_Toc18793_WPSOffice_Level2"/>
      <w:bookmarkStart w:id="88" w:name="_Toc2711_WPSOffice_Level2"/>
      <w:r>
        <w:rPr>
          <w:rFonts w:hint="eastAsia" w:ascii="楷体" w:hAnsi="楷体" w:eastAsia="楷体" w:cs="楷体"/>
          <w:color w:val="000000" w:themeColor="text1"/>
          <w:sz w:val="32"/>
          <w:szCs w:val="32"/>
          <w14:textFill>
            <w14:solidFill>
              <w14:schemeClr w14:val="tx1"/>
            </w14:solidFill>
          </w14:textFill>
        </w:rPr>
        <w:t>（二）一般公共预算财政拨款支出决算结构情况</w:t>
      </w:r>
      <w:bookmarkEnd w:id="83"/>
      <w:bookmarkEnd w:id="84"/>
      <w:bookmarkEnd w:id="85"/>
      <w:bookmarkEnd w:id="86"/>
      <w:bookmarkEnd w:id="87"/>
      <w:bookmarkEnd w:id="88"/>
    </w:p>
    <w:p w14:paraId="447D6FB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000000" w:themeColor="text1"/>
          <w:sz w:val="32"/>
          <w:szCs w:val="32"/>
          <w:highlight w:val="none"/>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1,121.61</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color w:val="000000" w:themeColor="text1"/>
          <w:sz w:val="32"/>
          <w:szCs w:val="32"/>
          <w:highlight w:val="none"/>
          <w14:textFill>
            <w14:solidFill>
              <w14:schemeClr w14:val="tx1"/>
            </w14:solidFill>
          </w14:textFill>
        </w:rPr>
        <w:t>：</w:t>
      </w:r>
      <w:r>
        <w:rPr>
          <w:rFonts w:hint="eastAsia" w:ascii="仿宋_GB2312" w:hAnsi="ˎ̥" w:eastAsia="仿宋_GB2312"/>
          <w:b/>
          <w:color w:val="000000" w:themeColor="text1"/>
          <w:sz w:val="32"/>
          <w:szCs w:val="32"/>
          <w:lang w:eastAsia="zh-CN"/>
          <w14:textFill>
            <w14:solidFill>
              <w14:schemeClr w14:val="tx1"/>
            </w14:solidFill>
          </w14:textFill>
        </w:rPr>
        <w:t>教育</w:t>
      </w:r>
      <w:r>
        <w:rPr>
          <w:rFonts w:hint="eastAsia" w:ascii="仿宋_GB2312" w:hAnsi="ˎ̥" w:eastAsia="仿宋_GB2312"/>
          <w:b/>
          <w:color w:val="000000" w:themeColor="text1"/>
          <w:sz w:val="32"/>
          <w:szCs w:val="32"/>
          <w14:textFill>
            <w14:solidFill>
              <w14:schemeClr w14:val="tx1"/>
            </w14:solidFill>
          </w14:textFill>
        </w:rPr>
        <w:t>（类）</w:t>
      </w:r>
      <w:r>
        <w:rPr>
          <w:rFonts w:hint="eastAsia" w:ascii="仿宋_GB2312" w:hAnsi="ˎ̥" w:eastAsia="仿宋_GB2312"/>
          <w:color w:val="000000" w:themeColor="text1"/>
          <w:sz w:val="32"/>
          <w:szCs w:val="32"/>
          <w:highlight w:val="none"/>
          <w14:textFill>
            <w14:solidFill>
              <w14:schemeClr w14:val="tx1"/>
            </w14:solidFill>
          </w14:textFill>
        </w:rPr>
        <w:t>支出</w:t>
      </w:r>
      <w:r>
        <w:rPr>
          <w:rFonts w:hint="eastAsia" w:ascii="仿宋_GB2312" w:hAnsi="ˎ̥" w:eastAsia="仿宋_GB2312"/>
          <w:color w:val="000000" w:themeColor="text1"/>
          <w:sz w:val="32"/>
          <w:szCs w:val="32"/>
          <w:highlight w:val="none"/>
          <w:lang w:val="en-US" w:eastAsia="zh-CN"/>
          <w14:textFill>
            <w14:solidFill>
              <w14:schemeClr w14:val="tx1"/>
            </w14:solidFill>
          </w14:textFill>
        </w:rPr>
        <w:t>858.11</w:t>
      </w:r>
      <w:r>
        <w:rPr>
          <w:rFonts w:hint="eastAsia" w:ascii="仿宋_GB2312" w:hAnsi="ˎ̥" w:eastAsia="仿宋_GB2312"/>
          <w:color w:val="000000" w:themeColor="text1"/>
          <w:sz w:val="32"/>
          <w:szCs w:val="32"/>
          <w:highlight w:val="none"/>
          <w14:textFill>
            <w14:solidFill>
              <w14:schemeClr w14:val="tx1"/>
            </w14:solidFill>
          </w14:textFill>
        </w:rPr>
        <w:t>万元，占</w:t>
      </w:r>
      <w:r>
        <w:rPr>
          <w:rFonts w:hint="eastAsia" w:ascii="仿宋_GB2312" w:hAnsi="ˎ̥" w:eastAsia="仿宋_GB2312"/>
          <w:color w:val="000000" w:themeColor="text1"/>
          <w:sz w:val="32"/>
          <w:szCs w:val="32"/>
          <w:highlight w:val="none"/>
          <w:lang w:val="en-US" w:eastAsia="zh-CN"/>
          <w14:textFill>
            <w14:solidFill>
              <w14:schemeClr w14:val="tx1"/>
            </w14:solidFill>
          </w14:textFill>
        </w:rPr>
        <w:t>76.50</w:t>
      </w:r>
      <w:r>
        <w:rPr>
          <w:rFonts w:hint="eastAsia" w:ascii="仿宋_GB2312" w:hAnsi="ˎ̥" w:eastAsia="仿宋_GB2312"/>
          <w:color w:val="000000" w:themeColor="text1"/>
          <w:sz w:val="32"/>
          <w:szCs w:val="32"/>
          <w:highlight w:val="none"/>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138.02</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12.30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color w:val="000000" w:themeColor="text1"/>
          <w:sz w:val="32"/>
          <w:szCs w:val="32"/>
          <w14:textFill>
            <w14:solidFill>
              <w14:schemeClr w14:val="tx1"/>
            </w14:solidFill>
          </w14:textFill>
        </w:rPr>
        <w:t>住房保障（类）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43.44</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3.87</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color w:val="000000" w:themeColor="text1"/>
          <w:sz w:val="32"/>
          <w:szCs w:val="32"/>
          <w:lang w:val="en-US" w:eastAsia="zh-CN"/>
          <w14:textFill>
            <w14:solidFill>
              <w14:schemeClr w14:val="tx1"/>
            </w14:solidFill>
          </w14:textFill>
        </w:rPr>
        <w:t>卫生健康</w:t>
      </w:r>
      <w:r>
        <w:rPr>
          <w:rFonts w:hint="eastAsia" w:ascii="仿宋_GB2312" w:hAnsi="ˎ̥" w:eastAsia="仿宋_GB2312"/>
          <w:b/>
          <w:color w:val="000000" w:themeColor="text1"/>
          <w:sz w:val="32"/>
          <w:szCs w:val="32"/>
          <w14:textFill>
            <w14:solidFill>
              <w14:schemeClr w14:val="tx1"/>
            </w14:solidFill>
          </w14:textFill>
        </w:rPr>
        <w:t>（类）</w:t>
      </w:r>
      <w:r>
        <w:rPr>
          <w:rFonts w:hint="eastAsia" w:ascii="仿宋_GB2312" w:hAnsi="ˎ̥" w:eastAsia="仿宋_GB2312"/>
          <w:color w:val="000000" w:themeColor="text1"/>
          <w:sz w:val="32"/>
          <w:szCs w:val="32"/>
          <w:lang w:val="en-US" w:eastAsia="zh-CN"/>
          <w14:textFill>
            <w14:solidFill>
              <w14:schemeClr w14:val="tx1"/>
            </w14:solidFill>
          </w14:textFill>
        </w:rPr>
        <w:t>支出82.04万元，占7.31%</w:t>
      </w:r>
      <w:r>
        <w:rPr>
          <w:rFonts w:hint="eastAsia" w:ascii="仿宋_GB2312" w:hAnsi="ˎ̥" w:eastAsia="仿宋_GB2312"/>
          <w:color w:val="000000" w:themeColor="text1"/>
          <w:sz w:val="32"/>
          <w:szCs w:val="32"/>
          <w:highlight w:val="none"/>
          <w14:textFill>
            <w14:solidFill>
              <w14:schemeClr w14:val="tx1"/>
            </w14:solidFill>
          </w14:textFill>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9" w:name="_Toc15415_WPSOffice_Level2"/>
      <w:bookmarkStart w:id="90" w:name="_Toc21701_WPSOffice_Level2"/>
      <w:bookmarkStart w:id="91" w:name="_Toc9502_WPSOffice_Level2"/>
      <w:bookmarkStart w:id="92" w:name="_Toc29364_WPSOffice_Level2"/>
      <w:bookmarkStart w:id="93" w:name="_Toc25136_WPSOffice_Level2"/>
      <w:bookmarkStart w:id="94" w:name="_Toc22318_WPSOffice_Level2"/>
      <w:r>
        <w:rPr>
          <w:rFonts w:hint="eastAsia" w:ascii="楷体" w:hAnsi="楷体" w:eastAsia="楷体" w:cs="楷体"/>
          <w:color w:val="000000" w:themeColor="text1"/>
          <w:sz w:val="32"/>
          <w:szCs w:val="32"/>
          <w14:textFill>
            <w14:solidFill>
              <w14:schemeClr w14:val="tx1"/>
            </w14:solidFill>
          </w14:textFill>
        </w:rPr>
        <w:t>（三）一般公共预算财政拨款支出决算具体情况</w:t>
      </w:r>
      <w:bookmarkEnd w:id="89"/>
      <w:bookmarkEnd w:id="90"/>
      <w:bookmarkEnd w:id="91"/>
      <w:bookmarkEnd w:id="92"/>
      <w:bookmarkEnd w:id="93"/>
      <w:bookmarkEnd w:id="94"/>
    </w:p>
    <w:p w14:paraId="04217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年度一般公共预算财政拨款支出支出决算为</w:t>
      </w:r>
      <w:r>
        <w:rPr>
          <w:rFonts w:hint="default" w:ascii="仿宋_GB2312" w:hAnsi="ˎ̥" w:eastAsia="仿宋_GB2312"/>
          <w:color w:val="000000" w:themeColor="text1"/>
          <w:sz w:val="32"/>
          <w:szCs w:val="32"/>
          <w:lang w:val="en-US"/>
          <w14:textFill>
            <w14:solidFill>
              <w14:schemeClr w14:val="tx1"/>
            </w14:solidFill>
          </w14:textFill>
        </w:rPr>
        <w:t>1,121.61</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14:paraId="058D2AAB">
      <w:pPr>
        <w:ind w:firstLine="640" w:firstLineChars="200"/>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1.</w:t>
      </w:r>
      <w:r>
        <w:rPr>
          <w:rFonts w:hint="eastAsia" w:ascii="仿宋_GB2312" w:hAnsi="ˎ̥" w:eastAsia="仿宋_GB2312"/>
          <w:b/>
          <w:color w:val="000000" w:themeColor="text1"/>
          <w:sz w:val="32"/>
          <w:szCs w:val="32"/>
          <w:lang w:val="en-US" w:eastAsia="zh-CN"/>
          <w14:textFill>
            <w14:solidFill>
              <w14:schemeClr w14:val="tx1"/>
            </w14:solidFill>
          </w14:textFill>
        </w:rPr>
        <w:t>教育支出</w:t>
      </w:r>
      <w:r>
        <w:rPr>
          <w:rFonts w:hint="eastAsia" w:ascii="仿宋_GB2312" w:hAnsi="ˎ̥" w:eastAsia="仿宋_GB2312"/>
          <w:b/>
          <w:color w:val="000000" w:themeColor="text1"/>
          <w:sz w:val="32"/>
          <w:szCs w:val="32"/>
          <w14:textFill>
            <w14:solidFill>
              <w14:schemeClr w14:val="tx1"/>
            </w14:solidFill>
          </w14:textFill>
        </w:rPr>
        <w:t>（类）</w:t>
      </w:r>
      <w:r>
        <w:rPr>
          <w:rFonts w:hint="eastAsia" w:ascii="仿宋_GB2312" w:hAnsi="ˎ̥" w:eastAsia="仿宋_GB2312"/>
          <w:b/>
          <w:color w:val="000000" w:themeColor="text1"/>
          <w:sz w:val="32"/>
          <w:szCs w:val="32"/>
          <w:lang w:eastAsia="zh-CN"/>
          <w14:textFill>
            <w14:solidFill>
              <w14:schemeClr w14:val="tx1"/>
            </w14:solidFill>
          </w14:textFill>
        </w:rPr>
        <w:t>普通教育</w:t>
      </w:r>
      <w:r>
        <w:rPr>
          <w:rFonts w:hint="eastAsia" w:ascii="仿宋_GB2312" w:hAnsi="ˎ̥" w:eastAsia="仿宋_GB2312"/>
          <w:b/>
          <w:color w:val="000000" w:themeColor="text1"/>
          <w:sz w:val="32"/>
          <w:szCs w:val="32"/>
          <w14:textFill>
            <w14:solidFill>
              <w14:schemeClr w14:val="tx1"/>
            </w14:solidFill>
          </w14:textFill>
        </w:rPr>
        <w:t>（款）</w:t>
      </w:r>
      <w:r>
        <w:rPr>
          <w:rFonts w:hint="eastAsia" w:ascii="仿宋_GB2312" w:hAnsi="ˎ̥" w:eastAsia="仿宋_GB2312"/>
          <w:b/>
          <w:color w:val="000000" w:themeColor="text1"/>
          <w:sz w:val="32"/>
          <w:szCs w:val="32"/>
          <w:lang w:eastAsia="zh-CN"/>
          <w14:textFill>
            <w14:solidFill>
              <w14:schemeClr w14:val="tx1"/>
            </w14:solidFill>
          </w14:textFill>
        </w:rPr>
        <w:t>小学教育</w:t>
      </w:r>
      <w:r>
        <w:rPr>
          <w:rFonts w:hint="eastAsia" w:ascii="仿宋_GB2312" w:hAnsi="ˎ̥" w:eastAsia="仿宋_GB2312"/>
          <w:b/>
          <w:color w:val="000000" w:themeColor="text1"/>
          <w:sz w:val="32"/>
          <w:szCs w:val="32"/>
          <w14:textFill>
            <w14:solidFill>
              <w14:schemeClr w14:val="tx1"/>
            </w14:solidFill>
          </w14:textFill>
        </w:rPr>
        <w:t>（项）</w:t>
      </w:r>
    </w:p>
    <w:p w14:paraId="1C103177">
      <w:pPr>
        <w:spacing w:line="560"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858.11</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858.11</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w:t>
      </w:r>
    </w:p>
    <w:p w14:paraId="3E110AB1">
      <w:pPr>
        <w:ind w:firstLine="643" w:firstLineChars="200"/>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b/>
          <w:bCs/>
          <w:color w:val="000000" w:themeColor="text1"/>
          <w:sz w:val="32"/>
          <w:szCs w:val="32"/>
          <w:lang w:val="en-US" w:eastAsia="zh-CN"/>
          <w14:textFill>
            <w14:solidFill>
              <w14:schemeClr w14:val="tx1"/>
            </w14:solidFill>
          </w14:textFill>
        </w:rPr>
        <w:t>2.社会保障和就业支出</w:t>
      </w:r>
      <w:r>
        <w:rPr>
          <w:rFonts w:hint="eastAsia" w:ascii="仿宋_GB2312" w:hAnsi="ˎ̥" w:eastAsia="仿宋_GB2312"/>
          <w:b/>
          <w:color w:val="000000" w:themeColor="text1"/>
          <w:sz w:val="32"/>
          <w:szCs w:val="32"/>
          <w14:textFill>
            <w14:solidFill>
              <w14:schemeClr w14:val="tx1"/>
            </w14:solidFill>
          </w14:textFill>
        </w:rPr>
        <w:t>（类）行政事业单位养老支出（款） 机关事业单位基本养老保险缴费支出（</w:t>
      </w:r>
      <w:r>
        <w:rPr>
          <w:rFonts w:hint="eastAsia" w:ascii="仿宋_GB2312" w:hAnsi="ˎ̥" w:eastAsia="仿宋_GB2312"/>
          <w:b/>
          <w:color w:val="000000" w:themeColor="text1"/>
          <w:sz w:val="32"/>
          <w:szCs w:val="32"/>
          <w:lang w:eastAsia="zh-CN"/>
          <w14:textFill>
            <w14:solidFill>
              <w14:schemeClr w14:val="tx1"/>
            </w14:solidFill>
          </w14:textFill>
        </w:rPr>
        <w:t>项</w:t>
      </w:r>
      <w:r>
        <w:rPr>
          <w:rFonts w:hint="eastAsia" w:ascii="仿宋_GB2312" w:hAnsi="ˎ̥" w:eastAsia="仿宋_GB2312"/>
          <w:b/>
          <w:color w:val="000000" w:themeColor="text1"/>
          <w:sz w:val="32"/>
          <w:szCs w:val="32"/>
          <w14:textFill>
            <w14:solidFill>
              <w14:schemeClr w14:val="tx1"/>
            </w14:solidFill>
          </w14:textFill>
        </w:rPr>
        <w:t>）</w:t>
      </w:r>
    </w:p>
    <w:p w14:paraId="2F49702C">
      <w:pPr>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138.02万元，</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决算数为138.02</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w:t>
      </w:r>
    </w:p>
    <w:p w14:paraId="5E4E77F8">
      <w:pPr>
        <w:ind w:firstLine="643" w:firstLineChars="200"/>
        <w:rPr>
          <w:rFonts w:hint="eastAsia" w:ascii="仿宋_GB2312" w:hAnsi="ˎ̥" w:eastAsia="仿宋_GB2312"/>
          <w:b/>
          <w:color w:val="000000" w:themeColor="text1"/>
          <w:sz w:val="32"/>
          <w:szCs w:val="32"/>
          <w:lang w:eastAsia="zh-CN"/>
          <w14:textFill>
            <w14:solidFill>
              <w14:schemeClr w14:val="tx1"/>
            </w14:solidFill>
          </w14:textFill>
        </w:rPr>
      </w:pPr>
      <w:r>
        <w:rPr>
          <w:rFonts w:hint="eastAsia" w:ascii="仿宋_GB2312" w:hAnsi="ˎ̥" w:eastAsia="仿宋_GB2312"/>
          <w:b/>
          <w:bCs/>
          <w:color w:val="000000" w:themeColor="text1"/>
          <w:sz w:val="32"/>
          <w:szCs w:val="32"/>
          <w:lang w:val="en-US" w:eastAsia="zh-CN"/>
          <w14:textFill>
            <w14:solidFill>
              <w14:schemeClr w14:val="tx1"/>
            </w14:solidFill>
          </w14:textFill>
        </w:rPr>
        <w:t>3.卫生健康支出</w:t>
      </w:r>
      <w:r>
        <w:rPr>
          <w:rFonts w:hint="eastAsia" w:ascii="仿宋_GB2312" w:hAnsi="ˎ̥" w:eastAsia="仿宋_GB2312"/>
          <w:b/>
          <w:color w:val="000000" w:themeColor="text1"/>
          <w:sz w:val="32"/>
          <w:szCs w:val="32"/>
          <w14:textFill>
            <w14:solidFill>
              <w14:schemeClr w14:val="tx1"/>
            </w14:solidFill>
          </w14:textFill>
        </w:rPr>
        <w:t>（类）行政事业单位医疗（款）事业单位医疗（</w:t>
      </w:r>
      <w:r>
        <w:rPr>
          <w:rFonts w:hint="eastAsia" w:ascii="仿宋_GB2312" w:hAnsi="ˎ̥" w:eastAsia="仿宋_GB2312"/>
          <w:b/>
          <w:color w:val="000000" w:themeColor="text1"/>
          <w:sz w:val="32"/>
          <w:szCs w:val="32"/>
          <w:lang w:eastAsia="zh-CN"/>
          <w14:textFill>
            <w14:solidFill>
              <w14:schemeClr w14:val="tx1"/>
            </w14:solidFill>
          </w14:textFill>
        </w:rPr>
        <w:t>项</w:t>
      </w:r>
      <w:r>
        <w:rPr>
          <w:rFonts w:hint="eastAsia" w:ascii="仿宋_GB2312" w:hAnsi="ˎ̥" w:eastAsia="仿宋_GB2312"/>
          <w:b/>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lang w:eastAsia="zh-CN"/>
          <w14:textFill>
            <w14:solidFill>
              <w14:schemeClr w14:val="tx1"/>
            </w14:solidFill>
          </w14:textFill>
        </w:rPr>
        <w:t>和</w:t>
      </w:r>
      <w:r>
        <w:rPr>
          <w:rFonts w:hint="eastAsia" w:ascii="仿宋_GB2312" w:hAnsi="ˎ̥" w:eastAsia="仿宋_GB2312"/>
          <w:b/>
          <w:color w:val="000000" w:themeColor="text1"/>
          <w:sz w:val="32"/>
          <w:szCs w:val="32"/>
          <w14:textFill>
            <w14:solidFill>
              <w14:schemeClr w14:val="tx1"/>
            </w14:solidFill>
          </w14:textFill>
        </w:rPr>
        <w:t xml:space="preserve"> 公务员医疗补助（</w:t>
      </w:r>
      <w:r>
        <w:rPr>
          <w:rFonts w:hint="eastAsia" w:ascii="仿宋_GB2312" w:hAnsi="ˎ̥" w:eastAsia="仿宋_GB2312"/>
          <w:b/>
          <w:color w:val="000000" w:themeColor="text1"/>
          <w:sz w:val="32"/>
          <w:szCs w:val="32"/>
          <w:lang w:eastAsia="zh-CN"/>
          <w14:textFill>
            <w14:solidFill>
              <w14:schemeClr w14:val="tx1"/>
            </w14:solidFill>
          </w14:textFill>
        </w:rPr>
        <w:t>项</w:t>
      </w:r>
      <w:r>
        <w:rPr>
          <w:rFonts w:hint="eastAsia" w:ascii="仿宋_GB2312" w:hAnsi="ˎ̥" w:eastAsia="仿宋_GB2312"/>
          <w:b/>
          <w:color w:val="000000" w:themeColor="text1"/>
          <w:sz w:val="32"/>
          <w:szCs w:val="32"/>
          <w14:textFill>
            <w14:solidFill>
              <w14:schemeClr w14:val="tx1"/>
            </w14:solidFill>
          </w14:textFill>
        </w:rPr>
        <w:t>）</w:t>
      </w:r>
    </w:p>
    <w:p w14:paraId="6A4B95DB">
      <w:pPr>
        <w:ind w:firstLine="640" w:firstLineChars="200"/>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82.04万元，支出决算数82.04万元。</w:t>
      </w:r>
      <w:r>
        <w:rPr>
          <w:rFonts w:hint="eastAsia" w:ascii="仿宋_GB2312" w:hAnsi="ˎ̥" w:eastAsia="仿宋_GB2312"/>
          <w:color w:val="000000" w:themeColor="text1"/>
          <w:sz w:val="32"/>
          <w:szCs w:val="32"/>
          <w14:textFill>
            <w14:solidFill>
              <w14:schemeClr w14:val="tx1"/>
            </w14:solidFill>
          </w14:textFill>
        </w:rPr>
        <w:t>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w:t>
      </w:r>
    </w:p>
    <w:p w14:paraId="07DB58A0">
      <w:pPr>
        <w:numPr>
          <w:ilvl w:val="0"/>
          <w:numId w:val="0"/>
        </w:numPr>
        <w:ind w:firstLine="643" w:firstLineChars="200"/>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b/>
          <w:bCs/>
          <w:color w:val="000000" w:themeColor="text1"/>
          <w:sz w:val="32"/>
          <w:szCs w:val="32"/>
          <w:lang w:val="en-US" w:eastAsia="zh-CN"/>
          <w14:textFill>
            <w14:solidFill>
              <w14:schemeClr w14:val="tx1"/>
            </w14:solidFill>
          </w14:textFill>
        </w:rPr>
        <w:t>4.住房保障支出</w:t>
      </w:r>
      <w:r>
        <w:rPr>
          <w:rFonts w:hint="eastAsia" w:ascii="仿宋_GB2312" w:hAnsi="ˎ̥" w:eastAsia="仿宋_GB2312"/>
          <w:b/>
          <w:color w:val="000000" w:themeColor="text1"/>
          <w:sz w:val="32"/>
          <w:szCs w:val="32"/>
          <w14:textFill>
            <w14:solidFill>
              <w14:schemeClr w14:val="tx1"/>
            </w14:solidFill>
          </w14:textFill>
        </w:rPr>
        <w:t>（类）住房改革支出（款）住房公积金（</w:t>
      </w:r>
      <w:r>
        <w:rPr>
          <w:rFonts w:hint="eastAsia" w:ascii="仿宋_GB2312" w:hAnsi="ˎ̥" w:eastAsia="仿宋_GB2312"/>
          <w:b/>
          <w:color w:val="000000" w:themeColor="text1"/>
          <w:sz w:val="32"/>
          <w:szCs w:val="32"/>
          <w:lang w:eastAsia="zh-CN"/>
          <w14:textFill>
            <w14:solidFill>
              <w14:schemeClr w14:val="tx1"/>
            </w14:solidFill>
          </w14:textFill>
        </w:rPr>
        <w:t>项</w:t>
      </w:r>
      <w:r>
        <w:rPr>
          <w:rFonts w:hint="eastAsia" w:ascii="仿宋_GB2312" w:hAnsi="ˎ̥" w:eastAsia="仿宋_GB2312"/>
          <w:b/>
          <w:color w:val="000000" w:themeColor="text1"/>
          <w:sz w:val="32"/>
          <w:szCs w:val="32"/>
          <w14:textFill>
            <w14:solidFill>
              <w14:schemeClr w14:val="tx1"/>
            </w14:solidFill>
          </w14:textFill>
        </w:rPr>
        <w:t>）</w:t>
      </w:r>
    </w:p>
    <w:p w14:paraId="41171610">
      <w:pPr>
        <w:ind w:firstLine="640" w:firstLineChars="200"/>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43.44万元，支出决算数43.44万元。</w:t>
      </w:r>
      <w:r>
        <w:rPr>
          <w:rFonts w:hint="eastAsia" w:ascii="仿宋_GB2312" w:hAnsi="ˎ̥" w:eastAsia="仿宋_GB2312"/>
          <w:color w:val="000000" w:themeColor="text1"/>
          <w:sz w:val="32"/>
          <w:szCs w:val="32"/>
          <w14:textFill>
            <w14:solidFill>
              <w14:schemeClr w14:val="tx1"/>
            </w14:solidFill>
          </w14:textFill>
        </w:rPr>
        <w:t>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六、一般公共预算财政拨款基本支出决算情况说明</w:t>
      </w:r>
    </w:p>
    <w:p w14:paraId="588683D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年度财政拨款基本支出</w:t>
      </w:r>
      <w:r>
        <w:rPr>
          <w:rFonts w:hint="eastAsia" w:ascii="仿宋_GB2312" w:hAnsi="ˎ̥" w:eastAsia="仿宋_GB2312"/>
          <w:color w:val="000000" w:themeColor="text1"/>
          <w:sz w:val="32"/>
          <w:szCs w:val="32"/>
          <w:lang w:val="en-US"/>
          <w14:textFill>
            <w14:solidFill>
              <w14:schemeClr w14:val="tx1"/>
            </w14:solidFill>
          </w14:textFill>
        </w:rPr>
        <w:t>731.84</w:t>
      </w:r>
      <w:r>
        <w:rPr>
          <w:rFonts w:hint="eastAsia" w:ascii="仿宋_GB2312" w:hAnsi="ˎ̥" w:eastAsia="仿宋_GB2312"/>
          <w:color w:val="000000" w:themeColor="text1"/>
          <w:sz w:val="32"/>
          <w:szCs w:val="32"/>
          <w14:textFill>
            <w14:solidFill>
              <w14:schemeClr w14:val="tx1"/>
            </w14:solidFill>
          </w14:textFill>
        </w:rPr>
        <w:t>万元，其中：人员经费</w:t>
      </w:r>
      <w:r>
        <w:rPr>
          <w:rFonts w:ascii="仿宋_GB2312" w:hAnsi="ˎ̥" w:eastAsia="仿宋_GB2312"/>
          <w:color w:val="000000" w:themeColor="text1"/>
          <w:sz w:val="32"/>
          <w:szCs w:val="32"/>
          <w:lang w:val="en-US"/>
          <w14:textFill>
            <w14:solidFill>
              <w14:schemeClr w14:val="tx1"/>
            </w14:solidFill>
          </w14:textFill>
        </w:rPr>
        <w:t>690.59</w:t>
      </w:r>
      <w:r>
        <w:rPr>
          <w:rFonts w:hint="eastAsia" w:ascii="仿宋_GB2312" w:hAnsi="ˎ̥" w:eastAsia="仿宋_GB2312"/>
          <w:color w:val="000000" w:themeColor="text1"/>
          <w:sz w:val="32"/>
          <w:szCs w:val="32"/>
          <w14:textFill>
            <w14:solidFill>
              <w14:schemeClr w14:val="tx1"/>
            </w14:solidFill>
          </w14:textFill>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000000" w:themeColor="text1"/>
          <w:sz w:val="32"/>
          <w:szCs w:val="32"/>
          <w:lang w:val="en-US"/>
          <w14:textFill>
            <w14:solidFill>
              <w14:schemeClr w14:val="tx1"/>
            </w14:solidFill>
          </w14:textFill>
        </w:rPr>
        <w:t>41.25</w:t>
      </w:r>
      <w:r>
        <w:rPr>
          <w:rFonts w:hint="eastAsia" w:ascii="仿宋_GB2312" w:hAnsi="ˎ̥" w:eastAsia="仿宋_GB2312"/>
          <w:color w:val="000000" w:themeColor="text1"/>
          <w:sz w:val="32"/>
          <w:szCs w:val="32"/>
          <w14:textFill>
            <w14:solidFill>
              <w14:schemeClr w14:val="tx1"/>
            </w14:solidFill>
          </w14:textFill>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000000" w:themeColor="text1"/>
          <w:sz w:val="32"/>
          <w:szCs w:val="32"/>
          <w:lang w:val="en-US" w:eastAsia="zh-CN"/>
          <w14:textFill>
            <w14:solidFill>
              <w14:schemeClr w14:val="tx1"/>
            </w14:solidFill>
          </w14:textFill>
        </w:rPr>
        <w:t>购</w:t>
      </w:r>
      <w:r>
        <w:rPr>
          <w:rFonts w:hint="eastAsia" w:ascii="仿宋_GB2312" w:hAnsi="ˎ̥" w:eastAsia="仿宋_GB2312"/>
          <w:color w:val="000000" w:themeColor="text1"/>
          <w:sz w:val="32"/>
          <w:szCs w:val="32"/>
          <w14:textFill>
            <w14:solidFill>
              <w14:schemeClr w14:val="tx1"/>
            </w14:solidFill>
          </w14:textFill>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6C24DF02">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w:t>
      </w:r>
      <w:r>
        <w:rPr>
          <w:rFonts w:hint="eastAsia" w:ascii="仿宋_GB2312" w:hAnsi="ˎ̥" w:eastAsia="仿宋_GB2312"/>
          <w:color w:val="000000" w:themeColor="text1"/>
          <w:sz w:val="32"/>
          <w:szCs w:val="32"/>
          <w:lang w:val="en-US" w:eastAsia="zh-CN"/>
          <w14:textFill>
            <w14:solidFill>
              <w14:schemeClr w14:val="tx1"/>
            </w14:solidFill>
          </w14:textFill>
        </w:rPr>
        <w:t>数据</w:t>
      </w:r>
      <w:r>
        <w:rPr>
          <w:rFonts w:hint="eastAsia" w:ascii="仿宋_GB2312" w:hAnsi="ˎ̥" w:eastAsia="仿宋_GB2312"/>
          <w:color w:val="000000" w:themeColor="text1"/>
          <w:sz w:val="32"/>
          <w:szCs w:val="32"/>
          <w14:textFill>
            <w14:solidFill>
              <w14:schemeClr w14:val="tx1"/>
            </w14:solidFill>
          </w14:textFill>
        </w:rPr>
        <w:t>可取自财决公开06表，各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14:textFill>
            <w14:solidFill>
              <w14:schemeClr w14:val="tx1"/>
            </w14:solidFill>
          </w14:textFill>
        </w:rPr>
        <w:t>部门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单位根据实际支出情况，选列相应支出经济分类。）</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（一）政府性基金预算财政拨款支出决算总体情况</w:t>
      </w:r>
    </w:p>
    <w:p w14:paraId="0E502A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年度相比，政府性基金预算财政拨款支出增加（减少）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（二）政府性基金预算财政拨款支出决算结构情况</w:t>
      </w:r>
    </w:p>
    <w:p w14:paraId="7B5BDB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14:paraId="2AA579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（三）政府性基金预算财政拨款支出决算具体情况</w:t>
      </w:r>
    </w:p>
    <w:p w14:paraId="184DD0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八、国有资本经营预算财政拨款支出决算情况说明</w:t>
      </w:r>
    </w:p>
    <w:p w14:paraId="160090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（一）国有资本经营预算财政拨款支出决算总体情况</w:t>
      </w:r>
    </w:p>
    <w:p w14:paraId="5E6A223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年度相比，国有资本经营预算财政拨款支出增加（减少）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p>
    <w:p w14:paraId="7F0C56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（二）国有资本经营预算财政拨款支出决算结构情况</w:t>
      </w:r>
    </w:p>
    <w:p w14:paraId="2CDBB1C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14:paraId="6DA2D67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（三）国有资本经营预算财政拨款支出决算具体情况</w:t>
      </w:r>
    </w:p>
    <w:p w14:paraId="360F3D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14:paraId="5834EC2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（一）财政拨款“三公”经费支出决算总体情况说明</w:t>
      </w:r>
    </w:p>
    <w:p w14:paraId="1367A270">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p>
    <w:p w14:paraId="0787B19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楷体" w:hAnsi="楷体" w:eastAsia="楷体" w:cs="楷体"/>
          <w:color w:val="000000" w:themeColor="text1"/>
          <w:sz w:val="32"/>
          <w:szCs w:val="32"/>
          <w14:textFill>
            <w14:solidFill>
              <w14:schemeClr w14:val="tx1"/>
            </w14:solidFill>
          </w14:textFill>
        </w:rPr>
        <w:t xml:space="preserve"> （二）财政拨款“三公”经费支出决算具体情况说明</w:t>
      </w:r>
    </w:p>
    <w:p w14:paraId="7B26A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%；公务用车购置及运行维护费支出决算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%；公务接待费支出决算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%。具体情况如下：</w:t>
      </w:r>
    </w:p>
    <w:p w14:paraId="70283DA7">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1.因公出国（境）费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万元。全年安排因公出国（境）团组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个，因公出国（境）</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14:paraId="7772B67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2.公务用车购置及运行维护费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14:paraId="0BB159C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公务用车购置</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万元，全年购置公务用车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辆，年末公务用车保有量</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p>
    <w:p w14:paraId="2F0F80C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公务用车运行维护费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14:paraId="314933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000000" w:themeColor="text1"/>
          <w:sz w:val="32"/>
          <w:szCs w:val="32"/>
          <w14:textFill>
            <w14:solidFill>
              <w14:schemeClr w14:val="tx1"/>
            </w14:solidFill>
          </w14:textFill>
        </w:rPr>
      </w:pPr>
      <w:r>
        <w:rPr>
          <w:rFonts w:hint="eastAsia" w:ascii="仿宋_GB2312" w:hAnsi="ˎ̥" w:eastAsia="仿宋_GB2312"/>
          <w:bCs/>
          <w:color w:val="000000" w:themeColor="text1"/>
          <w:sz w:val="32"/>
          <w:szCs w:val="32"/>
          <w14:textFill>
            <w14:solidFill>
              <w14:schemeClr w14:val="tx1"/>
            </w14:solidFill>
          </w14:textFill>
        </w:rPr>
        <w:t>公务用车购置及运行维护费支出决算数</w:t>
      </w:r>
      <w:r>
        <w:rPr>
          <w:rFonts w:hint="eastAsia" w:ascii="仿宋_GB2312" w:hAnsi="ˎ̥" w:eastAsia="仿宋_GB2312"/>
          <w:color w:val="000000" w:themeColor="text1"/>
          <w:sz w:val="32"/>
          <w:szCs w:val="32"/>
          <w14:textFill>
            <w14:solidFill>
              <w14:schemeClr w14:val="tx1"/>
            </w14:solidFill>
          </w14:textFill>
        </w:rPr>
        <w:t>比预算数增加（减少）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w:t>
      </w:r>
    </w:p>
    <w:p w14:paraId="4815CAD6">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3.公务接待费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14:paraId="0444BB1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国内接待费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万元，国内公务接待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14:paraId="4AC126C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bCs/>
          <w:color w:val="000000" w:themeColor="text1"/>
          <w:sz w:val="32"/>
          <w:szCs w:val="32"/>
          <w14:textFill>
            <w14:solidFill>
              <w14:schemeClr w14:val="tx1"/>
            </w14:solidFill>
          </w14:textFill>
        </w:rPr>
        <w:t>国（境）外接待费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万元，国（境）外公务接待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14:paraId="037430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公务接待费支出决算数比预算数增加（减少）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default" w:ascii="仿宋_GB2312" w:hAnsi="ˎ̥" w:eastAsia="仿宋_GB2312"/>
          <w:color w:val="000000" w:themeColor="text1"/>
          <w:sz w:val="32"/>
          <w:szCs w:val="32"/>
          <w:lang w:val="en-US"/>
          <w14:textFill>
            <w14:solidFill>
              <w14:schemeClr w14:val="tx1"/>
            </w14:solidFill>
          </w14:textFill>
        </w:rPr>
        <w:t>X</w:t>
      </w:r>
      <w:r>
        <w:rPr>
          <w:rFonts w:hint="eastAsia" w:ascii="仿宋_GB2312" w:hAnsi="ˎ̥" w:eastAsia="仿宋_GB2312"/>
          <w:color w:val="000000" w:themeColor="text1"/>
          <w:sz w:val="32"/>
          <w:szCs w:val="32"/>
          <w14:textFill>
            <w14:solidFill>
              <w14:schemeClr w14:val="tx1"/>
            </w14:solidFill>
          </w14:textFill>
        </w:rPr>
        <w:t>%。</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十、预算绩效情况说明</w:t>
      </w:r>
    </w:p>
    <w:p w14:paraId="1763A1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color w:val="000000" w:themeColor="text1"/>
          <w:sz w:val="32"/>
          <w:szCs w:val="32"/>
          <w:highlight w:val="none"/>
          <w14:textFill>
            <w14:solidFill>
              <w14:schemeClr w14:val="tx1"/>
            </w14:solidFill>
          </w14:textFill>
        </w:rPr>
      </w:pPr>
      <w:r>
        <w:rPr>
          <w:rFonts w:hint="eastAsia" w:ascii="楷体" w:hAnsi="楷体" w:eastAsia="楷体" w:cs="楷体"/>
          <w:b w:val="0"/>
          <w:bCs/>
          <w:color w:val="000000" w:themeColor="text1"/>
          <w:sz w:val="32"/>
          <w:szCs w:val="32"/>
          <w:highlight w:val="none"/>
          <w:lang w:eastAsia="zh-CN"/>
          <w14:textFill>
            <w14:solidFill>
              <w14:schemeClr w14:val="tx1"/>
            </w14:solidFill>
          </w14:textFill>
        </w:rPr>
        <w:t>（一）</w:t>
      </w:r>
      <w:r>
        <w:rPr>
          <w:rFonts w:hint="eastAsia" w:ascii="楷体" w:hAnsi="楷体" w:eastAsia="楷体" w:cs="楷体"/>
          <w:b w:val="0"/>
          <w:bCs/>
          <w:color w:val="000000" w:themeColor="text1"/>
          <w:sz w:val="32"/>
          <w:szCs w:val="32"/>
          <w:highlight w:val="none"/>
          <w14:textFill>
            <w14:solidFill>
              <w14:schemeClr w14:val="tx1"/>
            </w14:solidFill>
          </w14:textFill>
        </w:rPr>
        <w:t>绩效管理工作开展情况。</w:t>
      </w:r>
    </w:p>
    <w:p w14:paraId="4D6D1F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楷体" w:hAnsi="楷体" w:eastAsia="楷体" w:cs="楷体"/>
          <w:b w:val="0"/>
          <w:bCs/>
          <w:color w:val="000000" w:themeColor="text1"/>
          <w:sz w:val="32"/>
          <w:szCs w:val="32"/>
          <w:highlight w:val="none"/>
          <w:lang w:eastAsia="zh-CN"/>
          <w14:textFill>
            <w14:solidFill>
              <w14:schemeClr w14:val="tx1"/>
            </w14:solidFill>
          </w14:textFill>
        </w:rPr>
        <w:t>无。</w:t>
      </w:r>
    </w:p>
    <w:p w14:paraId="01EDCA70">
      <w:pPr>
        <w:keepNext w:val="0"/>
        <w:keepLines w:val="0"/>
        <w:pageBreakBefore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color w:val="000000" w:themeColor="text1"/>
          <w:sz w:val="32"/>
          <w:szCs w:val="32"/>
          <w:highlight w:val="none"/>
          <w14:textFill>
            <w14:solidFill>
              <w14:schemeClr w14:val="tx1"/>
            </w14:solidFill>
          </w14:textFill>
        </w:rPr>
      </w:pPr>
      <w:r>
        <w:rPr>
          <w:rFonts w:hint="eastAsia" w:ascii="楷体" w:hAnsi="楷体" w:eastAsia="楷体" w:cs="楷体"/>
          <w:b w:val="0"/>
          <w:bCs/>
          <w:color w:val="000000" w:themeColor="text1"/>
          <w:sz w:val="32"/>
          <w:szCs w:val="32"/>
          <w:highlight w:val="none"/>
          <w14:textFill>
            <w14:solidFill>
              <w14:schemeClr w14:val="tx1"/>
            </w14:solidFill>
          </w14:textFill>
        </w:rPr>
        <w:t>部门决算中项目绩效自评结果</w:t>
      </w:r>
      <w:r>
        <w:rPr>
          <w:rFonts w:hint="eastAsia" w:ascii="楷体" w:hAnsi="楷体" w:eastAsia="楷体" w:cs="楷体"/>
          <w:b w:val="0"/>
          <w:bCs/>
          <w:color w:val="000000" w:themeColor="text1"/>
          <w:sz w:val="32"/>
          <w:szCs w:val="32"/>
          <w:highlight w:val="none"/>
          <w:lang w:eastAsia="zh-CN"/>
          <w14:textFill>
            <w14:solidFill>
              <w14:schemeClr w14:val="tx1"/>
            </w14:solidFill>
          </w14:textFill>
        </w:rPr>
        <w:t>（预算部门、单位可根据实际情况反映重点项目绩效自评结果）</w:t>
      </w:r>
      <w:r>
        <w:rPr>
          <w:rFonts w:hint="eastAsia" w:ascii="楷体" w:hAnsi="楷体" w:eastAsia="楷体" w:cs="楷体"/>
          <w:b w:val="0"/>
          <w:bCs/>
          <w:color w:val="000000" w:themeColor="text1"/>
          <w:sz w:val="32"/>
          <w:szCs w:val="32"/>
          <w:highlight w:val="none"/>
          <w14:textFill>
            <w14:solidFill>
              <w14:schemeClr w14:val="tx1"/>
            </w14:solidFill>
          </w14:textFill>
        </w:rPr>
        <w:t>。</w:t>
      </w:r>
    </w:p>
    <w:p w14:paraId="6E8EC81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楷体" w:hAnsi="楷体" w:eastAsia="楷体" w:cs="楷体"/>
          <w:b w:val="0"/>
          <w:bCs/>
          <w:color w:val="000000" w:themeColor="text1"/>
          <w:sz w:val="32"/>
          <w:szCs w:val="32"/>
          <w:highlight w:val="none"/>
          <w:lang w:val="en-US" w:eastAsia="zh-CN"/>
          <w14:textFill>
            <w14:solidFill>
              <w14:schemeClr w14:val="tx1"/>
            </w14:solidFill>
          </w14:textFill>
        </w:rPr>
      </w:pPr>
      <w:r>
        <w:rPr>
          <w:rFonts w:hint="eastAsia" w:ascii="楷体" w:hAnsi="楷体" w:eastAsia="楷体" w:cs="楷体"/>
          <w:b w:val="0"/>
          <w:bCs/>
          <w:color w:val="000000" w:themeColor="text1"/>
          <w:sz w:val="32"/>
          <w:szCs w:val="32"/>
          <w:highlight w:val="none"/>
          <w:lang w:val="en-US" w:eastAsia="zh-CN"/>
          <w14:textFill>
            <w14:solidFill>
              <w14:schemeClr w14:val="tx1"/>
            </w14:solidFill>
          </w14:textFill>
        </w:rPr>
        <w:t>无。</w:t>
      </w:r>
    </w:p>
    <w:p w14:paraId="394A0CA6">
      <w:pPr>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b w:val="0"/>
          <w:bCs/>
          <w:color w:val="000000" w:themeColor="text1"/>
          <w:sz w:val="32"/>
          <w:szCs w:val="32"/>
          <w:highlight w:val="none"/>
          <w:u w:val="none"/>
          <w14:textFill>
            <w14:solidFill>
              <w14:schemeClr w14:val="tx1"/>
            </w14:solidFill>
          </w14:textFill>
        </w:rPr>
      </w:pPr>
      <w:r>
        <w:rPr>
          <w:rFonts w:hint="eastAsia" w:ascii="楷体" w:hAnsi="楷体" w:eastAsia="楷体" w:cs="楷体"/>
          <w:b w:val="0"/>
          <w:bCs/>
          <w:color w:val="000000" w:themeColor="text1"/>
          <w:sz w:val="32"/>
          <w:szCs w:val="32"/>
          <w:highlight w:val="none"/>
          <w:lang w:val="en-US"/>
          <w14:textFill>
            <w14:solidFill>
              <w14:schemeClr w14:val="tx1"/>
            </w14:solidFill>
          </w14:textFill>
        </w:rPr>
        <w:t>部门评价结果</w:t>
      </w:r>
      <w:r>
        <w:rPr>
          <w:rFonts w:hint="eastAsia" w:ascii="楷体" w:hAnsi="楷体" w:eastAsia="楷体" w:cs="楷体"/>
          <w:b w:val="0"/>
          <w:bCs/>
          <w:color w:val="000000" w:themeColor="text1"/>
          <w:sz w:val="32"/>
          <w:szCs w:val="32"/>
          <w:highlight w:val="none"/>
          <w:lang w:val="en-US" w:eastAsia="zh-CN"/>
          <w14:textFill>
            <w14:solidFill>
              <w14:schemeClr w14:val="tx1"/>
            </w14:solidFill>
          </w14:textFill>
        </w:rPr>
        <w:t>（预算部门填写，部门所属单位不需填写）</w:t>
      </w:r>
      <w:r>
        <w:rPr>
          <w:rFonts w:hint="eastAsia" w:ascii="楷体" w:hAnsi="楷体" w:eastAsia="楷体" w:cs="楷体"/>
          <w:b w:val="0"/>
          <w:bCs/>
          <w:color w:val="000000" w:themeColor="text1"/>
          <w:sz w:val="32"/>
          <w:szCs w:val="32"/>
          <w:highlight w:val="none"/>
          <w:u w:val="none"/>
          <w14:textFill>
            <w14:solidFill>
              <w14:schemeClr w14:val="tx1"/>
            </w14:solidFill>
          </w14:textFill>
        </w:rPr>
        <w:t>。</w:t>
      </w:r>
    </w:p>
    <w:p w14:paraId="0708754F">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楷体" w:hAnsi="楷体" w:eastAsia="楷体" w:cs="楷体"/>
          <w:b w:val="0"/>
          <w:bCs/>
          <w:color w:val="000000" w:themeColor="text1"/>
          <w:sz w:val="32"/>
          <w:szCs w:val="32"/>
          <w:highlight w:val="none"/>
          <w:u w:val="none"/>
          <w:lang w:eastAsia="zh-CN"/>
          <w14:textFill>
            <w14:solidFill>
              <w14:schemeClr w14:val="tx1"/>
            </w14:solidFill>
          </w14:textFill>
        </w:rPr>
      </w:pPr>
      <w:r>
        <w:rPr>
          <w:rFonts w:hint="eastAsia" w:ascii="楷体" w:hAnsi="楷体" w:eastAsia="楷体" w:cs="楷体"/>
          <w:b w:val="0"/>
          <w:bCs/>
          <w:color w:val="000000" w:themeColor="text1"/>
          <w:sz w:val="32"/>
          <w:szCs w:val="32"/>
          <w:highlight w:val="none"/>
          <w:u w:val="none"/>
          <w:lang w:eastAsia="zh-CN"/>
          <w14:textFill>
            <w14:solidFill>
              <w14:schemeClr w14:val="tx1"/>
            </w14:solidFill>
          </w14:textFill>
        </w:rPr>
        <w:t>无。</w:t>
      </w:r>
    </w:p>
    <w:p w14:paraId="48444427">
      <w:pPr>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b w:val="0"/>
          <w:bCs/>
          <w:color w:val="000000" w:themeColor="text1"/>
          <w:sz w:val="32"/>
          <w:szCs w:val="32"/>
          <w:highlight w:val="none"/>
          <w14:textFill>
            <w14:solidFill>
              <w14:schemeClr w14:val="tx1"/>
            </w14:solidFill>
          </w14:textFill>
        </w:rPr>
      </w:pPr>
      <w:r>
        <w:rPr>
          <w:rFonts w:hint="eastAsia" w:ascii="楷体" w:hAnsi="楷体" w:eastAsia="楷体" w:cs="楷体"/>
          <w:b w:val="0"/>
          <w:bCs/>
          <w:color w:val="000000" w:themeColor="text1"/>
          <w:sz w:val="32"/>
          <w:szCs w:val="32"/>
          <w:highlight w:val="none"/>
          <w:lang w:eastAsia="zh-CN"/>
          <w14:textFill>
            <w14:solidFill>
              <w14:schemeClr w14:val="tx1"/>
            </w14:solidFill>
          </w14:textFill>
        </w:rPr>
        <w:t>财政评价结果</w:t>
      </w:r>
      <w:r>
        <w:rPr>
          <w:rFonts w:hint="eastAsia" w:ascii="楷体" w:hAnsi="楷体" w:eastAsia="楷体" w:cs="楷体"/>
          <w:b w:val="0"/>
          <w:bCs/>
          <w:color w:val="000000" w:themeColor="text1"/>
          <w:sz w:val="32"/>
          <w:szCs w:val="32"/>
          <w:highlight w:val="none"/>
          <w14:textFill>
            <w14:solidFill>
              <w14:schemeClr w14:val="tx1"/>
            </w14:solidFill>
          </w14:textFill>
        </w:rPr>
        <w:t>（如有）。</w:t>
      </w:r>
    </w:p>
    <w:p w14:paraId="69192773">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楷体" w:hAnsi="楷体" w:eastAsia="楷体" w:cs="楷体"/>
          <w:b w:val="0"/>
          <w:bCs/>
          <w:color w:val="000000" w:themeColor="text1"/>
          <w:sz w:val="32"/>
          <w:szCs w:val="32"/>
          <w:highlight w:val="none"/>
          <w:lang w:eastAsia="zh-CN"/>
          <w14:textFill>
            <w14:solidFill>
              <w14:schemeClr w14:val="tx1"/>
            </w14:solidFill>
          </w14:textFill>
        </w:rPr>
      </w:pPr>
      <w:r>
        <w:rPr>
          <w:rFonts w:hint="eastAsia" w:ascii="楷体" w:hAnsi="楷体" w:eastAsia="楷体" w:cs="楷体"/>
          <w:b w:val="0"/>
          <w:bCs/>
          <w:color w:val="000000" w:themeColor="text1"/>
          <w:sz w:val="32"/>
          <w:szCs w:val="32"/>
          <w:highlight w:val="none"/>
          <w:lang w:eastAsia="zh-CN"/>
          <w14:textFill>
            <w14:solidFill>
              <w14:schemeClr w14:val="tx1"/>
            </w14:solidFill>
          </w14:textFill>
        </w:rPr>
        <w:t>无。</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十一、其他重要事项情况说明</w:t>
      </w:r>
    </w:p>
    <w:p w14:paraId="42D67D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95" w:name="_Toc15262_WPSOffice_Level2"/>
      <w:bookmarkStart w:id="96" w:name="_Toc5978_WPSOffice_Level2"/>
      <w:bookmarkStart w:id="97" w:name="_Toc32639_WPSOffice_Level2"/>
      <w:bookmarkStart w:id="98" w:name="_Toc23598_WPSOffice_Level2"/>
      <w:bookmarkStart w:id="99" w:name="_Toc18325_WPSOffice_Level2"/>
      <w:bookmarkStart w:id="100" w:name="_Toc15565_WPSOffice_Level2"/>
      <w:r>
        <w:rPr>
          <w:rFonts w:hint="eastAsia" w:ascii="楷体" w:hAnsi="楷体" w:eastAsia="楷体" w:cs="楷体"/>
          <w:bCs/>
          <w:color w:val="000000" w:themeColor="text1"/>
          <w:sz w:val="32"/>
          <w:szCs w:val="32"/>
          <w14:textFill>
            <w14:solidFill>
              <w14:schemeClr w14:val="tx1"/>
            </w14:solidFill>
          </w14:textFill>
        </w:rPr>
        <w:t>（一）机关运行经费支出情况</w:t>
      </w:r>
      <w:bookmarkEnd w:id="95"/>
      <w:bookmarkEnd w:id="96"/>
      <w:bookmarkEnd w:id="97"/>
      <w:bookmarkEnd w:id="98"/>
      <w:bookmarkEnd w:id="99"/>
      <w:bookmarkEnd w:id="100"/>
    </w:p>
    <w:p w14:paraId="2E319A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000000" w:themeColor="text1"/>
          <w:sz w:val="32"/>
          <w:szCs w:val="32"/>
          <w:highlight w:val="none"/>
          <w14:textFill>
            <w14:solidFill>
              <w14:schemeClr w14:val="tx1"/>
            </w14:solidFill>
          </w14:textFill>
        </w:rPr>
      </w:pPr>
      <w:bookmarkStart w:id="101" w:name="_Toc32689_WPSOffice_Level2"/>
      <w:bookmarkStart w:id="102" w:name="_Toc3131_WPSOffice_Level2"/>
      <w:bookmarkStart w:id="103" w:name="_Toc25333_WPSOffice_Level2"/>
      <w:bookmarkStart w:id="104" w:name="_Toc23966_WPSOffice_Level2"/>
      <w:bookmarkStart w:id="105" w:name="_Toc30383_WPSOffice_Level2"/>
      <w:bookmarkStart w:id="106" w:name="_Toc13084_WPSOffice_Level2"/>
      <w:r>
        <w:rPr>
          <w:rFonts w:hint="eastAsia" w:ascii="仿宋_GB2312" w:hAnsi="ˎ̥" w:eastAsia="仿宋_GB2312"/>
          <w:color w:val="000000" w:themeColor="text1"/>
          <w:sz w:val="32"/>
          <w:szCs w:val="32"/>
          <w:highlight w:val="none"/>
          <w14:textFill>
            <w14:solidFill>
              <w14:schemeClr w14:val="tx1"/>
            </w14:solidFill>
          </w14:textFill>
        </w:rPr>
        <w:t>202</w:t>
      </w:r>
      <w:r>
        <w:rPr>
          <w:rFonts w:hint="eastAsia" w:ascii="仿宋_GB2312" w:hAnsi="ˎ̥" w:eastAsia="仿宋_GB2312"/>
          <w:color w:val="000000" w:themeColor="text1"/>
          <w:sz w:val="32"/>
          <w:szCs w:val="32"/>
          <w:highlight w:val="none"/>
          <w:lang w:val="en-US" w:eastAsia="zh-CN"/>
          <w14:textFill>
            <w14:solidFill>
              <w14:schemeClr w14:val="tx1"/>
            </w14:solidFill>
          </w14:textFill>
        </w:rPr>
        <w:t>4</w:t>
      </w:r>
      <w:r>
        <w:rPr>
          <w:rFonts w:hint="eastAsia" w:ascii="仿宋_GB2312" w:hAnsi="ˎ̥" w:eastAsia="仿宋_GB2312"/>
          <w:color w:val="000000" w:themeColor="text1"/>
          <w:sz w:val="32"/>
          <w:szCs w:val="32"/>
          <w:highlight w:val="none"/>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三亚市海棠区</w:t>
      </w:r>
      <w:r>
        <w:rPr>
          <w:rFonts w:hint="eastAsia" w:ascii="仿宋_GB2312" w:hAnsi="ˎ̥" w:eastAsia="仿宋_GB2312"/>
          <w:color w:val="000000" w:themeColor="text1"/>
          <w:sz w:val="32"/>
          <w:szCs w:val="32"/>
          <w:lang w:val="en-US" w:eastAsia="zh-CN"/>
          <w14:textFill>
            <w14:solidFill>
              <w14:schemeClr w14:val="tx1"/>
            </w14:solidFill>
          </w14:textFill>
        </w:rPr>
        <w:t>进士</w:t>
      </w:r>
      <w:r>
        <w:rPr>
          <w:rFonts w:hint="eastAsia" w:ascii="仿宋_GB2312" w:hAnsi="ˎ̥" w:eastAsia="仿宋_GB2312"/>
          <w:color w:val="000000" w:themeColor="text1"/>
          <w:sz w:val="32"/>
          <w:szCs w:val="32"/>
          <w:lang w:eastAsia="zh-CN"/>
          <w14:textFill>
            <w14:solidFill>
              <w14:schemeClr w14:val="tx1"/>
            </w14:solidFill>
          </w14:textFill>
        </w:rPr>
        <w:t>小学</w:t>
      </w:r>
      <w:r>
        <w:rPr>
          <w:rFonts w:hint="eastAsia" w:ascii="仿宋_GB2312" w:hAnsi="ˎ̥" w:eastAsia="仿宋_GB2312"/>
          <w:color w:val="000000" w:themeColor="text1"/>
          <w:sz w:val="32"/>
          <w:szCs w:val="32"/>
          <w:highlight w:val="none"/>
          <w14:textFill>
            <w14:solidFill>
              <w14:schemeClr w14:val="tx1"/>
            </w14:solidFill>
          </w14:textFill>
        </w:rPr>
        <w:t>机关运行经费</w:t>
      </w:r>
      <w:r>
        <w:rPr>
          <w:rFonts w:hint="eastAsia" w:ascii="仿宋_GB2312" w:hAnsi="ˎ̥" w:eastAsia="仿宋_GB2312"/>
          <w:color w:val="000000" w:themeColor="text1"/>
          <w:sz w:val="32"/>
          <w:szCs w:val="32"/>
          <w:highlight w:val="none"/>
          <w:lang w:val="en-US" w:eastAsia="zh-CN"/>
          <w14:textFill>
            <w14:solidFill>
              <w14:schemeClr w14:val="tx1"/>
            </w14:solidFill>
          </w14:textFill>
        </w:rPr>
        <w:t>0</w:t>
      </w:r>
      <w:r>
        <w:rPr>
          <w:rFonts w:hint="eastAsia" w:ascii="仿宋_GB2312" w:hAnsi="ˎ̥" w:eastAsia="仿宋_GB2312"/>
          <w:color w:val="000000" w:themeColor="text1"/>
          <w:sz w:val="32"/>
          <w:szCs w:val="32"/>
          <w:highlight w:val="none"/>
          <w14:textFill>
            <w14:solidFill>
              <w14:schemeClr w14:val="tx1"/>
            </w14:solidFill>
          </w14:textFill>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000000" w:themeColor="text1"/>
          <w:sz w:val="32"/>
          <w:szCs w:val="32"/>
          <w:highlight w:val="none"/>
          <w:lang w:val="en-US" w:eastAsia="zh-CN"/>
          <w14:textFill>
            <w14:solidFill>
              <w14:schemeClr w14:val="tx1"/>
            </w14:solidFill>
          </w14:textFill>
        </w:rPr>
        <w:t>0</w:t>
      </w:r>
      <w:r>
        <w:rPr>
          <w:rFonts w:hint="eastAsia" w:ascii="仿宋_GB2312" w:hAnsi="ˎ̥" w:eastAsia="仿宋_GB2312"/>
          <w:color w:val="000000" w:themeColor="text1"/>
          <w:sz w:val="32"/>
          <w:szCs w:val="32"/>
          <w:highlight w:val="none"/>
          <w14:textFill>
            <w14:solidFill>
              <w14:schemeClr w14:val="tx1"/>
            </w14:solidFill>
          </w14:textFill>
        </w:rPr>
        <w:t>万元，增长（降低）</w:t>
      </w:r>
      <w:r>
        <w:rPr>
          <w:rFonts w:hint="eastAsia" w:ascii="仿宋_GB2312" w:hAnsi="ˎ̥" w:eastAsia="仿宋_GB2312"/>
          <w:color w:val="000000" w:themeColor="text1"/>
          <w:sz w:val="32"/>
          <w:szCs w:val="32"/>
          <w:highlight w:val="none"/>
          <w:lang w:val="en-US" w:eastAsia="zh-CN"/>
          <w14:textFill>
            <w14:solidFill>
              <w14:schemeClr w14:val="tx1"/>
            </w14:solidFill>
          </w14:textFill>
        </w:rPr>
        <w:t>0</w:t>
      </w:r>
      <w:r>
        <w:rPr>
          <w:rFonts w:hint="eastAsia" w:ascii="仿宋_GB2312" w:hAnsi="ˎ̥" w:eastAsia="仿宋_GB2312"/>
          <w:color w:val="000000" w:themeColor="text1"/>
          <w:sz w:val="32"/>
          <w:szCs w:val="32"/>
          <w:highlight w:val="none"/>
          <w14:textFill>
            <w14:solidFill>
              <w14:schemeClr w14:val="tx1"/>
            </w14:solidFill>
          </w14:textFill>
        </w:rPr>
        <w:t>%。</w:t>
      </w:r>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（二）政府采购支出情况</w:t>
      </w:r>
      <w:bookmarkEnd w:id="101"/>
      <w:bookmarkEnd w:id="102"/>
      <w:bookmarkEnd w:id="103"/>
      <w:bookmarkEnd w:id="104"/>
      <w:bookmarkEnd w:id="105"/>
      <w:bookmarkEnd w:id="106"/>
    </w:p>
    <w:p w14:paraId="4E6E16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ˎ̥" w:eastAsia="仿宋_GB2312"/>
          <w:color w:val="000000" w:themeColor="text1"/>
          <w:sz w:val="32"/>
          <w:szCs w:val="32"/>
          <w:highlight w:val="none"/>
          <w14:textFill>
            <w14:solidFill>
              <w14:schemeClr w14:val="tx1"/>
            </w14:solidFill>
          </w14:textFill>
        </w:rPr>
      </w:pPr>
      <w:bookmarkStart w:id="107" w:name="_Toc10902_WPSOffice_Level2"/>
      <w:bookmarkStart w:id="108" w:name="_Toc19989_WPSOffice_Level2"/>
      <w:bookmarkStart w:id="109" w:name="_Toc29584_WPSOffice_Level2"/>
      <w:bookmarkStart w:id="110" w:name="_Toc15129_WPSOffice_Level2"/>
      <w:bookmarkStart w:id="111" w:name="_Toc6016_WPSOffice_Level2"/>
      <w:bookmarkStart w:id="112" w:name="_Toc527_WPSOffice_Level2"/>
      <w:r>
        <w:rPr>
          <w:rFonts w:hint="eastAsia" w:ascii="仿宋_GB2312" w:hAnsi="ˎ̥" w:eastAsia="仿宋_GB2312"/>
          <w:color w:val="000000" w:themeColor="text1"/>
          <w:sz w:val="32"/>
          <w:szCs w:val="32"/>
          <w:highlight w:val="none"/>
          <w14:textFill>
            <w14:solidFill>
              <w14:schemeClr w14:val="tx1"/>
            </w14:solidFill>
          </w14:textFill>
        </w:rPr>
        <w:t>202</w:t>
      </w:r>
      <w:r>
        <w:rPr>
          <w:rFonts w:hint="eastAsia" w:ascii="仿宋_GB2312" w:hAnsi="ˎ̥" w:eastAsia="仿宋_GB2312"/>
          <w:color w:val="000000" w:themeColor="text1"/>
          <w:sz w:val="32"/>
          <w:szCs w:val="32"/>
          <w:highlight w:val="none"/>
          <w:lang w:val="en-US" w:eastAsia="zh-CN"/>
          <w14:textFill>
            <w14:solidFill>
              <w14:schemeClr w14:val="tx1"/>
            </w14:solidFill>
          </w14:textFill>
        </w:rPr>
        <w:t>4</w:t>
      </w:r>
      <w:r>
        <w:rPr>
          <w:rFonts w:hint="eastAsia" w:ascii="仿宋_GB2312" w:hAnsi="ˎ̥" w:eastAsia="仿宋_GB2312"/>
          <w:color w:val="000000" w:themeColor="text1"/>
          <w:sz w:val="32"/>
          <w:szCs w:val="32"/>
          <w:highlight w:val="none"/>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三亚市海棠区</w:t>
      </w:r>
      <w:r>
        <w:rPr>
          <w:rFonts w:hint="eastAsia" w:ascii="仿宋_GB2312" w:hAnsi="ˎ̥" w:eastAsia="仿宋_GB2312"/>
          <w:color w:val="000000" w:themeColor="text1"/>
          <w:sz w:val="32"/>
          <w:szCs w:val="32"/>
          <w:lang w:val="en-US" w:eastAsia="zh-CN"/>
          <w14:textFill>
            <w14:solidFill>
              <w14:schemeClr w14:val="tx1"/>
            </w14:solidFill>
          </w14:textFill>
        </w:rPr>
        <w:t>进士</w:t>
      </w:r>
      <w:r>
        <w:rPr>
          <w:rFonts w:hint="eastAsia" w:ascii="仿宋_GB2312" w:hAnsi="ˎ̥" w:eastAsia="仿宋_GB2312"/>
          <w:color w:val="000000" w:themeColor="text1"/>
          <w:sz w:val="32"/>
          <w:szCs w:val="32"/>
          <w:lang w:eastAsia="zh-CN"/>
          <w14:textFill>
            <w14:solidFill>
              <w14:schemeClr w14:val="tx1"/>
            </w14:solidFill>
          </w14:textFill>
        </w:rPr>
        <w:t>小学</w:t>
      </w:r>
      <w:r>
        <w:rPr>
          <w:rFonts w:hint="eastAsia" w:ascii="仿宋_GB2312" w:hAnsi="ˎ̥" w:eastAsia="仿宋_GB2312"/>
          <w:color w:val="000000" w:themeColor="text1"/>
          <w:sz w:val="32"/>
          <w:szCs w:val="32"/>
          <w:highlight w:val="none"/>
          <w14:textFill>
            <w14:solidFill>
              <w14:schemeClr w14:val="tx1"/>
            </w14:solidFill>
          </w14:textFill>
        </w:rPr>
        <w:t>政府采购支出总额</w:t>
      </w:r>
      <w:r>
        <w:rPr>
          <w:rFonts w:hint="eastAsia" w:ascii="仿宋_GB2312" w:hAnsi="ˎ̥" w:eastAsia="仿宋_GB2312"/>
          <w:color w:val="000000" w:themeColor="text1"/>
          <w:sz w:val="32"/>
          <w:szCs w:val="32"/>
          <w:highlight w:val="none"/>
          <w:lang w:val="en-US" w:eastAsia="zh-CN"/>
          <w14:textFill>
            <w14:solidFill>
              <w14:schemeClr w14:val="tx1"/>
            </w14:solidFill>
          </w14:textFill>
        </w:rPr>
        <w:t>0</w:t>
      </w:r>
      <w:r>
        <w:rPr>
          <w:rFonts w:hint="eastAsia" w:ascii="仿宋_GB2312" w:hAnsi="ˎ̥" w:eastAsia="仿宋_GB2312"/>
          <w:color w:val="000000" w:themeColor="text1"/>
          <w:sz w:val="32"/>
          <w:szCs w:val="32"/>
          <w:highlight w:val="none"/>
          <w14:textFill>
            <w14:solidFill>
              <w14:schemeClr w14:val="tx1"/>
            </w14:solidFill>
          </w14:textFill>
        </w:rPr>
        <w:t>万元，其中：政府采购货物支出</w:t>
      </w:r>
      <w:r>
        <w:rPr>
          <w:rFonts w:hint="eastAsia" w:ascii="仿宋_GB2312" w:hAnsi="ˎ̥" w:eastAsia="仿宋_GB2312"/>
          <w:color w:val="000000" w:themeColor="text1"/>
          <w:sz w:val="32"/>
          <w:szCs w:val="32"/>
          <w:highlight w:val="none"/>
          <w:lang w:val="en-US" w:eastAsia="zh-CN"/>
          <w14:textFill>
            <w14:solidFill>
              <w14:schemeClr w14:val="tx1"/>
            </w14:solidFill>
          </w14:textFill>
        </w:rPr>
        <w:t>0</w:t>
      </w:r>
      <w:r>
        <w:rPr>
          <w:rFonts w:hint="eastAsia" w:ascii="仿宋_GB2312" w:hAnsi="ˎ̥" w:eastAsia="仿宋_GB2312"/>
          <w:color w:val="000000" w:themeColor="text1"/>
          <w:sz w:val="32"/>
          <w:szCs w:val="32"/>
          <w:highlight w:val="none"/>
          <w14:textFill>
            <w14:solidFill>
              <w14:schemeClr w14:val="tx1"/>
            </w14:solidFill>
          </w14:textFill>
        </w:rPr>
        <w:t>万元、政府采购工程支出</w:t>
      </w:r>
      <w:r>
        <w:rPr>
          <w:rFonts w:hint="eastAsia" w:ascii="仿宋_GB2312" w:hAnsi="ˎ̥" w:eastAsia="仿宋_GB2312"/>
          <w:color w:val="000000" w:themeColor="text1"/>
          <w:sz w:val="32"/>
          <w:szCs w:val="32"/>
          <w:highlight w:val="none"/>
          <w:lang w:val="en-US" w:eastAsia="zh-CN"/>
          <w14:textFill>
            <w14:solidFill>
              <w14:schemeClr w14:val="tx1"/>
            </w14:solidFill>
          </w14:textFill>
        </w:rPr>
        <w:t>0</w:t>
      </w:r>
      <w:r>
        <w:rPr>
          <w:rFonts w:hint="eastAsia" w:ascii="仿宋_GB2312" w:hAnsi="ˎ̥" w:eastAsia="仿宋_GB2312"/>
          <w:color w:val="000000" w:themeColor="text1"/>
          <w:sz w:val="32"/>
          <w:szCs w:val="32"/>
          <w:highlight w:val="none"/>
          <w14:textFill>
            <w14:solidFill>
              <w14:schemeClr w14:val="tx1"/>
            </w14:solidFill>
          </w14:textFill>
        </w:rPr>
        <w:t>万元、政府采购服务支出</w:t>
      </w:r>
      <w:r>
        <w:rPr>
          <w:rFonts w:hint="eastAsia" w:ascii="仿宋_GB2312" w:hAnsi="ˎ̥" w:eastAsia="仿宋_GB2312"/>
          <w:color w:val="000000" w:themeColor="text1"/>
          <w:sz w:val="32"/>
          <w:szCs w:val="32"/>
          <w:highlight w:val="none"/>
          <w:lang w:val="en-US" w:eastAsia="zh-CN"/>
          <w14:textFill>
            <w14:solidFill>
              <w14:schemeClr w14:val="tx1"/>
            </w14:solidFill>
          </w14:textFill>
        </w:rPr>
        <w:t>0</w:t>
      </w:r>
      <w:r>
        <w:rPr>
          <w:rFonts w:hint="eastAsia" w:ascii="仿宋_GB2312" w:hAnsi="ˎ̥" w:eastAsia="仿宋_GB2312"/>
          <w:color w:val="000000" w:themeColor="text1"/>
          <w:sz w:val="32"/>
          <w:szCs w:val="32"/>
          <w:highlight w:val="none"/>
          <w14:textFill>
            <w14:solidFill>
              <w14:schemeClr w14:val="tx1"/>
            </w14:solidFill>
          </w14:textFill>
        </w:rPr>
        <w:t>万元。授予中小企业合同金额</w:t>
      </w:r>
      <w:r>
        <w:rPr>
          <w:rFonts w:hint="eastAsia" w:ascii="仿宋_GB2312" w:hAnsi="ˎ̥" w:eastAsia="仿宋_GB2312"/>
          <w:color w:val="000000" w:themeColor="text1"/>
          <w:sz w:val="32"/>
          <w:szCs w:val="32"/>
          <w:highlight w:val="none"/>
          <w:lang w:val="en-US" w:eastAsia="zh-CN"/>
          <w14:textFill>
            <w14:solidFill>
              <w14:schemeClr w14:val="tx1"/>
            </w14:solidFill>
          </w14:textFill>
        </w:rPr>
        <w:t>0</w:t>
      </w:r>
      <w:r>
        <w:rPr>
          <w:rFonts w:hint="eastAsia" w:ascii="仿宋_GB2312" w:hAnsi="ˎ̥" w:eastAsia="仿宋_GB2312"/>
          <w:color w:val="000000" w:themeColor="text1"/>
          <w:sz w:val="32"/>
          <w:szCs w:val="32"/>
          <w:highlight w:val="none"/>
          <w14:textFill>
            <w14:solidFill>
              <w14:schemeClr w14:val="tx1"/>
            </w14:solidFill>
          </w14:textFill>
        </w:rPr>
        <w:t>万元，占政府采购支出总额的</w:t>
      </w:r>
      <w:r>
        <w:rPr>
          <w:rFonts w:hint="eastAsia" w:ascii="仿宋_GB2312" w:hAnsi="ˎ̥" w:eastAsia="仿宋_GB2312"/>
          <w:color w:val="000000" w:themeColor="text1"/>
          <w:sz w:val="32"/>
          <w:szCs w:val="32"/>
          <w:highlight w:val="none"/>
          <w:lang w:val="en-US" w:eastAsia="zh-CN"/>
          <w14:textFill>
            <w14:solidFill>
              <w14:schemeClr w14:val="tx1"/>
            </w14:solidFill>
          </w14:textFill>
        </w:rPr>
        <w:t>0</w:t>
      </w:r>
      <w:r>
        <w:rPr>
          <w:rFonts w:hint="eastAsia" w:ascii="仿宋_GB2312" w:hAnsi="ˎ̥" w:eastAsia="仿宋_GB2312"/>
          <w:color w:val="000000" w:themeColor="text1"/>
          <w:sz w:val="32"/>
          <w:szCs w:val="32"/>
          <w:highlight w:val="none"/>
          <w14:textFill>
            <w14:solidFill>
              <w14:schemeClr w14:val="tx1"/>
            </w14:solidFill>
          </w14:textFill>
        </w:rPr>
        <w:t>%。</w:t>
      </w:r>
    </w:p>
    <w:p w14:paraId="3061DC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（三）国有资产占用情况</w:t>
      </w:r>
      <w:bookmarkEnd w:id="107"/>
      <w:bookmarkEnd w:id="108"/>
      <w:bookmarkEnd w:id="109"/>
      <w:bookmarkEnd w:id="110"/>
      <w:bookmarkEnd w:id="111"/>
      <w:bookmarkEnd w:id="112"/>
    </w:p>
    <w:p w14:paraId="0F7C6597">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bookmarkStart w:id="113" w:name="_Toc15425_WPSOffice_Level1"/>
      <w:bookmarkStart w:id="114" w:name="_Toc17580_WPSOffice_Level1"/>
      <w:bookmarkStart w:id="115" w:name="_Toc11039_WPSOffice_Level1"/>
      <w:bookmarkStart w:id="116" w:name="_Toc8808_WPSOffice_Level1"/>
      <w:bookmarkStart w:id="117" w:name="_Toc4398_WPSOffice_Level1"/>
      <w:bookmarkStart w:id="118" w:name="_Toc8874_WPSOffice_Level1"/>
      <w:r>
        <w:rPr>
          <w:rFonts w:hint="eastAsia" w:ascii="仿宋_GB2312" w:hAnsi="ˎ̥" w:eastAsia="仿宋_GB2312"/>
          <w:color w:val="000000" w:themeColor="text1"/>
          <w:sz w:val="32"/>
          <w:szCs w:val="32"/>
          <w14:textFill>
            <w14:solidFill>
              <w14:schemeClr w14:val="tx1"/>
            </w14:solidFill>
          </w14:textFill>
        </w:rPr>
        <w:t>截至</w:t>
      </w:r>
      <w:r>
        <w:rPr>
          <w:rFonts w:hint="eastAsia" w:ascii="仿宋_GB2312" w:hAnsi="ˎ̥" w:eastAsia="仿宋_GB2312"/>
          <w:color w:val="000000" w:themeColor="text1"/>
          <w:sz w:val="32"/>
          <w:szCs w:val="32"/>
          <w:lang w:eastAsia="zh-CN"/>
          <w14:textFill>
            <w14:solidFill>
              <w14:schemeClr w14:val="tx1"/>
            </w14:solidFill>
          </w14:textFill>
        </w:rPr>
        <w:t>20</w:t>
      </w:r>
      <w:r>
        <w:rPr>
          <w:rFonts w:hint="eastAsia" w:ascii="仿宋_GB2312" w:hAnsi="ˎ̥" w:eastAsia="仿宋_GB2312"/>
          <w:color w:val="000000" w:themeColor="text1"/>
          <w:sz w:val="32"/>
          <w:szCs w:val="32"/>
          <w:lang w:val="en-US" w:eastAsia="zh-CN"/>
          <w14:textFill>
            <w14:solidFill>
              <w14:schemeClr w14:val="tx1"/>
            </w14:solidFill>
          </w14:textFill>
        </w:rPr>
        <w:t>24</w:t>
      </w:r>
      <w:r>
        <w:rPr>
          <w:rFonts w:hint="eastAsia" w:ascii="仿宋_GB2312" w:hAnsi="ˎ̥" w:eastAsia="仿宋_GB2312"/>
          <w:color w:val="000000" w:themeColor="text1"/>
          <w:sz w:val="32"/>
          <w:szCs w:val="32"/>
          <w:lang w:eastAsia="zh-CN"/>
          <w14:textFill>
            <w14:solidFill>
              <w14:schemeClr w14:val="tx1"/>
            </w14:solidFill>
          </w14:textFill>
        </w:rPr>
        <w:t>年</w:t>
      </w:r>
      <w:r>
        <w:rPr>
          <w:rFonts w:hint="eastAsia" w:ascii="仿宋_GB2312" w:hAnsi="ˎ̥" w:eastAsia="仿宋_GB2312"/>
          <w:color w:val="000000" w:themeColor="text1"/>
          <w:sz w:val="32"/>
          <w:szCs w:val="32"/>
          <w14:textFill>
            <w14:solidFill>
              <w14:schemeClr w14:val="tx1"/>
            </w14:solidFill>
          </w14:textFill>
        </w:rPr>
        <w:t>12月31日，</w:t>
      </w:r>
      <w:r>
        <w:rPr>
          <w:rFonts w:hint="eastAsia" w:ascii="仿宋_GB2312" w:hAnsi="ˎ̥" w:eastAsia="仿宋_GB2312"/>
          <w:color w:val="000000" w:themeColor="text1"/>
          <w:sz w:val="32"/>
          <w:szCs w:val="32"/>
          <w:lang w:val="en-US" w:eastAsia="zh-CN"/>
          <w14:textFill>
            <w14:solidFill>
              <w14:schemeClr w14:val="tx1"/>
            </w14:solidFill>
          </w14:textFill>
        </w:rPr>
        <w:t>本部门占用房屋面积0平方米，其中：办公用房0平方米，业务用房0平方米，其他（不含构筑物）0平方米。</w:t>
      </w:r>
    </w:p>
    <w:p w14:paraId="6621FAED">
      <w:pPr>
        <w:spacing w:line="578" w:lineRule="exact"/>
        <w:ind w:firstLine="640" w:firstLineChars="200"/>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本部门共有车辆</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其中</w:t>
      </w:r>
      <w:r>
        <w:rPr>
          <w:rFonts w:hint="eastAsia" w:ascii="仿宋_GB2312" w:hAnsi="ˎ̥" w:eastAsia="仿宋_GB2312"/>
          <w:color w:val="000000" w:themeColor="text1"/>
          <w:sz w:val="32"/>
          <w:szCs w:val="32"/>
          <w:lang w:eastAsia="zh-CN"/>
          <w14:textFill>
            <w14:solidFill>
              <w14:schemeClr w14:val="tx1"/>
            </w14:solidFill>
          </w14:textFill>
        </w:rPr>
        <w:t>：从车辆种类说明：</w:t>
      </w:r>
      <w:r>
        <w:rPr>
          <w:rFonts w:hint="eastAsia" w:ascii="仿宋_GB2312" w:hAnsi="ˎ̥" w:eastAsia="仿宋_GB2312"/>
          <w:color w:val="000000" w:themeColor="text1"/>
          <w:sz w:val="32"/>
          <w:szCs w:val="32"/>
          <w:lang w:val="en-US" w:eastAsia="zh-CN"/>
          <w14:textFill>
            <w14:solidFill>
              <w14:schemeClr w14:val="tx1"/>
            </w14:solidFill>
          </w14:textFill>
        </w:rPr>
        <w:t>轿车0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越野车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小型载客汽</w:t>
      </w:r>
      <w:r>
        <w:rPr>
          <w:rFonts w:hint="eastAsia" w:ascii="仿宋_GB2312" w:hAnsi="ˎ̥" w:eastAsia="仿宋_GB2312"/>
          <w:color w:val="000000" w:themeColor="text1"/>
          <w:sz w:val="32"/>
          <w:szCs w:val="32"/>
          <w14:textFill>
            <w14:solidFill>
              <w14:schemeClr w14:val="tx1"/>
            </w14:solidFill>
          </w14:textFill>
        </w:rPr>
        <w:t>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大中型载客汽车</w:t>
      </w:r>
      <w:r>
        <w:rPr>
          <w:rFonts w:hint="eastAsia" w:ascii="仿宋_GB2312" w:hAnsi="ˎ̥" w:eastAsia="仿宋_GB2312"/>
          <w:color w:val="000000" w:themeColor="text1"/>
          <w:sz w:val="32"/>
          <w:szCs w:val="32"/>
          <w14:textFill>
            <w14:solidFill>
              <w14:schemeClr w14:val="tx1"/>
            </w14:solidFill>
          </w14:textFill>
        </w:rPr>
        <w:t>辆、其他</w:t>
      </w:r>
      <w:r>
        <w:rPr>
          <w:rFonts w:hint="eastAsia" w:ascii="仿宋_GB2312" w:hAnsi="ˎ̥" w:eastAsia="仿宋_GB2312"/>
          <w:color w:val="000000" w:themeColor="text1"/>
          <w:sz w:val="32"/>
          <w:szCs w:val="32"/>
          <w:lang w:eastAsia="zh-CN"/>
          <w14:textFill>
            <w14:solidFill>
              <w14:schemeClr w14:val="tx1"/>
            </w14:solidFill>
          </w14:textFill>
        </w:rPr>
        <w:t>车型</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；从车辆使用情况说明：副</w:t>
      </w:r>
      <w:r>
        <w:rPr>
          <w:rFonts w:hint="eastAsia" w:ascii="仿宋_GB2312" w:hAnsi="ˎ̥" w:eastAsia="仿宋_GB2312"/>
          <w:color w:val="000000" w:themeColor="text1"/>
          <w:sz w:val="32"/>
          <w:szCs w:val="32"/>
          <w14:textFill>
            <w14:solidFill>
              <w14:schemeClr w14:val="tx1"/>
            </w14:solidFill>
          </w14:textFill>
        </w:rPr>
        <w:t>部</w:t>
      </w:r>
      <w:r>
        <w:rPr>
          <w:rFonts w:hint="eastAsia" w:ascii="仿宋_GB2312" w:hAnsi="ˎ̥" w:eastAsia="仿宋_GB2312"/>
          <w:color w:val="000000" w:themeColor="text1"/>
          <w:sz w:val="32"/>
          <w:szCs w:val="32"/>
          <w:lang w:eastAsia="zh-CN"/>
          <w14:textFill>
            <w14:solidFill>
              <w14:schemeClr w14:val="tx1"/>
            </w14:solidFill>
          </w14:textFill>
        </w:rPr>
        <w:t>（省）</w:t>
      </w:r>
      <w:r>
        <w:rPr>
          <w:rFonts w:hint="eastAsia" w:ascii="仿宋_GB2312" w:hAnsi="ˎ̥" w:eastAsia="仿宋_GB2312"/>
          <w:color w:val="000000" w:themeColor="text1"/>
          <w:sz w:val="32"/>
          <w:szCs w:val="32"/>
          <w14:textFill>
            <w14:solidFill>
              <w14:schemeClr w14:val="tx1"/>
            </w14:solidFill>
          </w14:textFill>
        </w:rPr>
        <w:t>级</w:t>
      </w:r>
      <w:r>
        <w:rPr>
          <w:rFonts w:hint="eastAsia" w:ascii="仿宋_GB2312" w:hAnsi="ˎ̥" w:eastAsia="仿宋_GB2312"/>
          <w:color w:val="000000" w:themeColor="text1"/>
          <w:sz w:val="32"/>
          <w:szCs w:val="32"/>
          <w:lang w:eastAsia="zh-CN"/>
          <w14:textFill>
            <w14:solidFill>
              <w14:schemeClr w14:val="tx1"/>
            </w14:solidFill>
          </w14:textFill>
        </w:rPr>
        <w:t>及以上</w:t>
      </w:r>
      <w:r>
        <w:rPr>
          <w:rFonts w:hint="eastAsia" w:ascii="仿宋_GB2312" w:hAnsi="ˎ̥" w:eastAsia="仿宋_GB2312"/>
          <w:color w:val="000000" w:themeColor="text1"/>
          <w:sz w:val="32"/>
          <w:szCs w:val="32"/>
          <w14:textFill>
            <w14:solidFill>
              <w14:schemeClr w14:val="tx1"/>
            </w14:solidFill>
          </w14:textFill>
        </w:rPr>
        <w:t>领导用车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主要领导干部用车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机要通信用车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应急保障用车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执法执勤</w:t>
      </w:r>
      <w:r>
        <w:rPr>
          <w:rFonts w:hint="eastAsia" w:ascii="仿宋_GB2312" w:hAnsi="ˎ̥" w:eastAsia="仿宋_GB2312"/>
          <w:color w:val="000000" w:themeColor="text1"/>
          <w:sz w:val="32"/>
          <w:szCs w:val="32"/>
          <w14:textFill>
            <w14:solidFill>
              <w14:schemeClr w14:val="tx1"/>
            </w14:solidFill>
          </w14:textFill>
        </w:rPr>
        <w:t>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辆、特种专业技术用车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离退休干部</w:t>
      </w:r>
      <w:r>
        <w:rPr>
          <w:rFonts w:hint="eastAsia" w:ascii="仿宋_GB2312" w:hAnsi="ˎ̥" w:eastAsia="仿宋_GB2312"/>
          <w:color w:val="000000" w:themeColor="text1"/>
          <w:sz w:val="32"/>
          <w:szCs w:val="32"/>
          <w14:textFill>
            <w14:solidFill>
              <w14:schemeClr w14:val="tx1"/>
            </w14:solidFill>
          </w14:textFill>
        </w:rPr>
        <w:t>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辆、其他用车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w:t>
      </w:r>
    </w:p>
    <w:p w14:paraId="7F507422">
      <w:pPr>
        <w:spacing w:line="578" w:lineRule="exact"/>
        <w:ind w:firstLine="640" w:firstLineChars="200"/>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单位价值50万元</w:t>
      </w:r>
      <w:r>
        <w:rPr>
          <w:rFonts w:hint="eastAsia" w:ascii="仿宋_GB2312" w:hAnsi="ˎ̥" w:eastAsia="仿宋_GB2312"/>
          <w:color w:val="000000" w:themeColor="text1"/>
          <w:sz w:val="32"/>
          <w:szCs w:val="32"/>
          <w:lang w:eastAsia="zh-CN"/>
          <w14:textFill>
            <w14:solidFill>
              <w14:schemeClr w14:val="tx1"/>
            </w14:solidFill>
          </w14:textFill>
        </w:rPr>
        <w:t>（含）</w:t>
      </w:r>
      <w:r>
        <w:rPr>
          <w:rFonts w:hint="eastAsia" w:ascii="仿宋_GB2312" w:hAnsi="ˎ̥" w:eastAsia="仿宋_GB2312"/>
          <w:color w:val="000000" w:themeColor="text1"/>
          <w:sz w:val="32"/>
          <w:szCs w:val="32"/>
          <w14:textFill>
            <w14:solidFill>
              <w14:schemeClr w14:val="tx1"/>
            </w14:solidFill>
          </w14:textFill>
        </w:rPr>
        <w:t>以上通用设备</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台（套），单价100万元</w:t>
      </w:r>
      <w:r>
        <w:rPr>
          <w:rFonts w:hint="eastAsia" w:ascii="仿宋_GB2312" w:hAnsi="ˎ̥" w:eastAsia="仿宋_GB2312"/>
          <w:color w:val="000000" w:themeColor="text1"/>
          <w:sz w:val="32"/>
          <w:szCs w:val="32"/>
          <w:lang w:eastAsia="zh-CN"/>
          <w14:textFill>
            <w14:solidFill>
              <w14:schemeClr w14:val="tx1"/>
            </w14:solidFill>
          </w14:textFill>
        </w:rPr>
        <w:t>（含）</w:t>
      </w:r>
      <w:r>
        <w:rPr>
          <w:rFonts w:hint="eastAsia" w:ascii="仿宋_GB2312" w:hAnsi="ˎ̥" w:eastAsia="仿宋_GB2312"/>
          <w:color w:val="000000" w:themeColor="text1"/>
          <w:sz w:val="32"/>
          <w:szCs w:val="32"/>
          <w14:textFill>
            <w14:solidFill>
              <w14:schemeClr w14:val="tx1"/>
            </w14:solidFill>
          </w14:textFill>
        </w:rPr>
        <w:t>以上专用设备</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台（套）。</w:t>
      </w:r>
    </w:p>
    <w:p w14:paraId="410D598D">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eastAsia="zh-CN"/>
          <w14:textFill>
            <w14:solidFill>
              <w14:schemeClr w14:val="tx1"/>
            </w14:solidFill>
          </w14:textFill>
        </w:rPr>
        <w:t>年末在建工程</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lang w:eastAsia="zh-CN"/>
          <w14:textFill>
            <w14:solidFill>
              <w14:schemeClr w14:val="tx1"/>
            </w14:solidFill>
          </w14:textFill>
        </w:rPr>
        <w:t>万元</w:t>
      </w:r>
      <w:r>
        <w:rPr>
          <w:rFonts w:hint="eastAsia" w:ascii="仿宋_GB2312" w:hAnsi="ˎ̥" w:eastAsia="仿宋_GB2312"/>
          <w:color w:val="000000" w:themeColor="text1"/>
          <w:sz w:val="32"/>
          <w:szCs w:val="32"/>
          <w14:textFill>
            <w14:solidFill>
              <w14:schemeClr w14:val="tx1"/>
            </w14:solidFill>
          </w14:textFill>
        </w:rPr>
        <w:t>。</w:t>
      </w:r>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第四部分  名词解释</w:t>
      </w:r>
      <w:bookmarkEnd w:id="113"/>
      <w:bookmarkEnd w:id="114"/>
      <w:bookmarkEnd w:id="115"/>
      <w:bookmarkEnd w:id="116"/>
      <w:bookmarkEnd w:id="117"/>
      <w:bookmarkEnd w:id="118"/>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p>
    <w:p w14:paraId="70B2D6DD">
      <w:pPr>
        <w:keepNext w:val="0"/>
        <w:keepLines w:val="0"/>
        <w:pageBreakBefore w:val="0"/>
        <w:widowControl w:val="0"/>
        <w:numPr>
          <w:ilvl w:val="0"/>
          <w:numId w:val="6"/>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财政拨款收入：指同级政府财政部门当年拨付的各类财政拨款。</w:t>
      </w:r>
    </w:p>
    <w:p w14:paraId="7CB011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二、上级补助收入：指事业单位从主管部门和上级单位取得的非财政补助收入。</w:t>
      </w:r>
    </w:p>
    <w:p w14:paraId="615F44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三、事业收入：指事业单位开展专业业务活动及辅助活动取得的收入。</w:t>
      </w:r>
    </w:p>
    <w:p w14:paraId="2DDD1A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四、经营收入：指事业单位在专业业务活动及其辅助活动之外开展非独立核算经营活动取得的收入。</w:t>
      </w:r>
    </w:p>
    <w:p w14:paraId="1C1D4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五、附属单位上缴收入：指事业单位取得附属独立核算单位根据有关规定上缴的收入。</w:t>
      </w:r>
    </w:p>
    <w:p w14:paraId="2FC801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六、其他收入：指除上述“财政拨款收入”“事业收入”“上级补助收入”“经营收入”“附属单位上缴收入”等以外的收入。</w:t>
      </w:r>
    </w:p>
    <w:p w14:paraId="742CA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七、使用非财政拨款结余：指事业单位在当年的“财政拨款收入”“事业收入”“经营收入”“其他收入”等不足以安排当年支出的情况下，使用非同级财政拨款结余资金弥补本年度收支缺口。</w:t>
      </w:r>
    </w:p>
    <w:p w14:paraId="28F678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八、年初结转和结余：指以前年度尚未完成、结转到本年按有关规定继续使用的资金，或项目已完成等产生的结余资金。</w:t>
      </w:r>
    </w:p>
    <w:p w14:paraId="532391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九、结余分配：指事业单位缴纳企业所得税以及从非财政拨款结余或经营结余中提取各类结余的情况。</w:t>
      </w:r>
    </w:p>
    <w:p w14:paraId="63B3F8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十、年末结转和结余：指本年度或以前年度预算安排、因客观条件发生变化无法按原计划实施，需要延迟到以后年度按有关规定继续使用的资金（不包括事业单位非财政拨款结余和专用结余）。</w:t>
      </w:r>
    </w:p>
    <w:p w14:paraId="023674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十一、基本支出：指为保障机构正常运转、完成日常工作任务而发生的人员支出和公用支出。</w:t>
      </w:r>
    </w:p>
    <w:p w14:paraId="72D514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十二、项目支出：指在基本支出之外为完成特定行政任务和事业发展目标所发生的支出。</w:t>
      </w:r>
    </w:p>
    <w:p w14:paraId="7314EB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十三、经营支出：指事业单位在专业业务活动及其辅助活动之外开展非独立核算经营活动发生的支出。</w:t>
      </w:r>
    </w:p>
    <w:p w14:paraId="1ACBF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01C497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bookmarkStart w:id="119" w:name="_GoBack"/>
      <w:bookmarkEnd w:id="119"/>
    </w:p>
    <w:p w14:paraId="58E952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十六、</w:t>
      </w:r>
      <w:r>
        <w:rPr>
          <w:rFonts w:ascii="仿宋_GB2312" w:hAnsi="ˎ̥" w:eastAsia="仿宋_GB2312"/>
          <w:color w:val="000000" w:themeColor="text1"/>
          <w:sz w:val="32"/>
          <w:szCs w:val="32"/>
          <w14:textFill>
            <w14:solidFill>
              <w14:schemeClr w14:val="tx1"/>
            </w14:solidFill>
          </w14:textFill>
        </w:rPr>
        <w:t>支出功能分类：</w:t>
      </w:r>
    </w:p>
    <w:p w14:paraId="1B2AAEB5">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仿宋_GB2312" w:hAnsi="ˎ̥" w:eastAsia="仿宋_GB2312"/>
          <w:color w:val="000000" w:themeColor="text1"/>
          <w:sz w:val="32"/>
          <w:szCs w:val="32"/>
          <w:highlight w:val="none"/>
          <w:lang w:eastAsia="zh-CN"/>
          <w14:textFill>
            <w14:solidFill>
              <w14:schemeClr w14:val="tx1"/>
            </w14:solidFill>
          </w14:textFill>
        </w:rPr>
      </w:pPr>
      <w:r>
        <w:rPr>
          <w:rFonts w:hint="eastAsia" w:ascii="仿宋_GB2312" w:hAnsi="ˎ̥" w:eastAsia="仿宋_GB2312"/>
          <w:color w:val="000000" w:themeColor="text1"/>
          <w:sz w:val="32"/>
          <w:szCs w:val="32"/>
          <w:highlight w:val="none"/>
          <w:lang w:eastAsia="zh-CN"/>
          <w14:textFill>
            <w14:solidFill>
              <w14:schemeClr w14:val="tx1"/>
            </w14:solidFill>
          </w14:textFill>
        </w:rPr>
        <w:t>教育支出（类）普通教育（款）小学教育（项），社会保障和就业支出（类）行政事业单位养老支出（款）机关事业单位基本养老保险缴费支出（项），机关事业单位职业年金缴费支出（项），卫生健康支出（类）行政事业单位医疗（款）事业单位医疗（项），公务员医疗补助（项），住房保障支出（类）住房改革支出（款）住房公积金（项）。</w:t>
      </w:r>
    </w:p>
    <w:p w14:paraId="3B9927C1">
      <w:pPr>
        <w:keepNext w:val="0"/>
        <w:keepLines w:val="0"/>
        <w:pageBreakBefore w:val="0"/>
        <w:widowControl w:val="0"/>
        <w:kinsoku/>
        <w:wordWrap/>
        <w:overflowPunct/>
        <w:topLinePunct w:val="0"/>
        <w:autoSpaceDE/>
        <w:autoSpaceDN/>
        <w:bidi w:val="0"/>
        <w:adjustRightInd/>
        <w:snapToGrid/>
        <w:spacing w:line="578" w:lineRule="exact"/>
        <w:textAlignment w:val="auto"/>
        <w:rPr>
          <w:color w:val="000000" w:themeColor="text1"/>
          <w14:textFill>
            <w14:solidFill>
              <w14:schemeClr w14:val="tx1"/>
            </w14:solidFill>
          </w14:textFill>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B2358814"/>
    <w:multiLevelType w:val="singleLevel"/>
    <w:tmpl w:val="B2358814"/>
    <w:lvl w:ilvl="0" w:tentative="0">
      <w:start w:val="1"/>
      <w:numFmt w:val="chineseCounting"/>
      <w:suff w:val="nothing"/>
      <w:lvlText w:val="%1、"/>
      <w:lvlJc w:val="left"/>
      <w:rPr>
        <w:rFonts w:hint="eastAsia"/>
      </w:rPr>
    </w:lvl>
  </w:abstractNum>
  <w:abstractNum w:abstractNumId="2">
    <w:nsid w:val="C6538546"/>
    <w:multiLevelType w:val="singleLevel"/>
    <w:tmpl w:val="C6538546"/>
    <w:lvl w:ilvl="0" w:tentative="0">
      <w:start w:val="1"/>
      <w:numFmt w:val="chineseCounting"/>
      <w:suff w:val="nothing"/>
      <w:lvlText w:val="（%1）"/>
      <w:lvlJc w:val="left"/>
      <w:rPr>
        <w:rFonts w:hint="eastAsia"/>
      </w:rPr>
    </w:lvl>
  </w:abstractNum>
  <w:abstractNum w:abstractNumId="3">
    <w:nsid w:val="CF94AEA4"/>
    <w:multiLevelType w:val="singleLevel"/>
    <w:tmpl w:val="CF94AEA4"/>
    <w:lvl w:ilvl="0" w:tentative="0">
      <w:start w:val="1"/>
      <w:numFmt w:val="chineseCounting"/>
      <w:suff w:val="nothing"/>
      <w:lvlText w:val="%1、"/>
      <w:lvlJc w:val="left"/>
      <w:rPr>
        <w:rFonts w:hint="eastAsia"/>
      </w:rPr>
    </w:lvl>
  </w:abstractNum>
  <w:abstractNum w:abstractNumId="4">
    <w:nsid w:val="139F9B6F"/>
    <w:multiLevelType w:val="singleLevel"/>
    <w:tmpl w:val="139F9B6F"/>
    <w:lvl w:ilvl="0" w:tentative="0">
      <w:start w:val="2"/>
      <w:numFmt w:val="chineseCounting"/>
      <w:suff w:val="nothing"/>
      <w:lvlText w:val="（%1）"/>
      <w:lvlJc w:val="left"/>
      <w:rPr>
        <w:rFonts w:hint="eastAsia"/>
      </w:rPr>
    </w:lvl>
  </w:abstractNum>
  <w:abstractNum w:abstractNumId="5">
    <w:nsid w:val="72109F8D"/>
    <w:multiLevelType w:val="singleLevel"/>
    <w:tmpl w:val="72109F8D"/>
    <w:lvl w:ilvl="0" w:tentative="0">
      <w:start w:val="7"/>
      <w:numFmt w:val="chineseCounting"/>
      <w:suff w:val="nothing"/>
      <w:lvlText w:val="%1、"/>
      <w:lvlJc w:val="left"/>
      <w:rPr>
        <w:rFonts w:hint="eastAsia"/>
      </w:r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6EEC2B5"/>
    <w:rsid w:val="29472309"/>
    <w:rsid w:val="2B406E77"/>
    <w:rsid w:val="2C2A0C43"/>
    <w:rsid w:val="2D1E73A5"/>
    <w:rsid w:val="2E8325DC"/>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15D338B"/>
    <w:rsid w:val="56CA7FD0"/>
    <w:rsid w:val="57FA38D1"/>
    <w:rsid w:val="5F7D3333"/>
    <w:rsid w:val="61385890"/>
    <w:rsid w:val="625E2576"/>
    <w:rsid w:val="629E17B2"/>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7196</Words>
  <Characters>8115</Characters>
  <Lines>67</Lines>
  <Paragraphs>18</Paragraphs>
  <TotalTime>1</TotalTime>
  <ScaleCrop>false</ScaleCrop>
  <LinksUpToDate>false</LinksUpToDate>
  <CharactersWithSpaces>8201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嗯哼</cp:lastModifiedBy>
  <cp:lastPrinted>2023-08-03T00:58:00Z</cp:lastPrinted>
  <dcterms:modified xsi:type="dcterms:W3CDTF">2025-10-13T09:01:47Z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ABAD66D1F2854A67B9611DD019AA1C7B_13</vt:lpwstr>
  </property>
  <property fmtid="{D5CDD505-2E9C-101B-9397-08002B2CF9AE}" pid="4" name="KSOTemplateDocerSaveRecord">
    <vt:lpwstr>eyJoZGlkIjoiZGRlOGQyYzhlNTEwM2E2NWFkMDlhY2U3NTA0MTgyZTQiLCJ1c2VySWQiOiI0MDQ2ODczNDQifQ==</vt:lpwstr>
  </property>
</Properties>
</file>