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三亚市海棠区龙海小学2024年度部门决算公开报告</w:t>
      </w:r>
    </w:p>
    <w:p>
      <w:pPr>
        <w:spacing w:line="578" w:lineRule="exact"/>
        <w:jc w:val="center"/>
        <w:rPr>
          <w:rFonts w:hint="eastAsia" w:ascii="黑体" w:hAnsi="黑体" w:eastAsia="黑体" w:cs="黑体"/>
          <w:sz w:val="44"/>
          <w:szCs w:val="44"/>
        </w:rPr>
      </w:pPr>
      <w:bookmarkStart w:id="0" w:name="_Toc11440_WPSOffice_Type2"/>
    </w:p>
    <w:p>
      <w:pPr>
        <w:spacing w:line="578" w:lineRule="exact"/>
        <w:jc w:val="center"/>
        <w:rPr>
          <w:rFonts w:hint="eastAsia" w:ascii="黑体" w:hAnsi="黑体" w:eastAsia="黑体" w:cs="黑体"/>
          <w:sz w:val="44"/>
          <w:szCs w:val="44"/>
        </w:rPr>
      </w:pPr>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10049_WPSOffice_Level1"/>
      <w:bookmarkStart w:id="4" w:name="_Toc1704_WPSOffice_Level1"/>
      <w:bookmarkStart w:id="5" w:name="_Toc22941_WPSOffice_Level1"/>
      <w:bookmarkStart w:id="6" w:name="_Toc23465_WPSOffice_Level1"/>
      <w:bookmarkStart w:id="7" w:name="_Toc32433_WPSOffice_Level1"/>
      <w:bookmarkStart w:id="8" w:name="_Toc24238_WPSOffice_Level2"/>
      <w:bookmarkStart w:id="9" w:name="_Toc14159_WPSOffice_Level2"/>
      <w:bookmarkStart w:id="10" w:name="_Toc32622_WPSOffice_Level2"/>
      <w:bookmarkStart w:id="11" w:name="_Toc26580_WPSOffice_Level2"/>
      <w:bookmarkStart w:id="12" w:name="_Toc20274_WPSOffice_Level2"/>
      <w:bookmarkStart w:id="13" w:name="_Toc2020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keepNext w:val="0"/>
        <w:keepLines w:val="0"/>
        <w:pageBreakBefore w:val="0"/>
        <w:kinsoku/>
        <w:wordWrap/>
        <w:overflowPunct/>
        <w:topLinePunct w:val="0"/>
        <w:autoSpaceDE/>
        <w:autoSpaceDN/>
        <w:bidi w:val="0"/>
        <w:adjustRightInd/>
        <w:snapToGrid/>
        <w:spacing w:line="240" w:lineRule="auto"/>
        <w:ind w:firstLine="594" w:firstLineChars="198"/>
        <w:textAlignment w:val="auto"/>
        <w:rPr>
          <w:rFonts w:hint="eastAsia" w:ascii="黑体" w:hAnsi="黑体" w:eastAsia="黑体" w:cs="黑体"/>
          <w:sz w:val="32"/>
          <w:szCs w:val="32"/>
        </w:rPr>
      </w:pPr>
      <w:r>
        <w:rPr>
          <w:rFonts w:hint="eastAsia" w:cs="仿宋_GB2312"/>
          <w:color w:val="000000" w:themeColor="text1"/>
          <w:sz w:val="30"/>
          <w:szCs w:val="30"/>
          <w14:textFill>
            <w14:solidFill>
              <w14:schemeClr w14:val="tx1"/>
            </w14:solidFill>
          </w14:textFill>
        </w:rPr>
        <w:t>三亚市海棠区</w:t>
      </w:r>
      <w:r>
        <w:rPr>
          <w:rFonts w:hint="eastAsia" w:cs="仿宋_GB2312"/>
          <w:color w:val="000000" w:themeColor="text1"/>
          <w:sz w:val="30"/>
          <w:szCs w:val="30"/>
          <w:lang w:eastAsia="zh-CN"/>
          <w14:textFill>
            <w14:solidFill>
              <w14:schemeClr w14:val="tx1"/>
            </w14:solidFill>
          </w14:textFill>
        </w:rPr>
        <w:t>龙海</w:t>
      </w:r>
      <w:r>
        <w:rPr>
          <w:rFonts w:hint="eastAsia" w:cs="仿宋_GB2312"/>
          <w:color w:val="000000" w:themeColor="text1"/>
          <w:sz w:val="30"/>
          <w:szCs w:val="30"/>
          <w14:textFill>
            <w14:solidFill>
              <w14:schemeClr w14:val="tx1"/>
            </w14:solidFill>
          </w14:textFill>
        </w:rPr>
        <w:t>小学是全额拨款事业单位。其主要职责：实施小学义务教育，促进基础教育发展，</w:t>
      </w:r>
      <w:r>
        <w:rPr>
          <w:rFonts w:hint="eastAsia" w:cs="仿宋_GB2312"/>
          <w:color w:val="000000" w:themeColor="text1"/>
          <w:sz w:val="30"/>
          <w:szCs w:val="30"/>
          <w:lang w:eastAsia="zh-CN"/>
          <w14:textFill>
            <w14:solidFill>
              <w14:schemeClr w14:val="tx1"/>
            </w14:solidFill>
          </w14:textFill>
        </w:rPr>
        <w:t>以抓好教学管理形式形成自身特色为基础，深化教育改革，全面推进素质教育，培养全面发展的合格人才。</w:t>
      </w:r>
    </w:p>
    <w:p>
      <w:pPr>
        <w:spacing w:line="578" w:lineRule="exact"/>
        <w:ind w:firstLine="640" w:firstLineChars="200"/>
        <w:rPr>
          <w:rFonts w:hint="eastAsia" w:ascii="黑体" w:hAnsi="黑体" w:eastAsia="黑体" w:cs="黑体"/>
          <w:sz w:val="32"/>
          <w:szCs w:val="32"/>
        </w:rPr>
      </w:pPr>
      <w:bookmarkStart w:id="14" w:name="_Toc17796_WPSOffice_Level2"/>
      <w:bookmarkStart w:id="15" w:name="_Toc24059_WPSOffice_Level2"/>
      <w:bookmarkStart w:id="16" w:name="_Toc4833_WPSOffice_Level2"/>
      <w:bookmarkStart w:id="17" w:name="_Toc24474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cs="仿宋_GB2312"/>
          <w:color w:val="000000" w:themeColor="text1"/>
          <w:sz w:val="30"/>
          <w:szCs w:val="30"/>
          <w14:textFill>
            <w14:solidFill>
              <w14:schemeClr w14:val="tx1"/>
            </w14:solidFill>
          </w14:textFill>
        </w:rPr>
        <w:t>三亚市海棠区</w:t>
      </w:r>
      <w:r>
        <w:rPr>
          <w:rFonts w:hint="eastAsia" w:cs="仿宋_GB2312"/>
          <w:color w:val="000000" w:themeColor="text1"/>
          <w:sz w:val="30"/>
          <w:szCs w:val="30"/>
          <w:lang w:eastAsia="zh-CN"/>
          <w14:textFill>
            <w14:solidFill>
              <w14:schemeClr w14:val="tx1"/>
            </w14:solidFill>
          </w14:textFill>
        </w:rPr>
        <w:t>龙海</w:t>
      </w:r>
      <w:r>
        <w:rPr>
          <w:rFonts w:hint="eastAsia" w:cs="仿宋_GB2312"/>
          <w:color w:val="000000" w:themeColor="text1"/>
          <w:sz w:val="30"/>
          <w:szCs w:val="30"/>
          <w14:textFill>
            <w14:solidFill>
              <w14:schemeClr w14:val="tx1"/>
            </w14:solidFill>
          </w14:textFill>
        </w:rPr>
        <w:t>小学</w:t>
      </w:r>
      <w:r>
        <w:rPr>
          <w:rFonts w:hint="eastAsia" w:ascii="仿宋_GB2312" w:hAnsi="ˎ̥" w:eastAsia="仿宋_GB2312"/>
          <w:sz w:val="32"/>
          <w:szCs w:val="32"/>
          <w:lang w:eastAsia="zh-CN"/>
        </w:rPr>
        <w:t>是基层预算单位，没有下属单位，无内设机构。</w:t>
      </w:r>
    </w:p>
    <w:p>
      <w:pPr>
        <w:spacing w:line="578" w:lineRule="exact"/>
        <w:jc w:val="both"/>
        <w:rPr>
          <w:rFonts w:hint="eastAsia" w:ascii="黑体" w:hAnsi="ˎ̥" w:eastAsia="黑体"/>
          <w:sz w:val="32"/>
          <w:szCs w:val="32"/>
        </w:rPr>
      </w:pPr>
      <w:bookmarkStart w:id="19" w:name="_Toc6234_WPSOffice_Level1"/>
      <w:bookmarkStart w:id="20" w:name="_Toc30451_WPSOffice_Level1"/>
      <w:bookmarkStart w:id="21" w:name="_Toc8164_WPSOffice_Level1"/>
      <w:bookmarkStart w:id="22" w:name="_Toc28253_WPSOffice_Level1"/>
      <w:bookmarkStart w:id="23" w:name="_Toc15521_WPSOffice_Level1"/>
      <w:bookmarkStart w:id="24" w:name="_Toc30690_WPSOffice_Level1"/>
      <w:bookmarkStart w:id="25" w:name="_Toc6211_WPSOffice_Level2"/>
      <w:bookmarkStart w:id="26" w:name="_Toc11518_WPSOffice_Level2"/>
      <w:bookmarkStart w:id="27" w:name="_Toc4029_WPSOffice_Level2"/>
      <w:bookmarkStart w:id="28" w:name="_Toc32695_WPSOffice_Level2"/>
      <w:bookmarkStart w:id="29" w:name="_Toc32472_WPSOffice_Level2"/>
      <w:bookmarkStart w:id="30" w:name="_Toc8867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6621_WPSOffice_Level2"/>
      <w:bookmarkStart w:id="32" w:name="_Toc25608_WPSOffice_Level2"/>
      <w:bookmarkStart w:id="33" w:name="_Toc30334_WPSOffice_Level2"/>
      <w:bookmarkStart w:id="34" w:name="_Toc28622_WPSOffice_Level2"/>
      <w:bookmarkStart w:id="35" w:name="_Toc23139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4658_WPSOffice_Level2"/>
      <w:bookmarkStart w:id="39" w:name="_Toc17858_WPSOffice_Level2"/>
      <w:bookmarkStart w:id="40" w:name="_Toc5489_WPSOffice_Level2"/>
      <w:bookmarkStart w:id="41" w:name="_Toc3262_WPSOffice_Level2"/>
      <w:bookmarkStart w:id="42"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23493_WPSOffice_Level2"/>
      <w:bookmarkStart w:id="45" w:name="_Toc7988_WPSOffice_Level2"/>
      <w:bookmarkStart w:id="46" w:name="_Toc4265_WPSOffice_Level2"/>
      <w:bookmarkStart w:id="47" w:name="_Toc13701_WPSOffice_Level2"/>
      <w:bookmarkStart w:id="48"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2783_WPSOffice_Level2"/>
      <w:bookmarkStart w:id="51" w:name="_Toc25166_WPSOffice_Level2"/>
      <w:bookmarkStart w:id="52" w:name="_Toc787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5362_WPSOffice_Level2"/>
      <w:bookmarkStart w:id="56" w:name="_Toc17283_WPSOffice_Level2"/>
      <w:bookmarkStart w:id="57" w:name="_Toc5343_WPSOffice_Level2"/>
      <w:bookmarkStart w:id="58" w:name="_Toc8373_WPSOffice_Level2"/>
      <w:bookmarkStart w:id="59" w:name="_Toc17833_WPSOffice_Level2"/>
      <w:bookmarkStart w:id="60"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3345_WPSOffice_Level2"/>
      <w:bookmarkStart w:id="62" w:name="_Toc1533_WPSOffice_Level2"/>
      <w:bookmarkStart w:id="63" w:name="_Toc6020_WPSOffice_Level2"/>
      <w:bookmarkStart w:id="64" w:name="_Toc21310_WPSOffice_Level2"/>
      <w:bookmarkStart w:id="65" w:name="_Toc5594_WPSOffice_Level2"/>
      <w:bookmarkStart w:id="66" w:name="_Toc11799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9683_WPSOffice_Level1"/>
      <w:bookmarkStart w:id="72" w:name="_Toc27590_WPSOffice_Level1"/>
      <w:bookmarkStart w:id="73" w:name="_Toc16686_WPSOffice_Level1"/>
      <w:bookmarkStart w:id="74" w:name="_Toc31264_WPSOffice_Level1"/>
      <w:bookmarkStart w:id="75" w:name="_Toc4402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720.07</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720.07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20.29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2.82</w:t>
      </w:r>
      <w:r>
        <w:rPr>
          <w:rFonts w:hint="eastAsia" w:ascii="仿宋_GB2312" w:hAnsi="ˎ̥" w:eastAsia="仿宋_GB2312"/>
          <w:color w:val="auto"/>
          <w:sz w:val="32"/>
          <w:szCs w:val="32"/>
        </w:rPr>
        <w:t>%。主要原因：</w:t>
      </w:r>
      <w:r>
        <w:rPr>
          <w:rFonts w:hint="eastAsia" w:ascii="仿宋_GB2312" w:hAnsi="ˎ̥" w:eastAsia="仿宋_GB2312"/>
          <w:color w:val="auto"/>
          <w:sz w:val="32"/>
          <w:szCs w:val="32"/>
          <w:highlight w:val="none"/>
        </w:rPr>
        <w:t>一是</w:t>
      </w:r>
      <w:r>
        <w:rPr>
          <w:rFonts w:hint="eastAsia" w:ascii="仿宋_GB2312" w:hAnsi="ˎ̥" w:eastAsia="仿宋_GB2312"/>
          <w:color w:val="auto"/>
          <w:sz w:val="32"/>
          <w:szCs w:val="32"/>
          <w:highlight w:val="none"/>
          <w:lang w:eastAsia="zh-CN"/>
        </w:rPr>
        <w:t>项目增加</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eastAsia="zh-CN"/>
        </w:rPr>
        <w:t>人员经费增加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720.07</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highlight w:val="none"/>
          <w:lang w:eastAsia="zh-CN"/>
        </w:rPr>
        <w:t>无非财政拨款收入</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720.07</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720.07</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699.10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97.09</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20.97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2.91</w:t>
      </w:r>
      <w:r>
        <w:rPr>
          <w:rFonts w:hint="eastAsia" w:ascii="仿宋_GB2312" w:hAnsi="ˎ̥" w:eastAsia="仿宋_GB2312"/>
          <w:color w:val="auto"/>
          <w:sz w:val="32"/>
          <w:szCs w:val="32"/>
        </w:rPr>
        <w:t>%。</w:t>
      </w:r>
      <w:bookmarkStart w:id="119" w:name="_GoBack"/>
      <w:bookmarkEnd w:id="119"/>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720.07</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418.43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58.11</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301.64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41.89</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699.10</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699.10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7.59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1.10</w:t>
      </w:r>
      <w:r>
        <w:rPr>
          <w:rFonts w:hint="eastAsia" w:ascii="仿宋_GB2312" w:hAnsi="ˎ̥" w:eastAsia="仿宋_GB2312"/>
          <w:color w:val="auto"/>
          <w:sz w:val="32"/>
          <w:szCs w:val="32"/>
        </w:rPr>
        <w:t>%，主要原因：</w:t>
      </w:r>
      <w:r>
        <w:rPr>
          <w:rFonts w:hint="eastAsia" w:ascii="仿宋_GB2312" w:hAnsi="ˎ̥" w:eastAsia="仿宋_GB2312"/>
          <w:color w:val="auto"/>
          <w:sz w:val="32"/>
          <w:szCs w:val="32"/>
          <w:highlight w:val="none"/>
        </w:rPr>
        <w:t>一是</w:t>
      </w:r>
      <w:r>
        <w:rPr>
          <w:rFonts w:hint="eastAsia" w:ascii="仿宋_GB2312" w:hAnsi="ˎ̥" w:eastAsia="仿宋_GB2312"/>
          <w:color w:val="auto"/>
          <w:sz w:val="32"/>
          <w:szCs w:val="32"/>
          <w:highlight w:val="none"/>
          <w:lang w:eastAsia="zh-CN"/>
        </w:rPr>
        <w:t>基本支出增加</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eastAsia="zh-CN"/>
        </w:rPr>
        <w:t>项目支出增加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0.68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0.10</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highlight w:val="none"/>
          <w:lang w:eastAsia="zh-CN"/>
        </w:rPr>
        <w:t>项目支出减少</w:t>
      </w:r>
      <w:r>
        <w:rPr>
          <w:rFonts w:hint="eastAsia" w:ascii="仿宋_GB2312" w:hAnsi="ˎ̥" w:eastAsia="仿宋_GB2312"/>
          <w:color w:val="auto"/>
          <w:sz w:val="32"/>
          <w:szCs w:val="32"/>
        </w:rPr>
        <w:t>；二是</w:t>
      </w:r>
      <w:r>
        <w:rPr>
          <w:rFonts w:hint="eastAsia" w:ascii="仿宋_GB2312" w:hAnsi="ˎ̥" w:eastAsia="仿宋_GB2312"/>
          <w:color w:val="auto"/>
          <w:sz w:val="32"/>
          <w:szCs w:val="32"/>
          <w:highlight w:val="none"/>
          <w:lang w:eastAsia="zh-CN"/>
        </w:rPr>
        <w:t>由于</w:t>
      </w:r>
      <w:r>
        <w:rPr>
          <w:rFonts w:hint="eastAsia" w:ascii="仿宋_GB2312" w:hAnsi="ˎ̥" w:eastAsia="仿宋_GB2312"/>
          <w:color w:val="auto"/>
          <w:sz w:val="32"/>
          <w:szCs w:val="32"/>
          <w:highlight w:val="none"/>
          <w:lang w:val="en-US" w:eastAsia="zh-CN"/>
        </w:rPr>
        <w:t>有些工程项目没有完工</w:t>
      </w:r>
      <w:r>
        <w:rPr>
          <w:rFonts w:hint="eastAsia" w:ascii="仿宋_GB2312" w:hAnsi="ˎ̥" w:eastAsia="仿宋_GB2312"/>
          <w:color w:val="auto"/>
          <w:sz w:val="32"/>
          <w:szCs w:val="32"/>
          <w:highlight w:val="none"/>
          <w:lang w:eastAsia="zh-CN"/>
        </w:rPr>
        <w:t>的原因，</w:t>
      </w:r>
      <w:r>
        <w:rPr>
          <w:rFonts w:hint="eastAsia" w:ascii="仿宋_GB2312" w:hAnsi="ˎ̥" w:eastAsia="仿宋_GB2312"/>
          <w:color w:val="auto"/>
          <w:sz w:val="32"/>
          <w:szCs w:val="32"/>
          <w:highlight w:val="none"/>
          <w:lang w:val="en-US" w:eastAsia="zh-CN"/>
        </w:rPr>
        <w:t>导致</w:t>
      </w:r>
      <w:r>
        <w:rPr>
          <w:rFonts w:hint="eastAsia" w:ascii="仿宋_GB2312" w:hAnsi="ˎ̥" w:eastAsia="仿宋_GB2312"/>
          <w:color w:val="auto"/>
          <w:sz w:val="32"/>
          <w:szCs w:val="32"/>
          <w:highlight w:val="none"/>
          <w:lang w:eastAsia="zh-CN"/>
        </w:rPr>
        <w:t>有些项目</w:t>
      </w:r>
      <w:r>
        <w:rPr>
          <w:rFonts w:hint="eastAsia" w:ascii="仿宋_GB2312" w:hAnsi="ˎ̥" w:eastAsia="仿宋_GB2312"/>
          <w:color w:val="auto"/>
          <w:sz w:val="32"/>
          <w:szCs w:val="32"/>
          <w:highlight w:val="none"/>
          <w:lang w:val="en-US" w:eastAsia="zh-CN"/>
        </w:rPr>
        <w:t>款</w:t>
      </w:r>
      <w:r>
        <w:rPr>
          <w:rFonts w:hint="eastAsia" w:ascii="仿宋_GB2312" w:hAnsi="ˎ̥" w:eastAsia="仿宋_GB2312"/>
          <w:color w:val="auto"/>
          <w:sz w:val="32"/>
          <w:szCs w:val="32"/>
          <w:highlight w:val="none"/>
          <w:lang w:eastAsia="zh-CN"/>
        </w:rPr>
        <w:t>没有及时报销</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7398_WPSOffice_Level2"/>
      <w:bookmarkStart w:id="78" w:name="_Toc13694_WPSOffice_Level2"/>
      <w:bookmarkStart w:id="79" w:name="_Toc9989_WPSOffice_Level2"/>
      <w:bookmarkStart w:id="80" w:name="_Toc23005_WPSOffice_Level2"/>
      <w:bookmarkStart w:id="81" w:name="_Toc21737_WPSOffice_Level2"/>
      <w:bookmarkStart w:id="82" w:name="_Toc1966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698.82</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99.96</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13.15</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1.92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highlight w:val="none"/>
          <w:lang w:eastAsia="zh-CN"/>
        </w:rPr>
        <w:t>基本支出和项目支出增加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11_WPSOffice_Level2"/>
      <w:bookmarkStart w:id="84" w:name="_Toc18793_WPSOffice_Level2"/>
      <w:bookmarkStart w:id="85" w:name="_Toc27767_WPSOffice_Level2"/>
      <w:bookmarkStart w:id="86" w:name="_Toc23864_WPSOffice_Level2"/>
      <w:bookmarkStart w:id="87" w:name="_Toc19075_WPSOffice_Level2"/>
      <w:bookmarkStart w:id="88" w:name="_Toc19535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698.82</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eastAsia="zh-CN"/>
        </w:rPr>
        <w:t>教育</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553.29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79.17</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80.57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11.53</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w:t>
      </w:r>
      <w:r>
        <w:rPr>
          <w:rFonts w:hint="eastAsia" w:ascii="仿宋_GB2312" w:hAnsi="ˎ̥" w:eastAsia="仿宋_GB2312"/>
          <w:b/>
          <w:bCs/>
          <w:color w:val="auto"/>
          <w:sz w:val="32"/>
          <w:szCs w:val="32"/>
          <w:lang w:eastAsia="zh-CN"/>
        </w:rPr>
        <w:t>（类）支出</w:t>
      </w:r>
      <w:r>
        <w:rPr>
          <w:rFonts w:hint="eastAsia" w:ascii="仿宋_GB2312" w:hAnsi="ˎ̥" w:eastAsia="仿宋_GB2312"/>
          <w:b w:val="0"/>
          <w:bCs w:val="0"/>
          <w:color w:val="auto"/>
          <w:sz w:val="32"/>
          <w:szCs w:val="32"/>
          <w:lang w:val="en-US" w:eastAsia="zh-CN"/>
        </w:rPr>
        <w:t>43.95万元，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6.29</w:t>
      </w:r>
      <w:r>
        <w:rPr>
          <w:rFonts w:hint="eastAsia" w:ascii="仿宋_GB2312" w:hAnsi="ˎ̥" w:eastAsia="仿宋_GB2312"/>
          <w:color w:val="auto"/>
          <w:sz w:val="32"/>
          <w:szCs w:val="32"/>
        </w:rPr>
        <w:t>%</w:t>
      </w:r>
      <w:r>
        <w:rPr>
          <w:rFonts w:hint="eastAsia" w:ascii="仿宋_GB2312" w:hAnsi="ˎ̥" w:eastAsia="仿宋_GB2312"/>
          <w:b/>
          <w:bCs/>
          <w:color w:val="auto"/>
          <w:sz w:val="32"/>
          <w:szCs w:val="32"/>
          <w:lang w:val="en-US" w:eastAsia="zh-CN"/>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21.02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3.01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2318_WPSOffice_Level2"/>
      <w:bookmarkStart w:id="90" w:name="_Toc21701_WPSOffice_Level2"/>
      <w:bookmarkStart w:id="91" w:name="_Toc25136_WPSOffice_Level2"/>
      <w:bookmarkStart w:id="92" w:name="_Toc29364_WPSOffice_Level2"/>
      <w:bookmarkStart w:id="93" w:name="_Toc15415_WPSOffice_Level2"/>
      <w:bookmarkStart w:id="94" w:name="_Toc9502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698.82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698.82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highlight w:val="none"/>
          <w:lang w:eastAsia="zh-CN"/>
        </w:rPr>
        <w:t>教育</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普通教育</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小学教育</w:t>
      </w:r>
      <w:r>
        <w:rPr>
          <w:rFonts w:hint="eastAsia" w:ascii="仿宋_GB2312" w:hAnsi="ˎ̥" w:eastAsia="仿宋_GB2312"/>
          <w:b/>
          <w:color w:val="auto"/>
          <w:sz w:val="32"/>
          <w:szCs w:val="32"/>
          <w:highlight w:val="none"/>
        </w:rPr>
        <w:t>（项）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574.25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533.29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92.87</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eastAsia="zh-CN"/>
        </w:rPr>
        <w:t>项目支出减少</w:t>
      </w:r>
      <w:r>
        <w:rPr>
          <w:rFonts w:hint="eastAsia" w:ascii="仿宋_GB2312" w:hAnsi="ˎ̥" w:eastAsia="仿宋_GB2312"/>
          <w:color w:val="auto"/>
          <w:sz w:val="32"/>
          <w:szCs w:val="32"/>
        </w:rPr>
        <w:t>。</w:t>
      </w:r>
    </w:p>
    <w:p>
      <w:pPr>
        <w:keepNext w:val="0"/>
        <w:keepLines w:val="0"/>
        <w:pageBreakBefore w:val="0"/>
        <w:numPr>
          <w:ilvl w:val="0"/>
          <w:numId w:val="3"/>
        </w:numPr>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bCs/>
          <w:color w:val="auto"/>
          <w:sz w:val="32"/>
          <w:szCs w:val="32"/>
          <w:highlight w:val="none"/>
          <w:lang w:eastAsia="zh-CN"/>
        </w:rPr>
      </w:pPr>
      <w:r>
        <w:rPr>
          <w:rFonts w:hint="eastAsia" w:ascii="仿宋_GB2312" w:hAnsi="ˎ̥" w:eastAsia="仿宋_GB2312"/>
          <w:b/>
          <w:bCs/>
          <w:color w:val="auto"/>
          <w:sz w:val="32"/>
          <w:szCs w:val="32"/>
          <w:highlight w:val="none"/>
          <w:lang w:eastAsia="zh-CN"/>
        </w:rPr>
        <w:t>教育（类）</w:t>
      </w:r>
      <w:r>
        <w:rPr>
          <w:rFonts w:hint="eastAsia" w:ascii="仿宋_GB2312" w:hAnsi="ˎ̥" w:eastAsia="仿宋_GB2312"/>
          <w:b/>
          <w:bCs/>
          <w:color w:val="auto"/>
          <w:sz w:val="32"/>
          <w:szCs w:val="32"/>
          <w:highlight w:val="none"/>
        </w:rPr>
        <w:t>教育管理事务</w:t>
      </w:r>
      <w:r>
        <w:rPr>
          <w:rFonts w:hint="eastAsia" w:ascii="仿宋_GB2312" w:hAnsi="ˎ̥" w:eastAsia="仿宋_GB2312"/>
          <w:b/>
          <w:bCs/>
          <w:color w:val="auto"/>
          <w:sz w:val="32"/>
          <w:szCs w:val="32"/>
          <w:highlight w:val="none"/>
          <w:lang w:eastAsia="zh-CN"/>
        </w:rPr>
        <w:t>（款）其他普通教育</w:t>
      </w:r>
      <w:r>
        <w:rPr>
          <w:rFonts w:hint="eastAsia" w:ascii="仿宋_GB2312" w:hAnsi="ˎ̥" w:eastAsia="仿宋_GB2312"/>
          <w:b/>
          <w:bCs/>
          <w:color w:val="auto"/>
          <w:sz w:val="32"/>
          <w:szCs w:val="32"/>
          <w:highlight w:val="none"/>
        </w:rPr>
        <w:t>教育管理事务</w:t>
      </w:r>
      <w:r>
        <w:rPr>
          <w:rFonts w:hint="eastAsia" w:ascii="仿宋_GB2312" w:hAnsi="ˎ̥" w:eastAsia="仿宋_GB2312"/>
          <w:b/>
          <w:bCs/>
          <w:color w:val="auto"/>
          <w:sz w:val="32"/>
          <w:szCs w:val="32"/>
          <w:highlight w:val="none"/>
          <w:lang w:eastAsia="zh-CN"/>
        </w:rPr>
        <w:t>（项）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eastAsia="zh-CN"/>
        </w:rPr>
        <w:t>年初预算为</w:t>
      </w:r>
      <w:r>
        <w:rPr>
          <w:rFonts w:hint="eastAsia" w:ascii="仿宋_GB2312" w:hAnsi="ˎ̥" w:eastAsia="仿宋_GB2312"/>
          <w:color w:val="auto"/>
          <w:sz w:val="32"/>
          <w:szCs w:val="32"/>
          <w:highlight w:val="none"/>
          <w:lang w:val="en-US" w:eastAsia="zh-CN"/>
        </w:rPr>
        <w:t>0万元。支出决算数为3.48万元。完成年初预算的100%。</w:t>
      </w:r>
      <w:r>
        <w:rPr>
          <w:rFonts w:hint="eastAsia" w:ascii="仿宋_GB2312" w:hAnsi="ˎ̥" w:eastAsia="仿宋_GB2312"/>
          <w:color w:val="auto"/>
          <w:sz w:val="32"/>
          <w:szCs w:val="32"/>
          <w:highlight w:val="none"/>
        </w:rPr>
        <w:t>决算数大于预算数的主要原因：</w:t>
      </w:r>
      <w:r>
        <w:rPr>
          <w:rFonts w:hint="eastAsia" w:ascii="仿宋_GB2312" w:hAnsi="ˎ̥" w:eastAsia="仿宋_GB2312"/>
          <w:color w:val="auto"/>
          <w:sz w:val="32"/>
          <w:szCs w:val="32"/>
          <w:highlight w:val="none"/>
          <w:lang w:eastAsia="zh-CN"/>
        </w:rPr>
        <w:t>市级下达专项资金支出增加。</w:t>
      </w:r>
    </w:p>
    <w:p>
      <w:pPr>
        <w:keepNext w:val="0"/>
        <w:keepLines w:val="0"/>
        <w:pageBreakBefore w:val="0"/>
        <w:numPr>
          <w:ilvl w:val="0"/>
          <w:numId w:val="3"/>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ˎ̥" w:eastAsia="仿宋_GB2312"/>
          <w:b/>
          <w:bCs/>
          <w:color w:val="auto"/>
          <w:sz w:val="32"/>
          <w:szCs w:val="32"/>
          <w:highlight w:val="none"/>
        </w:rPr>
      </w:pPr>
      <w:r>
        <w:rPr>
          <w:rFonts w:hint="eastAsia" w:ascii="仿宋_GB2312" w:hAnsi="ˎ̥" w:eastAsia="仿宋_GB2312"/>
          <w:b/>
          <w:bCs/>
          <w:color w:val="auto"/>
          <w:sz w:val="32"/>
          <w:szCs w:val="32"/>
          <w:highlight w:val="none"/>
        </w:rPr>
        <w:t>社会保障和就业支出（类）行政事业单位养老支出（款）机关事业单位基本养老保险缴费支出（项）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31.50</w:t>
      </w:r>
      <w:r>
        <w:rPr>
          <w:rFonts w:hint="eastAsia" w:ascii="仿宋_GB2312" w:hAnsi="ˎ̥" w:eastAsia="仿宋_GB2312"/>
          <w:color w:val="auto"/>
          <w:sz w:val="32"/>
          <w:szCs w:val="32"/>
          <w:highlight w:val="none"/>
        </w:rPr>
        <w:t>万元，支出决算数为</w:t>
      </w:r>
      <w:r>
        <w:rPr>
          <w:rFonts w:hint="eastAsia" w:ascii="仿宋_GB2312" w:hAnsi="ˎ̥" w:eastAsia="仿宋_GB2312"/>
          <w:color w:val="auto"/>
          <w:sz w:val="32"/>
          <w:szCs w:val="32"/>
          <w:highlight w:val="none"/>
          <w:lang w:val="en-US" w:eastAsia="zh-CN"/>
        </w:rPr>
        <w:t>31.50</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bCs/>
          <w:color w:val="auto"/>
          <w:sz w:val="32"/>
          <w:szCs w:val="32"/>
          <w:highlight w:val="none"/>
        </w:rPr>
      </w:pPr>
      <w:r>
        <w:rPr>
          <w:rFonts w:hint="eastAsia" w:ascii="仿宋_GB2312" w:hAnsi="ˎ̥" w:eastAsia="仿宋_GB2312"/>
          <w:b/>
          <w:bCs/>
          <w:color w:val="auto"/>
          <w:sz w:val="32"/>
          <w:szCs w:val="32"/>
          <w:highlight w:val="none"/>
          <w:lang w:val="en-US" w:eastAsia="zh-CN"/>
        </w:rPr>
        <w:t>4</w:t>
      </w:r>
      <w:r>
        <w:rPr>
          <w:rFonts w:hint="eastAsia" w:ascii="仿宋_GB2312" w:hAnsi="ˎ̥" w:eastAsia="仿宋_GB2312"/>
          <w:b/>
          <w:bCs/>
          <w:color w:val="auto"/>
          <w:sz w:val="32"/>
          <w:szCs w:val="32"/>
          <w:highlight w:val="none"/>
        </w:rPr>
        <w:t>.社会保障和就业支出（类）抚恤（款）其他优抚（项）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6.58</w:t>
      </w:r>
      <w:r>
        <w:rPr>
          <w:rFonts w:hint="eastAsia" w:ascii="仿宋_GB2312" w:hAnsi="ˎ̥" w:eastAsia="仿宋_GB2312"/>
          <w:color w:val="auto"/>
          <w:sz w:val="32"/>
          <w:szCs w:val="32"/>
          <w:highlight w:val="none"/>
        </w:rPr>
        <w:t>万元，支出决算数为</w:t>
      </w:r>
      <w:r>
        <w:rPr>
          <w:rFonts w:hint="eastAsia" w:ascii="仿宋_GB2312" w:hAnsi="ˎ̥" w:eastAsia="仿宋_GB2312"/>
          <w:color w:val="auto"/>
          <w:sz w:val="32"/>
          <w:szCs w:val="32"/>
          <w:highlight w:val="none"/>
          <w:lang w:val="en-US" w:eastAsia="zh-CN"/>
        </w:rPr>
        <w:t>6.58</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bCs/>
          <w:color w:val="auto"/>
          <w:sz w:val="32"/>
          <w:szCs w:val="32"/>
          <w:highlight w:val="none"/>
        </w:rPr>
      </w:pPr>
      <w:r>
        <w:rPr>
          <w:rFonts w:hint="eastAsia" w:ascii="仿宋_GB2312" w:hAnsi="ˎ̥" w:eastAsia="仿宋_GB2312"/>
          <w:b/>
          <w:bCs/>
          <w:color w:val="auto"/>
          <w:sz w:val="32"/>
          <w:szCs w:val="32"/>
          <w:highlight w:val="none"/>
          <w:lang w:val="en-US" w:eastAsia="zh-CN"/>
        </w:rPr>
        <w:t>5</w:t>
      </w:r>
      <w:r>
        <w:rPr>
          <w:rFonts w:hint="eastAsia" w:ascii="仿宋_GB2312" w:hAnsi="ˎ̥" w:eastAsia="仿宋_GB2312"/>
          <w:b/>
          <w:bCs/>
          <w:color w:val="auto"/>
          <w:sz w:val="32"/>
          <w:szCs w:val="32"/>
          <w:highlight w:val="none"/>
        </w:rPr>
        <w:t>.卫生健康支出（类）行政事业单位医疗（款）事业单位医疗（项）</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43.95</w:t>
      </w:r>
      <w:r>
        <w:rPr>
          <w:rFonts w:hint="eastAsia" w:ascii="仿宋_GB2312" w:hAnsi="ˎ̥" w:eastAsia="仿宋_GB2312"/>
          <w:color w:val="auto"/>
          <w:sz w:val="32"/>
          <w:szCs w:val="32"/>
          <w:highlight w:val="none"/>
        </w:rPr>
        <w:t>万元，支出决算数</w:t>
      </w:r>
      <w:r>
        <w:rPr>
          <w:rFonts w:hint="eastAsia" w:ascii="仿宋_GB2312" w:hAnsi="ˎ̥" w:eastAsia="仿宋_GB2312"/>
          <w:color w:val="auto"/>
          <w:sz w:val="32"/>
          <w:szCs w:val="32"/>
          <w:highlight w:val="none"/>
          <w:lang w:val="en-US" w:eastAsia="zh-CN"/>
        </w:rPr>
        <w:t>43.95</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418.43</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394.86</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23.57</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0.28</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0.04</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年度相比，政府性基金预算财政拨款支出减少</w:t>
      </w:r>
      <w:r>
        <w:rPr>
          <w:rFonts w:hint="eastAsia" w:ascii="仿宋_GB2312" w:hAnsi="ˎ̥" w:eastAsia="仿宋_GB2312"/>
          <w:color w:val="auto"/>
          <w:sz w:val="32"/>
          <w:szCs w:val="32"/>
          <w:lang w:val="en-US" w:eastAsia="zh-CN"/>
        </w:rPr>
        <w:t>14.50</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98.11</w:t>
      </w:r>
      <w:r>
        <w:rPr>
          <w:rFonts w:hint="eastAsia" w:ascii="仿宋_GB2312" w:hAnsi="ˎ̥" w:eastAsia="仿宋_GB2312"/>
          <w:color w:val="auto"/>
          <w:sz w:val="32"/>
          <w:szCs w:val="32"/>
        </w:rPr>
        <w:t>%，主要原因是</w:t>
      </w:r>
      <w:r>
        <w:rPr>
          <w:rFonts w:hint="eastAsia" w:ascii="仿宋_GB2312" w:hAnsi="ˎ̥" w:eastAsia="仿宋_GB2312"/>
          <w:color w:val="auto"/>
          <w:sz w:val="32"/>
          <w:szCs w:val="32"/>
          <w:highlight w:val="none"/>
          <w:lang w:eastAsia="zh-CN"/>
        </w:rPr>
        <w:t>市级下达专项资金支出增加。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0.28</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城乡社区</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0.28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0.28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0.28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城乡社区</w:t>
      </w:r>
      <w:r>
        <w:rPr>
          <w:rFonts w:hint="eastAsia" w:ascii="仿宋_GB2312" w:hAnsi="ˎ̥" w:eastAsia="仿宋_GB2312"/>
          <w:color w:val="auto"/>
          <w:sz w:val="32"/>
          <w:szCs w:val="32"/>
        </w:rPr>
        <w:t>（类）</w:t>
      </w:r>
      <w:r>
        <w:rPr>
          <w:rFonts w:hint="default" w:ascii="仿宋_GB2312" w:hAnsi="ˎ̥" w:eastAsia="仿宋_GB2312"/>
          <w:color w:val="auto"/>
          <w:sz w:val="32"/>
          <w:szCs w:val="32"/>
          <w:lang w:val="en-US"/>
        </w:rPr>
        <w:t>国有土地使用权出让收入安排的支出</w:t>
      </w:r>
      <w:r>
        <w:rPr>
          <w:rFonts w:hint="eastAsia" w:ascii="仿宋_GB2312" w:hAnsi="ˎ̥" w:eastAsia="仿宋_GB2312"/>
          <w:color w:val="auto"/>
          <w:sz w:val="32"/>
          <w:szCs w:val="32"/>
        </w:rPr>
        <w:t>（款）</w:t>
      </w:r>
      <w:r>
        <w:rPr>
          <w:rFonts w:hint="default" w:ascii="仿宋_GB2312" w:hAnsi="ˎ̥" w:eastAsia="仿宋_GB2312"/>
          <w:color w:val="auto"/>
          <w:sz w:val="32"/>
          <w:szCs w:val="32"/>
          <w:lang w:val="en-US"/>
        </w:rPr>
        <w:t>其他国有土地使用权出让收入安排的支出</w:t>
      </w:r>
      <w:r>
        <w:rPr>
          <w:rFonts w:hint="eastAsia" w:ascii="仿宋_GB2312" w:hAnsi="ˎ̥" w:eastAsia="仿宋_GB2312"/>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0.28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0.28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eastAsia="zh-CN"/>
        </w:rPr>
        <w:t>无</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部门决算中项目绩效自评结果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lang w:eastAsia="zh-CN"/>
        </w:rPr>
        <w:t>无</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部门评价结果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val="zh-CN"/>
        </w:rPr>
      </w:pPr>
      <w:r>
        <w:rPr>
          <w:rFonts w:hint="eastAsia" w:ascii="仿宋_GB2312" w:eastAsia="仿宋_GB2312"/>
          <w:color w:val="auto"/>
          <w:sz w:val="32"/>
          <w:szCs w:val="32"/>
          <w:lang w:val="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18325_WPSOffice_Level2"/>
      <w:bookmarkStart w:id="96" w:name="_Toc32639_WPSOffice_Level2"/>
      <w:bookmarkStart w:id="97" w:name="_Toc5978_WPSOffice_Level2"/>
      <w:bookmarkStart w:id="98" w:name="_Toc15565_WPSOffice_Level2"/>
      <w:bookmarkStart w:id="99" w:name="_Toc15262_WPSOffice_Level2"/>
      <w:bookmarkStart w:id="100" w:name="_Toc23598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三亚市海棠区龙海小学</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23966_WPSOffice_Level2"/>
      <w:bookmarkStart w:id="102" w:name="_Toc30383_WPSOffice_Level2"/>
      <w:bookmarkStart w:id="103" w:name="_Toc25333_WPSOffice_Level2"/>
      <w:bookmarkStart w:id="104" w:name="_Toc13084_WPSOffice_Level2"/>
      <w:bookmarkStart w:id="105" w:name="_Toc3131_WPSOffice_Level2"/>
      <w:bookmarkStart w:id="106" w:name="_Toc32689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三亚市海棠区龙海小学</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527_WPSOffice_Level2"/>
      <w:bookmarkStart w:id="108" w:name="_Toc10902_WPSOffice_Level2"/>
      <w:bookmarkStart w:id="109" w:name="_Toc19989_WPSOffice_Level2"/>
      <w:bookmarkStart w:id="110" w:name="_Toc15129_WPSOffice_Level2"/>
      <w:bookmarkStart w:id="111" w:name="_Toc6016_WPSOffice_Level2"/>
      <w:bookmarkStart w:id="112" w:name="_Toc29584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3" w:name="_Toc15425_WPSOffice_Level1"/>
      <w:bookmarkStart w:id="114" w:name="_Toc17580_WPSOffice_Level1"/>
      <w:bookmarkStart w:id="115" w:name="_Toc8874_WPSOffice_Level1"/>
      <w:bookmarkStart w:id="116" w:name="_Toc11039_WPSOffice_Level1"/>
      <w:bookmarkStart w:id="117" w:name="_Toc8808_WPSOffice_Level1"/>
      <w:bookmarkStart w:id="118"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1.</w:t>
      </w:r>
      <w:r>
        <w:rPr>
          <w:rFonts w:hint="eastAsia" w:ascii="仿宋_GB2312" w:hAnsi="ˎ̥" w:eastAsia="仿宋_GB2312"/>
          <w:b w:val="0"/>
          <w:bCs w:val="0"/>
          <w:color w:val="auto"/>
          <w:sz w:val="32"/>
          <w:szCs w:val="32"/>
          <w:highlight w:val="none"/>
          <w:lang w:eastAsia="zh-CN"/>
        </w:rPr>
        <w:t>教育</w:t>
      </w:r>
      <w:r>
        <w:rPr>
          <w:rFonts w:hint="eastAsia" w:ascii="仿宋_GB2312" w:hAnsi="ˎ̥" w:eastAsia="仿宋_GB2312"/>
          <w:b w:val="0"/>
          <w:bCs w:val="0"/>
          <w:color w:val="auto"/>
          <w:sz w:val="32"/>
          <w:szCs w:val="32"/>
          <w:highlight w:val="none"/>
        </w:rPr>
        <w:t>（类）</w:t>
      </w:r>
      <w:r>
        <w:rPr>
          <w:rFonts w:hint="eastAsia" w:ascii="仿宋_GB2312" w:hAnsi="ˎ̥" w:eastAsia="仿宋_GB2312"/>
          <w:b w:val="0"/>
          <w:bCs w:val="0"/>
          <w:color w:val="auto"/>
          <w:sz w:val="32"/>
          <w:szCs w:val="32"/>
          <w:highlight w:val="none"/>
          <w:lang w:eastAsia="zh-CN"/>
        </w:rPr>
        <w:t>普通教育</w:t>
      </w:r>
      <w:r>
        <w:rPr>
          <w:rFonts w:hint="eastAsia" w:ascii="仿宋_GB2312" w:hAnsi="ˎ̥" w:eastAsia="仿宋_GB2312"/>
          <w:b w:val="0"/>
          <w:bCs w:val="0"/>
          <w:color w:val="auto"/>
          <w:sz w:val="32"/>
          <w:szCs w:val="32"/>
          <w:highlight w:val="none"/>
        </w:rPr>
        <w:t>（款）</w:t>
      </w:r>
      <w:r>
        <w:rPr>
          <w:rFonts w:hint="eastAsia" w:ascii="仿宋_GB2312" w:hAnsi="ˎ̥" w:eastAsia="仿宋_GB2312"/>
          <w:b w:val="0"/>
          <w:bCs w:val="0"/>
          <w:color w:val="auto"/>
          <w:sz w:val="32"/>
          <w:szCs w:val="32"/>
          <w:highlight w:val="none"/>
          <w:lang w:eastAsia="zh-CN"/>
        </w:rPr>
        <w:t>小学教育</w:t>
      </w:r>
      <w:r>
        <w:rPr>
          <w:rFonts w:hint="eastAsia" w:ascii="仿宋_GB2312" w:hAnsi="ˎ̥" w:eastAsia="仿宋_GB2312"/>
          <w:b w:val="0"/>
          <w:bCs w:val="0"/>
          <w:color w:val="auto"/>
          <w:sz w:val="32"/>
          <w:szCs w:val="32"/>
          <w:highlight w:val="none"/>
        </w:rPr>
        <w:t>（项）</w:t>
      </w:r>
      <w:r>
        <w:rPr>
          <w:rFonts w:hint="eastAsia" w:ascii="仿宋_GB2312" w:hAnsi="ˎ̥" w:eastAsia="仿宋_GB2312"/>
          <w:b w:val="0"/>
          <w:bCs w:val="0"/>
          <w:color w:val="auto"/>
          <w:sz w:val="32"/>
          <w:szCs w:val="32"/>
        </w:rPr>
        <w:t>。</w:t>
      </w:r>
    </w:p>
    <w:p>
      <w:pPr>
        <w:keepNext w:val="0"/>
        <w:keepLines w:val="0"/>
        <w:pageBreakBefore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color w:val="auto"/>
          <w:sz w:val="32"/>
          <w:szCs w:val="32"/>
          <w:highlight w:val="none"/>
          <w:lang w:val="en-US" w:eastAsia="zh-CN"/>
        </w:rPr>
      </w:pPr>
      <w:r>
        <w:rPr>
          <w:rFonts w:hint="eastAsia" w:ascii="仿宋_GB2312" w:hAnsi="ˎ̥" w:eastAsia="仿宋_GB2312"/>
          <w:b w:val="0"/>
          <w:bCs w:val="0"/>
          <w:color w:val="auto"/>
          <w:sz w:val="32"/>
          <w:szCs w:val="32"/>
          <w:highlight w:val="none"/>
          <w:lang w:eastAsia="zh-CN"/>
        </w:rPr>
        <w:t>教育（类）</w:t>
      </w:r>
      <w:r>
        <w:rPr>
          <w:rFonts w:hint="eastAsia" w:ascii="仿宋_GB2312" w:hAnsi="ˎ̥" w:eastAsia="仿宋_GB2312"/>
          <w:b w:val="0"/>
          <w:bCs w:val="0"/>
          <w:color w:val="auto"/>
          <w:sz w:val="32"/>
          <w:szCs w:val="32"/>
          <w:highlight w:val="none"/>
        </w:rPr>
        <w:t>教育管理事务</w:t>
      </w:r>
      <w:r>
        <w:rPr>
          <w:rFonts w:hint="eastAsia" w:ascii="仿宋_GB2312" w:hAnsi="ˎ̥" w:eastAsia="仿宋_GB2312"/>
          <w:b w:val="0"/>
          <w:bCs w:val="0"/>
          <w:color w:val="auto"/>
          <w:sz w:val="32"/>
          <w:szCs w:val="32"/>
          <w:highlight w:val="none"/>
          <w:lang w:eastAsia="zh-CN"/>
        </w:rPr>
        <w:t>（款）其他普通教育</w:t>
      </w:r>
      <w:r>
        <w:rPr>
          <w:rFonts w:hint="eastAsia" w:ascii="仿宋_GB2312" w:hAnsi="ˎ̥" w:eastAsia="仿宋_GB2312"/>
          <w:b w:val="0"/>
          <w:bCs w:val="0"/>
          <w:color w:val="auto"/>
          <w:sz w:val="32"/>
          <w:szCs w:val="32"/>
          <w:highlight w:val="none"/>
        </w:rPr>
        <w:t>教育管理事务</w:t>
      </w:r>
      <w:r>
        <w:rPr>
          <w:rFonts w:hint="eastAsia" w:ascii="仿宋_GB2312" w:hAnsi="ˎ̥" w:eastAsia="仿宋_GB2312"/>
          <w:b w:val="0"/>
          <w:bCs w:val="0"/>
          <w:color w:val="auto"/>
          <w:sz w:val="32"/>
          <w:szCs w:val="32"/>
          <w:highlight w:val="none"/>
          <w:lang w:eastAsia="zh-CN"/>
        </w:rPr>
        <w:t>（项）</w:t>
      </w:r>
    </w:p>
    <w:p>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ˎ̥" w:eastAsia="仿宋_GB2312"/>
          <w:b w:val="0"/>
          <w:bCs w:val="0"/>
          <w:color w:val="auto"/>
          <w:sz w:val="32"/>
          <w:szCs w:val="32"/>
          <w:highlight w:val="none"/>
        </w:rPr>
      </w:pPr>
      <w:r>
        <w:rPr>
          <w:rFonts w:hint="eastAsia" w:ascii="仿宋_GB2312" w:hAnsi="ˎ̥" w:eastAsia="仿宋_GB2312"/>
          <w:b w:val="0"/>
          <w:bCs w:val="0"/>
          <w:color w:val="auto"/>
          <w:sz w:val="32"/>
          <w:szCs w:val="32"/>
          <w:highlight w:val="none"/>
        </w:rPr>
        <w:t>社会保障和就业支出（类）行政事业单位养老支出（款）机关事业单位基本养老保险缴费支出（项）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color w:val="auto"/>
          <w:sz w:val="32"/>
          <w:szCs w:val="32"/>
          <w:highlight w:val="none"/>
        </w:rPr>
      </w:pPr>
      <w:r>
        <w:rPr>
          <w:rFonts w:hint="eastAsia" w:ascii="仿宋_GB2312" w:hAnsi="ˎ̥" w:eastAsia="仿宋_GB2312"/>
          <w:b w:val="0"/>
          <w:bCs w:val="0"/>
          <w:color w:val="auto"/>
          <w:sz w:val="32"/>
          <w:szCs w:val="32"/>
          <w:highlight w:val="none"/>
          <w:lang w:val="en-US" w:eastAsia="zh-CN"/>
        </w:rPr>
        <w:t>4</w:t>
      </w:r>
      <w:r>
        <w:rPr>
          <w:rFonts w:hint="eastAsia" w:ascii="仿宋_GB2312" w:hAnsi="ˎ̥" w:eastAsia="仿宋_GB2312"/>
          <w:b w:val="0"/>
          <w:bCs w:val="0"/>
          <w:color w:val="auto"/>
          <w:sz w:val="32"/>
          <w:szCs w:val="32"/>
          <w:highlight w:val="none"/>
        </w:rPr>
        <w:t>.社会保障和就业支出（类）抚恤（款）其他优抚（项）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color w:val="auto"/>
          <w:sz w:val="32"/>
          <w:szCs w:val="32"/>
          <w:highlight w:val="none"/>
        </w:rPr>
      </w:pPr>
      <w:r>
        <w:rPr>
          <w:rFonts w:hint="eastAsia" w:ascii="仿宋_GB2312" w:hAnsi="ˎ̥" w:eastAsia="仿宋_GB2312"/>
          <w:b w:val="0"/>
          <w:bCs w:val="0"/>
          <w:color w:val="auto"/>
          <w:sz w:val="32"/>
          <w:szCs w:val="32"/>
          <w:highlight w:val="none"/>
          <w:lang w:val="en-US" w:eastAsia="zh-CN"/>
        </w:rPr>
        <w:t>5</w:t>
      </w:r>
      <w:r>
        <w:rPr>
          <w:rFonts w:hint="eastAsia" w:ascii="仿宋_GB2312" w:hAnsi="ˎ̥" w:eastAsia="仿宋_GB2312"/>
          <w:b w:val="0"/>
          <w:bCs w:val="0"/>
          <w:color w:val="auto"/>
          <w:sz w:val="32"/>
          <w:szCs w:val="32"/>
          <w:highlight w:val="none"/>
        </w:rPr>
        <w:t>.卫生健康支出（类）行政事业单位医疗（款）事业单位医疗（项）</w:t>
      </w:r>
    </w:p>
    <w:p>
      <w:pPr>
        <w:keepNext w:val="0"/>
        <w:keepLines w:val="0"/>
        <w:pageBreakBefore w:val="0"/>
        <w:widowControl w:val="0"/>
        <w:kinsoku/>
        <w:wordWrap/>
        <w:overflowPunct/>
        <w:topLinePunct w:val="0"/>
        <w:autoSpaceDE/>
        <w:autoSpaceDN/>
        <w:bidi w:val="0"/>
        <w:adjustRightInd/>
        <w:snapToGrid/>
        <w:spacing w:line="578" w:lineRule="exact"/>
        <w:textAlignment w:val="auto"/>
        <w:rPr>
          <w:b w:val="0"/>
          <w:bCs w:val="0"/>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25FF5D9"/>
    <w:multiLevelType w:val="singleLevel"/>
    <w:tmpl w:val="125FF5D9"/>
    <w:lvl w:ilvl="0" w:tentative="0">
      <w:start w:val="2"/>
      <w:numFmt w:val="chineseCounting"/>
      <w:suff w:val="nothing"/>
      <w:lvlText w:val="（%1）"/>
      <w:lvlJc w:val="left"/>
      <w:rPr>
        <w:rFonts w:hint="eastAsia"/>
      </w:rPr>
    </w:lvl>
  </w:abstractNum>
  <w:abstractNum w:abstractNumId="2">
    <w:nsid w:val="515217B8"/>
    <w:multiLevelType w:val="singleLevel"/>
    <w:tmpl w:val="515217B8"/>
    <w:lvl w:ilvl="0" w:tentative="0">
      <w:start w:val="2"/>
      <w:numFmt w:val="decimal"/>
      <w:lvlText w:val="%1."/>
      <w:lvlJc w:val="left"/>
      <w:pPr>
        <w:tabs>
          <w:tab w:val="left" w:pos="312"/>
        </w:tabs>
      </w:pPr>
    </w:lvl>
  </w:abstractNum>
  <w:abstractNum w:abstractNumId="3">
    <w:nsid w:val="5A8613F5"/>
    <w:multiLevelType w:val="singleLevel"/>
    <w:tmpl w:val="5A8613F5"/>
    <w:lvl w:ilvl="0" w:tentative="0">
      <w:start w:val="2"/>
      <w:numFmt w:val="decimal"/>
      <w:lvlText w:val="%1."/>
      <w:lvlJc w:val="left"/>
      <w:pPr>
        <w:tabs>
          <w:tab w:val="left" w:pos="312"/>
        </w:tabs>
      </w:pPr>
    </w:lvl>
  </w:abstractNum>
  <w:abstractNum w:abstractNumId="4">
    <w:nsid w:val="6B7E685F"/>
    <w:multiLevelType w:val="singleLevel"/>
    <w:tmpl w:val="6B7E685F"/>
    <w:lvl w:ilvl="0" w:tentative="0">
      <w:start w:val="1"/>
      <w:numFmt w:val="chineseCounting"/>
      <w:suff w:val="nothing"/>
      <w:lvlText w:val="%1、"/>
      <w:lvlJc w:val="left"/>
      <w:rPr>
        <w:rFonts w:hint="eastAsia"/>
      </w:r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049D8"/>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021905"/>
    <w:rsid w:val="07484B65"/>
    <w:rsid w:val="09201287"/>
    <w:rsid w:val="09841D28"/>
    <w:rsid w:val="0C147306"/>
    <w:rsid w:val="0F1D7D7F"/>
    <w:rsid w:val="0FC80124"/>
    <w:rsid w:val="136F98C7"/>
    <w:rsid w:val="16C15493"/>
    <w:rsid w:val="17427E68"/>
    <w:rsid w:val="1755065F"/>
    <w:rsid w:val="1AFC29C9"/>
    <w:rsid w:val="1BD619E1"/>
    <w:rsid w:val="1CA52F2E"/>
    <w:rsid w:val="1E3630B9"/>
    <w:rsid w:val="2580476C"/>
    <w:rsid w:val="26EEC2B5"/>
    <w:rsid w:val="29472309"/>
    <w:rsid w:val="29CA2459"/>
    <w:rsid w:val="2B406E77"/>
    <w:rsid w:val="2C2A0C43"/>
    <w:rsid w:val="2D1E73A5"/>
    <w:rsid w:val="2DBA768B"/>
    <w:rsid w:val="32717154"/>
    <w:rsid w:val="34B63260"/>
    <w:rsid w:val="34B85CD0"/>
    <w:rsid w:val="37065704"/>
    <w:rsid w:val="37FDA7E2"/>
    <w:rsid w:val="3A314D88"/>
    <w:rsid w:val="3A746883"/>
    <w:rsid w:val="3CA15DE9"/>
    <w:rsid w:val="3DB47ECB"/>
    <w:rsid w:val="3EDF2808"/>
    <w:rsid w:val="3FE61EE5"/>
    <w:rsid w:val="406508EE"/>
    <w:rsid w:val="406C796F"/>
    <w:rsid w:val="408D6263"/>
    <w:rsid w:val="41B40CEE"/>
    <w:rsid w:val="45AC718B"/>
    <w:rsid w:val="48317291"/>
    <w:rsid w:val="485F7024"/>
    <w:rsid w:val="48904B42"/>
    <w:rsid w:val="48E70666"/>
    <w:rsid w:val="4C6877E5"/>
    <w:rsid w:val="4D6A468D"/>
    <w:rsid w:val="4EA86137"/>
    <w:rsid w:val="52662470"/>
    <w:rsid w:val="5296255A"/>
    <w:rsid w:val="56CA7FD0"/>
    <w:rsid w:val="57FA38D1"/>
    <w:rsid w:val="5C163158"/>
    <w:rsid w:val="5F7D3333"/>
    <w:rsid w:val="609F0704"/>
    <w:rsid w:val="61385890"/>
    <w:rsid w:val="620A72BB"/>
    <w:rsid w:val="65956E9C"/>
    <w:rsid w:val="687436E1"/>
    <w:rsid w:val="6AD62431"/>
    <w:rsid w:val="6DA45C50"/>
    <w:rsid w:val="6E9A7825"/>
    <w:rsid w:val="6F670F9B"/>
    <w:rsid w:val="737450E0"/>
    <w:rsid w:val="74054476"/>
    <w:rsid w:val="742F38C4"/>
    <w:rsid w:val="74AB66DC"/>
    <w:rsid w:val="74C4154C"/>
    <w:rsid w:val="75956FFF"/>
    <w:rsid w:val="77882D05"/>
    <w:rsid w:val="77AA2D01"/>
    <w:rsid w:val="7CDE1DBD"/>
    <w:rsid w:val="7D423956"/>
    <w:rsid w:val="7D943A85"/>
    <w:rsid w:val="7DB0448C"/>
    <w:rsid w:val="7E5F9AA4"/>
    <w:rsid w:val="7EA61CC2"/>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5462</Words>
  <Characters>6060</Characters>
  <Lines>67</Lines>
  <Paragraphs>18</Paragraphs>
  <TotalTime>5</TotalTime>
  <ScaleCrop>false</ScaleCrop>
  <LinksUpToDate>false</LinksUpToDate>
  <CharactersWithSpaces>6128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2025-10-13T00:10:40Z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4EF36585655449A6A15B306DEE1DCC6B_13</vt:lpwstr>
  </property>
  <property fmtid="{D5CDD505-2E9C-101B-9397-08002B2CF9AE}" pid="4" name="KSOTemplateDocerSaveRecord">
    <vt:lpwstr>eyJoZGlkIjoiZGY4YTMxZDExNDM4NGYxN2IzYTExZTRlMTgwNGU5MGYiLCJ1c2VySWQiOiI0MDk5OTIxNjIifQ==</vt:lpwstr>
  </property>
</Properties>
</file>