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7E356A">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三亚市海棠区江林幼儿园2024年度部门决算公开报告</w:t>
      </w:r>
    </w:p>
    <w:p w14:paraId="6C2B2D3A">
      <w:pPr>
        <w:spacing w:line="578" w:lineRule="exact"/>
        <w:jc w:val="both"/>
        <w:rPr>
          <w:rFonts w:hint="eastAsia" w:ascii="黑体" w:hAnsi="ˎ̥" w:eastAsia="黑体"/>
          <w:b/>
          <w:sz w:val="32"/>
          <w:szCs w:val="32"/>
        </w:rPr>
      </w:pPr>
    </w:p>
    <w:p w14:paraId="6A8F1018">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14:paraId="6A2F743B">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14:paraId="29CBFE79">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一、部门（单位）职责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14:paraId="09089809">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14:paraId="3B013F23">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年度部门决算公开表</w:t>
      </w:r>
      <w:r>
        <w:rPr>
          <w:sz w:val="32"/>
          <w:szCs w:val="32"/>
        </w:rPr>
        <w:tab/>
      </w:r>
      <w:r>
        <w:rPr>
          <w:sz w:val="32"/>
          <w:szCs w:val="32"/>
        </w:rPr>
        <w:fldChar w:fldCharType="end"/>
      </w:r>
      <w:r>
        <w:rPr>
          <w:rFonts w:hint="eastAsia"/>
          <w:sz w:val="32"/>
          <w:szCs w:val="32"/>
        </w:rPr>
        <w:t>2</w:t>
      </w:r>
    </w:p>
    <w:p w14:paraId="6E57563D">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年度部门决算情况说明</w:t>
      </w:r>
      <w:r>
        <w:rPr>
          <w:sz w:val="32"/>
          <w:szCs w:val="32"/>
        </w:rPr>
        <w:tab/>
      </w:r>
      <w:r>
        <w:rPr>
          <w:sz w:val="32"/>
          <w:szCs w:val="32"/>
        </w:rPr>
        <w:fldChar w:fldCharType="end"/>
      </w:r>
      <w:r>
        <w:rPr>
          <w:rFonts w:hint="eastAsia"/>
          <w:sz w:val="32"/>
          <w:szCs w:val="32"/>
        </w:rPr>
        <w:t>3</w:t>
      </w:r>
    </w:p>
    <w:p w14:paraId="65C40179">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14:paraId="4BD7D57F">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0C54764D">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51FC70A3">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7A0C8420">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14:paraId="0F3513AE">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14:paraId="14C271AC">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14:paraId="341B0484">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14:paraId="4A5010BD">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14:paraId="23F091F4">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14:paraId="11226842">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14:paraId="1704E608">
      <w:pPr>
        <w:pStyle w:val="15"/>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14:paraId="4EC8D6DA">
      <w:pPr>
        <w:spacing w:line="578" w:lineRule="exact"/>
        <w:jc w:val="both"/>
        <w:rPr>
          <w:rFonts w:hint="eastAsia" w:ascii="黑体" w:hAnsi="ˎ̥" w:eastAsia="黑体"/>
          <w:sz w:val="32"/>
          <w:szCs w:val="32"/>
        </w:rPr>
      </w:pPr>
      <w:bookmarkStart w:id="2" w:name="_Toc22941_WPSOffice_Level1"/>
      <w:bookmarkStart w:id="3" w:name="_Toc1704_WPSOffice_Level1"/>
      <w:bookmarkStart w:id="4" w:name="_Toc10049_WPSOffice_Level1"/>
      <w:bookmarkStart w:id="5" w:name="_Toc32433_WPSOffice_Level1"/>
      <w:bookmarkStart w:id="6" w:name="_Toc23465_WPSOffice_Level1"/>
      <w:bookmarkStart w:id="7" w:name="_Toc10720_WPSOffice_Level1"/>
      <w:bookmarkStart w:id="8" w:name="_Toc24238_WPSOffice_Level2"/>
      <w:bookmarkStart w:id="9" w:name="_Toc26580_WPSOffice_Level2"/>
      <w:bookmarkStart w:id="10" w:name="_Toc20205_WPSOffice_Level2"/>
      <w:bookmarkStart w:id="11" w:name="_Toc20274_WPSOffice_Level2"/>
      <w:bookmarkStart w:id="12" w:name="_Toc32622_WPSOffice_Level2"/>
      <w:bookmarkStart w:id="13" w:name="_Toc14159_WPSOffice_Level2"/>
    </w:p>
    <w:p w14:paraId="13495E08">
      <w:pPr>
        <w:spacing w:line="578"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 xml:space="preserve">第一部分  </w:t>
      </w:r>
      <w:bookmarkEnd w:id="2"/>
      <w:bookmarkEnd w:id="3"/>
      <w:bookmarkEnd w:id="4"/>
      <w:bookmarkEnd w:id="5"/>
      <w:bookmarkEnd w:id="6"/>
      <w:bookmarkEnd w:id="7"/>
      <w:r>
        <w:rPr>
          <w:rFonts w:hint="eastAsia" w:ascii="方正小标宋简体" w:hAnsi="方正小标宋简体" w:eastAsia="方正小标宋简体" w:cs="方正小标宋简体"/>
          <w:sz w:val="44"/>
          <w:szCs w:val="44"/>
        </w:rPr>
        <w:t>基本情况</w:t>
      </w:r>
    </w:p>
    <w:p w14:paraId="59DE4DDD">
      <w:pPr>
        <w:spacing w:line="578" w:lineRule="exact"/>
        <w:ind w:firstLine="640" w:firstLineChars="200"/>
        <w:rPr>
          <w:rFonts w:hint="eastAsia" w:ascii="楷体" w:hAnsi="楷体" w:eastAsia="楷体" w:cs="楷体"/>
          <w:sz w:val="32"/>
          <w:szCs w:val="32"/>
        </w:rPr>
      </w:pPr>
    </w:p>
    <w:p w14:paraId="4A3D8885">
      <w:p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一、部门</w:t>
      </w:r>
      <w:bookmarkEnd w:id="8"/>
      <w:r>
        <w:rPr>
          <w:rFonts w:hint="eastAsia" w:ascii="黑体" w:hAnsi="黑体" w:eastAsia="黑体" w:cs="黑体"/>
          <w:sz w:val="32"/>
          <w:szCs w:val="32"/>
        </w:rPr>
        <w:t>（单位）职责</w:t>
      </w:r>
      <w:bookmarkEnd w:id="9"/>
      <w:bookmarkEnd w:id="10"/>
      <w:bookmarkEnd w:id="11"/>
      <w:bookmarkEnd w:id="12"/>
      <w:bookmarkEnd w:id="13"/>
    </w:p>
    <w:p w14:paraId="75CAD825">
      <w:pPr>
        <w:pStyle w:val="18"/>
        <w:ind w:firstLine="1280" w:firstLineChars="4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幼儿园的主要职责在于促进幼儿的全面发展</w:t>
      </w:r>
    </w:p>
    <w:p w14:paraId="233DF80D">
      <w:pPr>
        <w:pStyle w:val="18"/>
        <w:numPr>
          <w:ilvl w:val="0"/>
          <w:numId w:val="2"/>
        </w:numPr>
        <w:ind w:left="630" w:leftChars="300" w:firstLine="56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保育方面，为幼儿提供安全健康的环境，做好卫生保健工作，如合理设置安全设施、按时消毒清洁等，培养幼儿良好的生活和学习习惯。</w:t>
      </w:r>
    </w:p>
    <w:p w14:paraId="2C7A8F77">
      <w:pPr>
        <w:pStyle w:val="18"/>
        <w:numPr>
          <w:ilvl w:val="0"/>
          <w:numId w:val="2"/>
        </w:numPr>
        <w:ind w:left="630" w:leftChars="300" w:firstLine="56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教育上，依据幼儿特点制定教学计划，开展多元活动，涵盖多个领域，激发兴趣，提升综合素质，同时关注个体差异，因材施教。</w:t>
      </w:r>
    </w:p>
    <w:p w14:paraId="7BD662B0">
      <w:pPr>
        <w:pStyle w:val="18"/>
        <w:numPr>
          <w:ilvl w:val="0"/>
          <w:numId w:val="2"/>
        </w:numPr>
        <w:ind w:left="630" w:leftChars="300" w:firstLine="56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家园合作也至关重要，与家长保持沟通，反馈幼儿情况，了解在家表现，通过多种活动增进互信，共同促进幼儿成长。 </w:t>
      </w:r>
    </w:p>
    <w:p w14:paraId="4CBEA668">
      <w:pPr>
        <w:pStyle w:val="18"/>
        <w:numPr>
          <w:ilvl w:val="0"/>
          <w:numId w:val="2"/>
        </w:numPr>
        <w:ind w:left="630" w:leftChars="300" w:firstLine="56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此外，还需进行师资队伍建设，招聘调配教职工，组织学习培训。在行政管理方面，制订规划目标并执行制度，管理财务等工作，保障幼儿园的正常运转与发展，为幼儿发展提供有力支持。</w:t>
      </w:r>
    </w:p>
    <w:p w14:paraId="665278F2">
      <w:pPr>
        <w:spacing w:line="578" w:lineRule="exact"/>
        <w:ind w:firstLine="640" w:firstLineChars="200"/>
        <w:rPr>
          <w:rFonts w:hint="eastAsia" w:ascii="黑体" w:hAnsi="黑体" w:eastAsia="黑体" w:cs="黑体"/>
          <w:sz w:val="32"/>
          <w:szCs w:val="32"/>
        </w:rPr>
      </w:pPr>
    </w:p>
    <w:p w14:paraId="0680DACE">
      <w:pPr>
        <w:spacing w:line="578" w:lineRule="exact"/>
        <w:ind w:firstLine="640" w:firstLineChars="200"/>
        <w:rPr>
          <w:rFonts w:hint="eastAsia" w:ascii="黑体" w:hAnsi="黑体" w:eastAsia="黑体" w:cs="黑体"/>
          <w:sz w:val="32"/>
          <w:szCs w:val="32"/>
        </w:rPr>
      </w:pPr>
      <w:bookmarkStart w:id="14" w:name="_Toc6572_WPSOffice_Level2"/>
      <w:bookmarkStart w:id="15" w:name="_Toc17796_WPSOffice_Level2"/>
      <w:bookmarkStart w:id="16" w:name="_Toc24059_WPSOffice_Level2"/>
      <w:bookmarkStart w:id="17" w:name="_Toc24474_WPSOffice_Level2"/>
      <w:bookmarkStart w:id="18" w:name="_Toc4833_WPSOffice_Level2"/>
      <w:r>
        <w:rPr>
          <w:rFonts w:hint="eastAsia" w:ascii="黑体" w:hAnsi="黑体" w:eastAsia="黑体" w:cs="黑体"/>
          <w:sz w:val="32"/>
          <w:szCs w:val="32"/>
        </w:rPr>
        <w:t>二、机构设置</w:t>
      </w:r>
      <w:bookmarkEnd w:id="14"/>
      <w:bookmarkEnd w:id="15"/>
      <w:bookmarkEnd w:id="16"/>
      <w:bookmarkEnd w:id="17"/>
      <w:bookmarkEnd w:id="18"/>
    </w:p>
    <w:p w14:paraId="126AA4F8">
      <w:pPr>
        <w:jc w:val="left"/>
        <w:rPr>
          <w:rFonts w:ascii="仿宋_GB2312" w:hAnsi="黑体" w:eastAsia="仿宋_GB2312" w:cs="仿宋_GB2312"/>
          <w:sz w:val="32"/>
          <w:szCs w:val="32"/>
        </w:rPr>
      </w:pPr>
      <w:r>
        <w:rPr>
          <w:rFonts w:hint="eastAsia" w:ascii="仿宋_GB2312" w:hAnsi="黑体" w:eastAsia="仿宋_GB2312" w:cs="仿宋_GB2312"/>
          <w:sz w:val="32"/>
          <w:szCs w:val="32"/>
        </w:rPr>
        <w:t xml:space="preserve"> 三亚市海棠区江林幼儿园是基层预算单位，无其他下属单位及内设机构。</w:t>
      </w:r>
    </w:p>
    <w:p w14:paraId="149848AF">
      <w:pPr>
        <w:spacing w:line="578" w:lineRule="exact"/>
        <w:jc w:val="center"/>
        <w:rPr>
          <w:rFonts w:hint="eastAsia" w:ascii="黑体" w:hAnsi="ˎ̥" w:eastAsia="黑体"/>
          <w:sz w:val="32"/>
          <w:szCs w:val="32"/>
        </w:rPr>
      </w:pPr>
      <w:bookmarkStart w:id="19" w:name="_Toc15521_WPSOffice_Level1"/>
      <w:bookmarkStart w:id="20" w:name="_Toc8164_WPSOffice_Level1"/>
      <w:bookmarkStart w:id="21" w:name="_Toc30451_WPSOffice_Level1"/>
      <w:bookmarkStart w:id="22" w:name="_Toc30690_WPSOffice_Level1"/>
      <w:bookmarkStart w:id="23" w:name="_Toc6234_WPSOffice_Level1"/>
      <w:bookmarkStart w:id="24" w:name="_Toc28253_WPSOffice_Level1"/>
      <w:bookmarkStart w:id="25" w:name="_Toc6211_WPSOffice_Level2"/>
      <w:bookmarkStart w:id="26" w:name="_Toc11518_WPSOffice_Level2"/>
      <w:bookmarkStart w:id="27" w:name="_Toc8867_WPSOffice_Level2"/>
      <w:bookmarkStart w:id="28" w:name="_Toc32472_WPSOffice_Level2"/>
      <w:bookmarkStart w:id="29" w:name="_Toc4029_WPSOffice_Level2"/>
      <w:bookmarkStart w:id="30" w:name="_Toc32695_WPSOffice_Level2"/>
    </w:p>
    <w:p w14:paraId="5ABA64D5">
      <w:pPr>
        <w:spacing w:line="578" w:lineRule="exact"/>
        <w:jc w:val="center"/>
        <w:rPr>
          <w:rFonts w:hint="eastAsia" w:ascii="黑体" w:hAnsi="ˎ̥" w:eastAsia="黑体"/>
          <w:sz w:val="32"/>
          <w:szCs w:val="32"/>
        </w:rPr>
      </w:pP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年度部门决算公开报表</w:t>
      </w:r>
      <w:bookmarkEnd w:id="19"/>
      <w:bookmarkEnd w:id="20"/>
      <w:bookmarkEnd w:id="21"/>
      <w:bookmarkEnd w:id="22"/>
      <w:bookmarkEnd w:id="23"/>
      <w:bookmarkEnd w:id="24"/>
    </w:p>
    <w:p w14:paraId="1A7D1292">
      <w:pPr>
        <w:spacing w:line="578" w:lineRule="exact"/>
        <w:ind w:firstLine="645"/>
        <w:rPr>
          <w:rFonts w:hint="eastAsia" w:ascii="黑体" w:hAnsi="黑体" w:eastAsia="黑体" w:cs="黑体"/>
          <w:sz w:val="32"/>
          <w:szCs w:val="32"/>
        </w:rPr>
      </w:pPr>
    </w:p>
    <w:p w14:paraId="4609FEC3">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5"/>
      <w:bookmarkEnd w:id="26"/>
      <w:bookmarkEnd w:id="27"/>
      <w:bookmarkEnd w:id="28"/>
      <w:bookmarkEnd w:id="29"/>
      <w:bookmarkEnd w:id="30"/>
    </w:p>
    <w:p w14:paraId="646AEC68">
      <w:pPr>
        <w:spacing w:line="578" w:lineRule="exact"/>
        <w:ind w:firstLine="645"/>
        <w:rPr>
          <w:rFonts w:hint="eastAsia" w:ascii="黑体" w:hAnsi="黑体" w:eastAsia="黑体" w:cs="黑体"/>
          <w:sz w:val="32"/>
          <w:szCs w:val="32"/>
        </w:rPr>
      </w:pPr>
      <w:bookmarkStart w:id="31" w:name="_Toc28622_WPSOffice_Level2"/>
      <w:bookmarkStart w:id="32" w:name="_Toc30334_WPSOffice_Level2"/>
      <w:bookmarkStart w:id="33" w:name="_Toc23139_WPSOffice_Level2"/>
      <w:bookmarkStart w:id="34" w:name="_Toc26621_WPSOffice_Level2"/>
      <w:bookmarkStart w:id="35" w:name="_Toc14349_WPSOffice_Level2"/>
      <w:bookmarkStart w:id="36" w:name="_Toc25608_WPSOffice_Level2"/>
      <w:r>
        <w:rPr>
          <w:rFonts w:hint="eastAsia" w:ascii="黑体" w:hAnsi="黑体" w:eastAsia="黑体" w:cs="黑体"/>
          <w:sz w:val="32"/>
          <w:szCs w:val="32"/>
        </w:rPr>
        <w:t>二、收入决算公开表</w:t>
      </w:r>
      <w:bookmarkEnd w:id="31"/>
      <w:bookmarkEnd w:id="32"/>
      <w:bookmarkEnd w:id="33"/>
      <w:bookmarkEnd w:id="34"/>
      <w:bookmarkEnd w:id="35"/>
      <w:bookmarkEnd w:id="36"/>
      <w:bookmarkStart w:id="37" w:name="_Toc3262_WPSOffice_Level2"/>
      <w:bookmarkStart w:id="38" w:name="_Toc17858_WPSOffice_Level2"/>
      <w:bookmarkStart w:id="39" w:name="_Toc5489_WPSOffice_Level2"/>
      <w:bookmarkStart w:id="40" w:name="_Toc13854_WPSOffice_Level2"/>
      <w:bookmarkStart w:id="41" w:name="_Toc14658_WPSOffice_Level2"/>
      <w:bookmarkStart w:id="42" w:name="_Toc17626_WPSOffice_Level2"/>
    </w:p>
    <w:p w14:paraId="2D43FEAF">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37"/>
      <w:bookmarkEnd w:id="38"/>
      <w:bookmarkEnd w:id="39"/>
      <w:bookmarkEnd w:id="40"/>
      <w:bookmarkEnd w:id="41"/>
      <w:bookmarkEnd w:id="42"/>
      <w:bookmarkStart w:id="43" w:name="_Toc7988_WPSOffice_Level2"/>
      <w:bookmarkStart w:id="44" w:name="_Toc23591_WPSOffice_Level2"/>
      <w:bookmarkStart w:id="45" w:name="_Toc21415_WPSOffice_Level2"/>
      <w:bookmarkStart w:id="46" w:name="_Toc23493_WPSOffice_Level2"/>
      <w:bookmarkStart w:id="47" w:name="_Toc13701_WPSOffice_Level2"/>
      <w:bookmarkStart w:id="48" w:name="_Toc4265_WPSOffice_Level2"/>
    </w:p>
    <w:p w14:paraId="466CE0B2">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3"/>
      <w:bookmarkEnd w:id="44"/>
      <w:bookmarkEnd w:id="45"/>
      <w:bookmarkEnd w:id="46"/>
      <w:bookmarkEnd w:id="47"/>
      <w:bookmarkEnd w:id="48"/>
    </w:p>
    <w:p w14:paraId="1CA1AAB7">
      <w:pPr>
        <w:spacing w:line="578" w:lineRule="exact"/>
        <w:ind w:firstLine="645"/>
        <w:rPr>
          <w:rFonts w:hint="eastAsia" w:ascii="黑体" w:hAnsi="黑体" w:eastAsia="黑体" w:cs="黑体"/>
          <w:sz w:val="32"/>
          <w:szCs w:val="32"/>
        </w:rPr>
      </w:pPr>
      <w:bookmarkStart w:id="49" w:name="_Toc7879_WPSOffice_Level2"/>
      <w:bookmarkStart w:id="50" w:name="_Toc23829_WPSOffice_Level2"/>
      <w:bookmarkStart w:id="51" w:name="_Toc25166_WPSOffice_Level2"/>
      <w:bookmarkStart w:id="52" w:name="_Toc22783_WPSOffice_Level2"/>
      <w:bookmarkStart w:id="53" w:name="_Toc2158_WPSOffice_Level2"/>
      <w:bookmarkStart w:id="54" w:name="_Toc13516_WPSOffice_Level2"/>
      <w:r>
        <w:rPr>
          <w:rFonts w:hint="eastAsia" w:ascii="黑体" w:hAnsi="黑体" w:eastAsia="黑体" w:cs="黑体"/>
          <w:sz w:val="32"/>
          <w:szCs w:val="32"/>
        </w:rPr>
        <w:t>五、一般公共预算财政拨款收入支出决算</w:t>
      </w:r>
      <w:bookmarkEnd w:id="49"/>
      <w:bookmarkEnd w:id="50"/>
      <w:bookmarkEnd w:id="51"/>
      <w:bookmarkEnd w:id="52"/>
      <w:r>
        <w:rPr>
          <w:rFonts w:hint="eastAsia" w:ascii="黑体" w:hAnsi="黑体" w:eastAsia="黑体" w:cs="黑体"/>
          <w:sz w:val="32"/>
          <w:szCs w:val="32"/>
        </w:rPr>
        <w:t>公开表</w:t>
      </w:r>
      <w:bookmarkEnd w:id="53"/>
      <w:bookmarkEnd w:id="54"/>
      <w:bookmarkStart w:id="55" w:name="_Toc17283_WPSOffice_Level2"/>
      <w:bookmarkStart w:id="56" w:name="_Toc5343_WPSOffice_Level2"/>
      <w:bookmarkStart w:id="57" w:name="_Toc2632_WPSOffice_Level2"/>
      <w:bookmarkStart w:id="58" w:name="_Toc17833_WPSOffice_Level2"/>
      <w:bookmarkStart w:id="59" w:name="_Toc25362_WPSOffice_Level2"/>
      <w:bookmarkStart w:id="60" w:name="_Toc8373_WPSOffice_Level2"/>
    </w:p>
    <w:p w14:paraId="163493D2">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5"/>
      <w:bookmarkEnd w:id="56"/>
      <w:bookmarkEnd w:id="57"/>
      <w:bookmarkEnd w:id="58"/>
      <w:bookmarkEnd w:id="59"/>
      <w:bookmarkEnd w:id="60"/>
      <w:r>
        <w:rPr>
          <w:rFonts w:hint="eastAsia" w:ascii="黑体" w:hAnsi="黑体" w:eastAsia="黑体" w:cs="黑体"/>
          <w:sz w:val="32"/>
          <w:szCs w:val="32"/>
        </w:rPr>
        <w:t>公开表</w:t>
      </w:r>
    </w:p>
    <w:p w14:paraId="11250B0D">
      <w:pPr>
        <w:spacing w:line="578" w:lineRule="exact"/>
        <w:ind w:left="1118" w:leftChars="304" w:hanging="480" w:hangingChars="150"/>
        <w:rPr>
          <w:rFonts w:hint="eastAsia" w:ascii="黑体" w:hAnsi="黑体" w:eastAsia="黑体" w:cs="黑体"/>
          <w:sz w:val="32"/>
          <w:szCs w:val="32"/>
        </w:rPr>
      </w:pPr>
      <w:bookmarkStart w:id="61" w:name="_Toc1533_WPSOffice_Level2"/>
      <w:bookmarkStart w:id="62" w:name="_Toc21310_WPSOffice_Level2"/>
      <w:bookmarkStart w:id="63" w:name="_Toc6020_WPSOffice_Level2"/>
      <w:bookmarkStart w:id="64" w:name="_Toc11799_WPSOffice_Level2"/>
      <w:bookmarkStart w:id="65" w:name="_Toc5594_WPSOffice_Level2"/>
      <w:bookmarkStart w:id="66" w:name="_Toc13345_WPSOffice_Level2"/>
      <w:r>
        <w:rPr>
          <w:rFonts w:hint="eastAsia" w:ascii="黑体" w:hAnsi="黑体" w:eastAsia="黑体" w:cs="黑体"/>
          <w:sz w:val="32"/>
          <w:szCs w:val="32"/>
        </w:rPr>
        <w:t>七、政府性基金预算财政拨款收入支出决算</w:t>
      </w:r>
      <w:bookmarkEnd w:id="61"/>
      <w:bookmarkEnd w:id="62"/>
      <w:bookmarkEnd w:id="63"/>
      <w:bookmarkEnd w:id="64"/>
      <w:bookmarkEnd w:id="65"/>
      <w:bookmarkEnd w:id="66"/>
      <w:r>
        <w:rPr>
          <w:rFonts w:hint="eastAsia" w:ascii="黑体" w:hAnsi="黑体" w:eastAsia="黑体" w:cs="黑体"/>
          <w:sz w:val="32"/>
          <w:szCs w:val="32"/>
        </w:rPr>
        <w:t>公开表</w:t>
      </w:r>
    </w:p>
    <w:p w14:paraId="33B6C1DC">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14:paraId="6225979D">
      <w:pPr>
        <w:spacing w:line="578" w:lineRule="exact"/>
        <w:ind w:firstLine="640"/>
        <w:rPr>
          <w:rFonts w:hint="eastAsia" w:ascii="黑体" w:hAnsi="黑体" w:eastAsia="黑体" w:cs="黑体"/>
          <w:sz w:val="32"/>
          <w:szCs w:val="32"/>
        </w:rPr>
      </w:pPr>
      <w:bookmarkStart w:id="67" w:name="_Toc1820_WPSOffice_Level2"/>
      <w:bookmarkStart w:id="68" w:name="_Toc19961_WPSOffice_Level2"/>
      <w:bookmarkStart w:id="69" w:name="_Toc29886_WPSOffice_Level2"/>
      <w:bookmarkStart w:id="70" w:name="_Toc9377_WPSOffice_Level2"/>
      <w:r>
        <w:rPr>
          <w:rFonts w:hint="eastAsia" w:ascii="黑体" w:hAnsi="黑体" w:eastAsia="黑体" w:cs="黑体"/>
          <w:sz w:val="32"/>
          <w:szCs w:val="32"/>
        </w:rPr>
        <w:t>九、财政拨款“三公”经费支出决算</w:t>
      </w:r>
      <w:bookmarkEnd w:id="67"/>
      <w:bookmarkEnd w:id="68"/>
      <w:bookmarkEnd w:id="69"/>
      <w:bookmarkEnd w:id="70"/>
      <w:r>
        <w:rPr>
          <w:rFonts w:hint="eastAsia" w:ascii="黑体" w:hAnsi="黑体" w:eastAsia="黑体" w:cs="黑体"/>
          <w:sz w:val="32"/>
          <w:szCs w:val="32"/>
        </w:rPr>
        <w:t>公开表</w:t>
      </w:r>
    </w:p>
    <w:p w14:paraId="752E8721">
      <w:pPr>
        <w:spacing w:line="578" w:lineRule="exact"/>
        <w:ind w:firstLine="640"/>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14:paraId="5B482E07">
      <w:pPr>
        <w:spacing w:line="578" w:lineRule="exact"/>
        <w:rPr>
          <w:rFonts w:hint="eastAsia" w:ascii="黑体" w:hAnsi="黑体" w:eastAsia="黑体" w:cs="黑体"/>
          <w:sz w:val="32"/>
          <w:szCs w:val="32"/>
        </w:rPr>
      </w:pPr>
    </w:p>
    <w:p w14:paraId="31BF6332">
      <w:pPr>
        <w:spacing w:line="578" w:lineRule="exact"/>
        <w:jc w:val="center"/>
        <w:rPr>
          <w:rFonts w:hint="eastAsia" w:ascii="黑体" w:hAnsi="ˎ̥" w:eastAsia="黑体"/>
          <w:sz w:val="32"/>
          <w:szCs w:val="32"/>
        </w:rPr>
      </w:pPr>
      <w:bookmarkStart w:id="71" w:name="_Toc27590_WPSOffice_Level1"/>
      <w:bookmarkStart w:id="72" w:name="_Toc4402_WPSOffice_Level1"/>
      <w:bookmarkStart w:id="73" w:name="_Toc29683_WPSOffice_Level1"/>
      <w:bookmarkStart w:id="74" w:name="_Toc16686_WPSOffice_Level1"/>
      <w:bookmarkStart w:id="75" w:name="_Toc28629_WPSOffice_Level1"/>
      <w:bookmarkStart w:id="76" w:name="_Toc31264_WPSOffice_Level1"/>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年度部门决算情况说明</w:t>
      </w:r>
      <w:bookmarkEnd w:id="71"/>
      <w:bookmarkEnd w:id="72"/>
      <w:bookmarkEnd w:id="73"/>
      <w:bookmarkEnd w:id="74"/>
      <w:bookmarkEnd w:id="75"/>
      <w:bookmarkEnd w:id="76"/>
    </w:p>
    <w:p w14:paraId="0108672B">
      <w:pPr>
        <w:spacing w:line="578" w:lineRule="exact"/>
        <w:jc w:val="center"/>
        <w:rPr>
          <w:rFonts w:hint="eastAsia" w:ascii="黑体" w:hAnsi="ˎ̥" w:eastAsia="黑体"/>
          <w:sz w:val="32"/>
          <w:szCs w:val="32"/>
        </w:rPr>
      </w:pPr>
    </w:p>
    <w:p w14:paraId="05B8AFD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sz w:val="32"/>
          <w:szCs w:val="32"/>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年度收入</w:t>
      </w:r>
      <w:r>
        <w:rPr>
          <w:rFonts w:hint="eastAsia" w:ascii="仿宋_GB2312" w:hAnsi="ˎ̥" w:eastAsia="仿宋_GB2312"/>
          <w:color w:val="auto"/>
          <w:sz w:val="32"/>
          <w:szCs w:val="32"/>
        </w:rPr>
        <w:t>总计</w:t>
      </w:r>
      <w:r>
        <w:rPr>
          <w:rFonts w:hint="default" w:ascii="仿宋_GB2312" w:hAnsi="ˎ̥" w:eastAsia="仿宋_GB2312"/>
          <w:color w:val="auto"/>
          <w:sz w:val="32"/>
          <w:szCs w:val="32"/>
          <w:lang w:val="en-US"/>
        </w:rPr>
        <w:t>339.59</w:t>
      </w:r>
      <w:r>
        <w:rPr>
          <w:rFonts w:hint="eastAsia" w:ascii="仿宋_GB2312" w:hAnsi="ˎ̥" w:eastAsia="仿宋_GB2312"/>
          <w:color w:val="auto"/>
          <w:sz w:val="32"/>
          <w:szCs w:val="32"/>
        </w:rPr>
        <w:t>万元，支出总计</w:t>
      </w:r>
      <w:r>
        <w:rPr>
          <w:rFonts w:hint="default" w:ascii="仿宋_GB2312" w:hAnsi="ˎ̥" w:eastAsia="仿宋_GB2312"/>
          <w:color w:val="auto"/>
          <w:sz w:val="32"/>
          <w:szCs w:val="32"/>
          <w:lang w:val="en-US"/>
        </w:rPr>
        <w:t>339.59</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年度相比，收入、支出总计各增加</w:t>
      </w:r>
      <w:r>
        <w:rPr>
          <w:rFonts w:hint="eastAsia" w:ascii="仿宋_GB2312" w:hAnsi="ˎ̥" w:eastAsia="仿宋_GB2312"/>
          <w:sz w:val="32"/>
          <w:szCs w:val="32"/>
          <w:lang w:val="en-US" w:eastAsia="zh-CN"/>
        </w:rPr>
        <w:t>288.61</w:t>
      </w:r>
      <w:r>
        <w:rPr>
          <w:rFonts w:hint="eastAsia" w:ascii="仿宋_GB2312" w:hAnsi="ˎ̥" w:eastAsia="仿宋_GB2312"/>
          <w:sz w:val="32"/>
          <w:szCs w:val="32"/>
        </w:rPr>
        <w:t>万元，增长</w:t>
      </w:r>
      <w:r>
        <w:rPr>
          <w:rFonts w:hint="eastAsia" w:ascii="仿宋_GB2312" w:hAnsi="ˎ̥" w:eastAsia="仿宋_GB2312"/>
          <w:sz w:val="32"/>
          <w:szCs w:val="32"/>
          <w:lang w:val="en-US" w:eastAsia="zh-CN"/>
        </w:rPr>
        <w:t>85</w:t>
      </w:r>
      <w:r>
        <w:rPr>
          <w:rFonts w:hint="eastAsia" w:ascii="仿宋_GB2312" w:hAnsi="ˎ̥" w:eastAsia="仿宋_GB2312"/>
          <w:sz w:val="32"/>
          <w:szCs w:val="32"/>
        </w:rPr>
        <w:t>%。主要原因：</w:t>
      </w:r>
      <w:r>
        <w:rPr>
          <w:rFonts w:hint="eastAsia" w:ascii="仿宋_GB2312" w:hAnsi="ˎ̥" w:eastAsia="仿宋_GB2312"/>
          <w:sz w:val="32"/>
          <w:szCs w:val="32"/>
          <w:lang w:val="en-US" w:eastAsia="zh-CN"/>
        </w:rPr>
        <w:t>增加人员经费、公用经费和项目支出等工作经费</w:t>
      </w: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14:paraId="596A4F3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本年</w:t>
      </w:r>
      <w:r>
        <w:rPr>
          <w:rFonts w:ascii="仿宋_GB2312" w:hAnsi="ˎ̥" w:eastAsia="仿宋_GB2312"/>
          <w:color w:val="auto"/>
          <w:sz w:val="32"/>
          <w:szCs w:val="32"/>
        </w:rPr>
        <w:t>收入</w:t>
      </w:r>
      <w:r>
        <w:rPr>
          <w:rFonts w:hint="default" w:ascii="仿宋_GB2312" w:hAnsi="ˎ̥" w:eastAsia="仿宋_GB2312"/>
          <w:color w:val="auto"/>
          <w:sz w:val="32"/>
          <w:szCs w:val="32"/>
          <w:lang w:val="en-US"/>
        </w:rPr>
        <w:t>339.59</w:t>
      </w:r>
      <w:r>
        <w:rPr>
          <w:rFonts w:hint="eastAsia" w:ascii="仿宋_GB2312" w:hAnsi="ˎ̥" w:eastAsia="仿宋_GB2312"/>
          <w:color w:val="auto"/>
          <w:sz w:val="32"/>
          <w:szCs w:val="32"/>
        </w:rPr>
        <w:t>万元。</w:t>
      </w:r>
    </w:p>
    <w:p w14:paraId="3AB6C10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使用非财政拨款结余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万元，主要原因是</w:t>
      </w:r>
      <w:r>
        <w:rPr>
          <w:rFonts w:hint="eastAsia" w:ascii="仿宋_GB2312" w:hAnsi="ˎ̥" w:eastAsia="仿宋_GB2312"/>
          <w:color w:val="auto"/>
          <w:sz w:val="32"/>
          <w:szCs w:val="32"/>
          <w:lang w:val="en-US" w:eastAsia="zh-CN"/>
        </w:rPr>
        <w:t>2023年年初预算数为0.00万元</w:t>
      </w:r>
      <w:r>
        <w:rPr>
          <w:rFonts w:hint="eastAsia" w:ascii="仿宋_GB2312" w:hAnsi="ˎ̥" w:eastAsia="仿宋_GB2312"/>
          <w:color w:val="auto"/>
          <w:sz w:val="32"/>
          <w:szCs w:val="32"/>
        </w:rPr>
        <w:t>。</w:t>
      </w:r>
    </w:p>
    <w:p w14:paraId="7A8678C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val="en-US" w:eastAsia="zh-CN"/>
        </w:rPr>
      </w:pPr>
      <w:r>
        <w:rPr>
          <w:rFonts w:hint="eastAsia" w:ascii="仿宋_GB2312" w:hAnsi="ˎ̥" w:eastAsia="仿宋_GB2312"/>
          <w:color w:val="auto"/>
          <w:sz w:val="32"/>
          <w:szCs w:val="32"/>
        </w:rPr>
        <w:t>年初结转结余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万元，主要是</w:t>
      </w:r>
      <w:r>
        <w:rPr>
          <w:rFonts w:hint="eastAsia" w:ascii="仿宋_GB2312" w:hAnsi="ˎ̥" w:eastAsia="仿宋_GB2312"/>
          <w:color w:val="auto"/>
          <w:sz w:val="32"/>
          <w:szCs w:val="32"/>
          <w:lang w:val="en-US" w:eastAsia="zh-CN"/>
        </w:rPr>
        <w:t>2023年年初预算数为0.00万元</w:t>
      </w:r>
      <w:r>
        <w:rPr>
          <w:rFonts w:hint="eastAsia" w:ascii="仿宋_GB2312" w:hAnsi="ˎ̥" w:eastAsia="仿宋_GB2312"/>
          <w:color w:val="auto"/>
          <w:sz w:val="32"/>
          <w:szCs w:val="32"/>
        </w:rPr>
        <w:t>，较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%，主要原因是是</w:t>
      </w:r>
      <w:r>
        <w:rPr>
          <w:rFonts w:hint="eastAsia" w:ascii="仿宋_GB2312" w:hAnsi="ˎ̥" w:eastAsia="仿宋_GB2312"/>
          <w:color w:val="auto"/>
          <w:sz w:val="32"/>
          <w:szCs w:val="32"/>
          <w:lang w:val="en-US" w:eastAsia="zh-CN"/>
        </w:rPr>
        <w:t>2023年年初预算数为0.00万元</w:t>
      </w:r>
    </w:p>
    <w:p w14:paraId="74FADFF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14:paraId="788E8B0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339.59</w:t>
      </w:r>
      <w:r>
        <w:rPr>
          <w:rFonts w:hint="eastAsia" w:ascii="仿宋_GB2312" w:hAnsi="ˎ̥" w:eastAsia="仿宋_GB2312"/>
          <w:color w:val="auto"/>
          <w:sz w:val="32"/>
          <w:szCs w:val="32"/>
        </w:rPr>
        <w:t>万元。</w:t>
      </w:r>
    </w:p>
    <w:p w14:paraId="3826849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结余分配</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万元，主要是</w:t>
      </w:r>
      <w:r>
        <w:rPr>
          <w:rFonts w:hint="eastAsia" w:ascii="仿宋_GB2312" w:hAnsi="ˎ̥" w:eastAsia="仿宋_GB2312"/>
          <w:color w:val="auto"/>
          <w:sz w:val="32"/>
          <w:szCs w:val="32"/>
          <w:lang w:val="en-US" w:eastAsia="zh-CN"/>
        </w:rPr>
        <w:t>人员支出、教育支出。社会保障和就业支出、卫生健康支出、住房保障支出。</w:t>
      </w:r>
      <w:r>
        <w:rPr>
          <w:rFonts w:hint="eastAsia" w:ascii="仿宋_GB2312" w:hAnsi="ˎ̥" w:eastAsia="仿宋_GB2312"/>
          <w:color w:val="auto"/>
          <w:sz w:val="32"/>
          <w:szCs w:val="32"/>
        </w:rPr>
        <w:t>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w:t>
      </w:r>
      <w:r>
        <w:rPr>
          <w:rFonts w:hint="eastAsia" w:ascii="仿宋_GB2312" w:hAnsi="ˎ̥" w:eastAsia="仿宋_GB2312"/>
          <w:color w:val="auto"/>
          <w:sz w:val="32"/>
          <w:szCs w:val="32"/>
          <w:lang w:val="en-US" w:eastAsia="zh-CN"/>
        </w:rPr>
        <w:t>288.61</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85</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增加人员经费、公用经费和项目支出</w:t>
      </w:r>
    </w:p>
    <w:p w14:paraId="576CAC2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color w:val="auto"/>
          <w:sz w:val="32"/>
          <w:szCs w:val="32"/>
        </w:rPr>
        <w:t>年末结转结余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万元，主要是</w:t>
      </w:r>
      <w:r>
        <w:rPr>
          <w:rFonts w:hint="eastAsia" w:ascii="仿宋_GB2312" w:hAnsi="ˎ̥" w:eastAsia="仿宋_GB2312"/>
          <w:color w:val="auto"/>
          <w:sz w:val="32"/>
          <w:szCs w:val="32"/>
          <w:lang w:val="en-US" w:eastAsia="zh-CN"/>
        </w:rPr>
        <w:t>人员支出、教育支出。社会保障和就业支出、卫生健康支出、住房保障支出。</w:t>
      </w:r>
      <w:r>
        <w:rPr>
          <w:rFonts w:hint="eastAsia" w:ascii="仿宋_GB2312" w:hAnsi="ˎ̥" w:eastAsia="仿宋_GB2312"/>
          <w:color w:val="auto"/>
          <w:sz w:val="32"/>
          <w:szCs w:val="32"/>
        </w:rPr>
        <w:t>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w:t>
      </w:r>
      <w:r>
        <w:rPr>
          <w:rFonts w:hint="eastAsia" w:ascii="仿宋_GB2312" w:hAnsi="ˎ̥" w:eastAsia="仿宋_GB2312"/>
          <w:color w:val="auto"/>
          <w:sz w:val="32"/>
          <w:szCs w:val="32"/>
          <w:lang w:val="en-US" w:eastAsia="zh-CN"/>
        </w:rPr>
        <w:t>288.61</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85</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增加人员经</w:t>
      </w:r>
      <w:r>
        <w:rPr>
          <w:rFonts w:hint="eastAsia" w:ascii="仿宋_GB2312" w:hAnsi="ˎ̥" w:eastAsia="仿宋_GB2312"/>
          <w:sz w:val="32"/>
          <w:szCs w:val="32"/>
          <w:lang w:val="en-US" w:eastAsia="zh-CN"/>
        </w:rPr>
        <w:t>费、公用经费和项目支出</w:t>
      </w:r>
    </w:p>
    <w:p w14:paraId="5ABFB0DE">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年度相关决算数据可取自附件财决公开01、02</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03</w:t>
      </w:r>
      <w:r>
        <w:rPr>
          <w:rFonts w:hint="eastAsia" w:ascii="仿宋_GB2312" w:hAnsi="ˎ̥" w:eastAsia="仿宋_GB2312"/>
          <w:sz w:val="32"/>
          <w:szCs w:val="32"/>
        </w:rPr>
        <w:t>表；</w:t>
      </w:r>
      <w:r>
        <w:rPr>
          <w:rFonts w:hint="default" w:ascii="仿宋_GB2312" w:hAnsi="ˎ̥" w:eastAsia="仿宋_GB2312"/>
          <w:sz w:val="32"/>
          <w:szCs w:val="32"/>
          <w:lang w:val="en-US"/>
        </w:rPr>
        <w:t>2023</w:t>
      </w:r>
      <w:r>
        <w:rPr>
          <w:rFonts w:hint="eastAsia" w:ascii="仿宋_GB2312" w:hAnsi="ˎ̥" w:eastAsia="仿宋_GB2312"/>
          <w:sz w:val="32"/>
          <w:szCs w:val="32"/>
        </w:rPr>
        <w:t>年度相关决算数据可取自</w:t>
      </w:r>
      <w:r>
        <w:rPr>
          <w:rFonts w:hint="default" w:ascii="仿宋_GB2312" w:hAnsi="ˎ̥" w:eastAsia="仿宋_GB2312"/>
          <w:sz w:val="32"/>
          <w:szCs w:val="32"/>
          <w:lang w:val="en-US"/>
        </w:rPr>
        <w:t>2023</w:t>
      </w:r>
      <w:r>
        <w:rPr>
          <w:rFonts w:hint="eastAsia" w:ascii="仿宋_GB2312" w:hAnsi="ˎ̥" w:eastAsia="仿宋_GB2312"/>
          <w:sz w:val="32"/>
          <w:szCs w:val="32"/>
        </w:rPr>
        <w:t>年度部门决算报表财决01表《收入支出决算总表》</w:t>
      </w:r>
      <w:r>
        <w:rPr>
          <w:rFonts w:hint="eastAsia" w:ascii="仿宋_GB2312" w:hAnsi="ˎ̥" w:eastAsia="仿宋_GB2312"/>
          <w:sz w:val="32"/>
          <w:szCs w:val="32"/>
          <w:lang w:eastAsia="zh-CN"/>
        </w:rPr>
        <w:t>。</w:t>
      </w:r>
      <w:r>
        <w:rPr>
          <w:rFonts w:hint="eastAsia" w:ascii="仿宋_GB2312" w:hAnsi="ˎ̥" w:eastAsia="仿宋_GB2312"/>
          <w:sz w:val="32"/>
          <w:szCs w:val="32"/>
        </w:rPr>
        <w:t>）</w:t>
      </w:r>
    </w:p>
    <w:p w14:paraId="0F317C3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w:t>
      </w:r>
      <w:r>
        <w:rPr>
          <w:rFonts w:hint="eastAsia" w:ascii="仿宋_GB2312" w:hAnsi="ˎ̥" w:eastAsia="仿宋_GB2312"/>
          <w:color w:val="auto"/>
          <w:sz w:val="32"/>
          <w:szCs w:val="32"/>
        </w:rPr>
        <w:t xml:space="preserve"> 本年收入</w:t>
      </w:r>
      <w:r>
        <w:rPr>
          <w:rFonts w:hint="default" w:ascii="仿宋_GB2312" w:hAnsi="ˎ̥" w:eastAsia="仿宋_GB2312"/>
          <w:color w:val="auto"/>
          <w:sz w:val="32"/>
          <w:szCs w:val="32"/>
          <w:lang w:val="en-US"/>
        </w:rPr>
        <w:t>339.59</w:t>
      </w:r>
      <w:r>
        <w:rPr>
          <w:rFonts w:hint="eastAsia" w:ascii="仿宋_GB2312" w:hAnsi="ˎ̥" w:eastAsia="仿宋_GB2312"/>
          <w:color w:val="auto"/>
          <w:sz w:val="32"/>
          <w:szCs w:val="32"/>
        </w:rPr>
        <w:t>万元，其中：财政拨款收入</w:t>
      </w:r>
      <w:r>
        <w:rPr>
          <w:rFonts w:hint="default" w:ascii="仿宋_GB2312" w:hAnsi="ˎ̥" w:eastAsia="仿宋_GB2312"/>
          <w:color w:val="auto"/>
          <w:sz w:val="32"/>
          <w:szCs w:val="32"/>
          <w:lang w:val="en-US"/>
        </w:rPr>
        <w:t>339.59</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%；上级补助收入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%；事业收入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%；经营收入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%；附属单位上缴收入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%；其他收入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14:paraId="3B02073F">
      <w:pPr>
        <w:keepNext w:val="0"/>
        <w:keepLines w:val="0"/>
        <w:pageBreakBefore w:val="0"/>
        <w:widowControl w:val="0"/>
        <w:kinsoku/>
        <w:wordWrap/>
        <w:overflowPunct/>
        <w:topLinePunct w:val="0"/>
        <w:autoSpaceDE/>
        <w:autoSpaceDN/>
        <w:bidi w:val="0"/>
        <w:adjustRightInd/>
        <w:snapToGrid/>
        <w:spacing w:line="578" w:lineRule="exact"/>
        <w:ind w:left="412" w:leftChars="196"/>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 xml:space="preserve">  （注</w:t>
      </w:r>
      <w:r>
        <w:rPr>
          <w:rFonts w:ascii="仿宋_GB2312" w:hAnsi="ˎ̥" w:eastAsia="仿宋_GB2312"/>
          <w:color w:val="auto"/>
          <w:sz w:val="32"/>
          <w:szCs w:val="32"/>
        </w:rPr>
        <w:t>：</w:t>
      </w:r>
      <w:r>
        <w:rPr>
          <w:rFonts w:hint="eastAsia" w:ascii="仿宋_GB2312" w:hAnsi="ˎ̥" w:eastAsia="仿宋_GB2312"/>
          <w:color w:val="auto"/>
          <w:sz w:val="32"/>
          <w:szCs w:val="32"/>
        </w:rPr>
        <w:t>上述各项收入数可取自财决公开02表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14:paraId="5FF693E6">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三、支出决算情况说明</w:t>
      </w:r>
    </w:p>
    <w:p w14:paraId="294101D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339.59</w:t>
      </w:r>
      <w:r>
        <w:rPr>
          <w:rFonts w:hint="eastAsia" w:ascii="仿宋_GB2312" w:hAnsi="ˎ̥" w:eastAsia="仿宋_GB2312"/>
          <w:color w:val="auto"/>
          <w:sz w:val="32"/>
          <w:szCs w:val="32"/>
        </w:rPr>
        <w:t>万元，其中：基本支出</w:t>
      </w:r>
      <w:r>
        <w:rPr>
          <w:rFonts w:hint="default" w:ascii="仿宋_GB2312" w:hAnsi="ˎ̥" w:eastAsia="仿宋_GB2312"/>
          <w:color w:val="auto"/>
          <w:sz w:val="32"/>
          <w:szCs w:val="32"/>
          <w:lang w:val="en-US"/>
        </w:rPr>
        <w:t>35.21</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10</w:t>
      </w:r>
      <w:r>
        <w:rPr>
          <w:rFonts w:hint="eastAsia" w:ascii="仿宋_GB2312" w:hAnsi="ˎ̥" w:eastAsia="仿宋_GB2312"/>
          <w:color w:val="auto"/>
          <w:sz w:val="32"/>
          <w:szCs w:val="32"/>
        </w:rPr>
        <w:t>%；项目支出</w:t>
      </w:r>
      <w:r>
        <w:rPr>
          <w:rFonts w:hint="default" w:ascii="仿宋_GB2312" w:hAnsi="ˎ̥" w:eastAsia="仿宋_GB2312"/>
          <w:color w:val="auto"/>
          <w:sz w:val="32"/>
          <w:szCs w:val="32"/>
          <w:lang w:val="en-US"/>
        </w:rPr>
        <w:t>304.38</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90</w:t>
      </w:r>
      <w:r>
        <w:rPr>
          <w:rFonts w:hint="eastAsia" w:ascii="仿宋_GB2312" w:hAnsi="ˎ̥" w:eastAsia="仿宋_GB2312"/>
          <w:color w:val="auto"/>
          <w:sz w:val="32"/>
          <w:szCs w:val="32"/>
        </w:rPr>
        <w:t>%；上缴上级支出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%；经营支出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%；对附属单位补助支出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14:paraId="38872C8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上述各项支出数可取自财决公开03表</w:t>
      </w:r>
      <w:r>
        <w:rPr>
          <w:rFonts w:hint="eastAsia" w:ascii="仿宋_GB2312" w:hAnsi="ˎ̥" w:eastAsia="仿宋_GB2312"/>
          <w:sz w:val="32"/>
          <w:szCs w:val="32"/>
          <w:lang w:eastAsia="zh-CN"/>
        </w:rPr>
        <w:t>。</w:t>
      </w:r>
      <w:r>
        <w:rPr>
          <w:rFonts w:hint="eastAsia" w:ascii="仿宋_GB2312" w:hAnsi="ˎ̥" w:eastAsia="仿宋_GB2312"/>
          <w:sz w:val="32"/>
          <w:szCs w:val="32"/>
        </w:rPr>
        <w:t>）</w:t>
      </w:r>
    </w:p>
    <w:p w14:paraId="6EA146FC">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四、财政拨款收入支出决算总体情况说明</w:t>
      </w:r>
    </w:p>
    <w:p w14:paraId="3CD7D43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olor w:val="auto"/>
          <w:sz w:val="32"/>
          <w:szCs w:val="32"/>
          <w:lang w:val="en-US"/>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年度财政拨款收入</w:t>
      </w:r>
      <w:r>
        <w:rPr>
          <w:rFonts w:hint="default" w:ascii="仿宋_GB2312" w:hAnsi="ˎ̥" w:eastAsia="仿宋_GB2312"/>
          <w:color w:val="auto"/>
          <w:sz w:val="32"/>
          <w:szCs w:val="32"/>
          <w:lang w:val="en-US"/>
        </w:rPr>
        <w:t>339.59</w:t>
      </w:r>
      <w:r>
        <w:rPr>
          <w:rFonts w:hint="eastAsia" w:ascii="仿宋_GB2312" w:hAnsi="ˎ̥" w:eastAsia="仿宋_GB2312"/>
          <w:color w:val="auto"/>
          <w:sz w:val="32"/>
          <w:szCs w:val="32"/>
        </w:rPr>
        <w:t>万元，支出</w:t>
      </w:r>
      <w:r>
        <w:rPr>
          <w:rFonts w:hint="default" w:ascii="仿宋_GB2312" w:hAnsi="ˎ̥" w:eastAsia="仿宋_GB2312"/>
          <w:color w:val="auto"/>
          <w:sz w:val="32"/>
          <w:szCs w:val="32"/>
          <w:lang w:val="en-US"/>
        </w:rPr>
        <w:t>339.59</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年度相比，财政拨款收入增加</w:t>
      </w:r>
      <w:r>
        <w:rPr>
          <w:rFonts w:hint="eastAsia" w:ascii="仿宋_GB2312" w:hAnsi="ˎ̥" w:eastAsia="仿宋_GB2312"/>
          <w:color w:val="auto"/>
          <w:sz w:val="32"/>
          <w:szCs w:val="32"/>
          <w:lang w:val="en-US" w:eastAsia="zh-CN"/>
        </w:rPr>
        <w:t>288.61万</w:t>
      </w:r>
      <w:bookmarkStart w:id="119" w:name="_GoBack"/>
      <w:bookmarkEnd w:id="119"/>
      <w:r>
        <w:rPr>
          <w:rFonts w:hint="eastAsia" w:ascii="仿宋_GB2312" w:hAnsi="ˎ̥" w:eastAsia="仿宋_GB2312"/>
          <w:color w:val="auto"/>
          <w:sz w:val="32"/>
          <w:szCs w:val="32"/>
        </w:rPr>
        <w:t>元，增长</w:t>
      </w:r>
      <w:r>
        <w:rPr>
          <w:rFonts w:hint="eastAsia" w:ascii="仿宋_GB2312" w:hAnsi="ˎ̥" w:eastAsia="仿宋_GB2312"/>
          <w:color w:val="auto"/>
          <w:sz w:val="32"/>
          <w:szCs w:val="32"/>
          <w:lang w:val="en-US" w:eastAsia="zh-CN"/>
        </w:rPr>
        <w:t>85</w:t>
      </w:r>
      <w:r>
        <w:rPr>
          <w:rFonts w:hint="eastAsia" w:ascii="仿宋_GB2312" w:hAnsi="ˎ̥" w:eastAsia="仿宋_GB2312"/>
          <w:color w:val="auto"/>
          <w:sz w:val="32"/>
          <w:szCs w:val="32"/>
        </w:rPr>
        <w:t>%，，主要原因：</w:t>
      </w:r>
      <w:r>
        <w:rPr>
          <w:rFonts w:hint="eastAsia" w:ascii="仿宋_GB2312" w:hAnsi="ˎ̥" w:eastAsia="仿宋_GB2312"/>
          <w:color w:val="auto"/>
          <w:sz w:val="32"/>
          <w:szCs w:val="32"/>
          <w:lang w:val="en-US" w:eastAsia="zh-CN"/>
        </w:rPr>
        <w:t>增加人员经费、公用经费和项目支出等支出</w:t>
      </w:r>
    </w:p>
    <w:p w14:paraId="2F2814C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olor w:val="auto"/>
          <w:sz w:val="32"/>
          <w:szCs w:val="32"/>
          <w:lang w:val="en-US" w:eastAsia="zh-CN"/>
        </w:rPr>
      </w:pPr>
      <w:r>
        <w:rPr>
          <w:rFonts w:hint="eastAsia" w:ascii="仿宋_GB2312" w:hAnsi="ˎ̥" w:eastAsia="仿宋_GB2312"/>
          <w:color w:val="auto"/>
          <w:sz w:val="32"/>
          <w:szCs w:val="32"/>
        </w:rPr>
        <w:t>财政拨款年初结转结余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2023年年初预算书为0万元</w:t>
      </w:r>
    </w:p>
    <w:p w14:paraId="5E6F4E0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olor w:val="auto"/>
          <w:sz w:val="32"/>
          <w:szCs w:val="32"/>
          <w:lang w:val="en-US" w:eastAsia="zh-CN"/>
        </w:rPr>
      </w:pPr>
      <w:r>
        <w:rPr>
          <w:rFonts w:hint="eastAsia" w:ascii="仿宋_GB2312" w:hAnsi="ˎ̥" w:eastAsia="仿宋_GB2312"/>
          <w:color w:val="auto"/>
          <w:sz w:val="32"/>
          <w:szCs w:val="32"/>
        </w:rPr>
        <w:t>财政拨款年末结转结余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2023年年初预算书为0万元</w:t>
      </w:r>
    </w:p>
    <w:p w14:paraId="7E87278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p>
    <w:p w14:paraId="49F4BEF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年度决算相关数据可取自财决公开04表。</w:t>
      </w:r>
      <w:r>
        <w:rPr>
          <w:rFonts w:hint="default" w:ascii="仿宋_GB2312" w:hAnsi="ˎ̥" w:eastAsia="仿宋_GB2312"/>
          <w:sz w:val="32"/>
          <w:szCs w:val="32"/>
          <w:lang w:val="en-US"/>
        </w:rPr>
        <w:t>2023</w:t>
      </w:r>
      <w:r>
        <w:rPr>
          <w:rFonts w:hint="eastAsia" w:ascii="仿宋_GB2312" w:hAnsi="ˎ̥" w:eastAsia="仿宋_GB2312"/>
          <w:sz w:val="32"/>
          <w:szCs w:val="32"/>
        </w:rPr>
        <w:t>年度决算相关数据可取自</w:t>
      </w:r>
      <w:r>
        <w:rPr>
          <w:rFonts w:hint="default" w:ascii="仿宋_GB2312" w:hAnsi="ˎ̥" w:eastAsia="仿宋_GB2312"/>
          <w:sz w:val="32"/>
          <w:szCs w:val="32"/>
          <w:lang w:val="en-US"/>
        </w:rPr>
        <w:t>2023</w:t>
      </w:r>
      <w:r>
        <w:rPr>
          <w:rFonts w:hint="eastAsia" w:ascii="仿宋_GB2312" w:hAnsi="ˎ̥" w:eastAsia="仿宋_GB2312"/>
          <w:sz w:val="32"/>
          <w:szCs w:val="32"/>
        </w:rPr>
        <w:t>年度部门决算报表财决01-1表《财政拨款收入支出决算总表》</w:t>
      </w:r>
      <w:r>
        <w:rPr>
          <w:rFonts w:hint="eastAsia" w:ascii="仿宋_GB2312" w:hAnsi="ˎ̥" w:eastAsia="仿宋_GB2312"/>
          <w:sz w:val="32"/>
          <w:szCs w:val="32"/>
          <w:lang w:eastAsia="zh-CN"/>
        </w:rPr>
        <w:t>。</w:t>
      </w:r>
      <w:r>
        <w:rPr>
          <w:rFonts w:hint="eastAsia" w:ascii="仿宋_GB2312" w:hAnsi="ˎ̥" w:eastAsia="仿宋_GB2312"/>
          <w:sz w:val="32"/>
          <w:szCs w:val="32"/>
        </w:rPr>
        <w:t>）</w:t>
      </w:r>
    </w:p>
    <w:p w14:paraId="7BE8C2ED">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14:paraId="5561639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77" w:name="_Toc23005_WPSOffice_Level2"/>
      <w:bookmarkStart w:id="78" w:name="_Toc19665_WPSOffice_Level2"/>
      <w:bookmarkStart w:id="79" w:name="_Toc21737_WPSOffice_Level2"/>
      <w:bookmarkStart w:id="80" w:name="_Toc17398_WPSOffice_Level2"/>
      <w:bookmarkStart w:id="81" w:name="_Toc9989_WPSOffice_Level2"/>
      <w:bookmarkStart w:id="82" w:name="_Toc13694_WPSOffice_Level2"/>
      <w:r>
        <w:rPr>
          <w:rFonts w:hint="eastAsia" w:ascii="楷体" w:hAnsi="楷体" w:eastAsia="楷体" w:cs="楷体"/>
          <w:sz w:val="32"/>
          <w:szCs w:val="32"/>
        </w:rPr>
        <w:t>（一）一般公共预算财政拨款支出决算总体情况</w:t>
      </w:r>
      <w:bookmarkEnd w:id="77"/>
      <w:bookmarkEnd w:id="78"/>
      <w:bookmarkEnd w:id="79"/>
      <w:bookmarkEnd w:id="80"/>
      <w:bookmarkEnd w:id="81"/>
      <w:bookmarkEnd w:id="82"/>
    </w:p>
    <w:p w14:paraId="0B0CF27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339.59</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年度相比，一般公共预算财政拨款支出增加</w:t>
      </w:r>
      <w:r>
        <w:rPr>
          <w:rFonts w:hint="eastAsia" w:ascii="仿宋_GB2312" w:hAnsi="ˎ̥" w:eastAsia="仿宋_GB2312"/>
          <w:color w:val="auto"/>
          <w:sz w:val="32"/>
          <w:szCs w:val="32"/>
          <w:lang w:val="en-US" w:eastAsia="zh-CN"/>
        </w:rPr>
        <w:t>288.61</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85</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增加人员经费、公用经费和项目支出</w:t>
      </w:r>
    </w:p>
    <w:p w14:paraId="02CF4A3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3" w:name="_Toc27767_WPSOffice_Level2"/>
      <w:bookmarkStart w:id="84" w:name="_Toc18793_WPSOffice_Level2"/>
      <w:bookmarkStart w:id="85" w:name="_Toc19075_WPSOffice_Level2"/>
      <w:bookmarkStart w:id="86" w:name="_Toc2711_WPSOffice_Level2"/>
      <w:bookmarkStart w:id="87" w:name="_Toc19535_WPSOffice_Level2"/>
      <w:bookmarkStart w:id="88" w:name="_Toc23864_WPSOffice_Level2"/>
      <w:r>
        <w:rPr>
          <w:rFonts w:hint="eastAsia" w:ascii="楷体" w:hAnsi="楷体" w:eastAsia="楷体" w:cs="楷体"/>
          <w:sz w:val="32"/>
          <w:szCs w:val="32"/>
        </w:rPr>
        <w:t>（二）一般公共预算财政拨款支出决算结构情况</w:t>
      </w:r>
      <w:bookmarkEnd w:id="83"/>
      <w:bookmarkEnd w:id="84"/>
      <w:bookmarkEnd w:id="85"/>
      <w:bookmarkEnd w:id="86"/>
      <w:bookmarkEnd w:id="87"/>
      <w:bookmarkEnd w:id="88"/>
    </w:p>
    <w:p w14:paraId="1BE4645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rPr>
        <w:t>2024</w:t>
      </w:r>
      <w:r>
        <w:rPr>
          <w:rFonts w:hint="eastAsia" w:ascii="仿宋_GB2312" w:hAnsi="仿宋_GB2312" w:eastAsia="仿宋_GB2312" w:cs="仿宋_GB2312"/>
          <w:color w:val="auto"/>
          <w:sz w:val="32"/>
          <w:szCs w:val="32"/>
        </w:rPr>
        <w:t>年度一般公共预算财政拨款支出</w:t>
      </w:r>
      <w:r>
        <w:rPr>
          <w:rFonts w:hint="eastAsia" w:ascii="仿宋_GB2312" w:hAnsi="仿宋_GB2312" w:eastAsia="仿宋_GB2312" w:cs="仿宋_GB2312"/>
          <w:color w:val="auto"/>
          <w:sz w:val="32"/>
          <w:szCs w:val="32"/>
          <w:lang w:val="en-US"/>
        </w:rPr>
        <w:t>339.59</w:t>
      </w:r>
      <w:r>
        <w:rPr>
          <w:rFonts w:hint="eastAsia" w:ascii="仿宋_GB2312" w:hAnsi="仿宋_GB2312" w:eastAsia="仿宋_GB2312" w:cs="仿宋_GB2312"/>
          <w:color w:val="auto"/>
          <w:sz w:val="32"/>
          <w:szCs w:val="32"/>
        </w:rPr>
        <w:t>万元，主要用于以下方面：一般公共服务（类）支出</w:t>
      </w:r>
      <w:r>
        <w:rPr>
          <w:rFonts w:hint="eastAsia" w:ascii="仿宋_GB2312" w:hAnsi="仿宋_GB2312" w:eastAsia="仿宋_GB2312" w:cs="仿宋_GB2312"/>
          <w:color w:val="auto"/>
          <w:sz w:val="32"/>
          <w:szCs w:val="32"/>
          <w:lang w:val="en-US" w:eastAsia="zh-CN"/>
        </w:rPr>
        <w:t>329.43</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lang w:val="en-US" w:eastAsia="zh-CN"/>
        </w:rPr>
        <w:t>97</w:t>
      </w:r>
      <w:r>
        <w:rPr>
          <w:rFonts w:hint="eastAsia" w:ascii="仿宋_GB2312" w:hAnsi="仿宋_GB2312" w:eastAsia="仿宋_GB2312" w:cs="仿宋_GB2312"/>
          <w:color w:val="auto"/>
          <w:sz w:val="32"/>
          <w:szCs w:val="32"/>
        </w:rPr>
        <w:t>%；社会保障和就业（类）支出</w:t>
      </w:r>
      <w:r>
        <w:rPr>
          <w:rFonts w:hint="eastAsia" w:ascii="仿宋_GB2312" w:hAnsi="仿宋_GB2312" w:eastAsia="仿宋_GB2312" w:cs="仿宋_GB2312"/>
          <w:color w:val="auto"/>
          <w:sz w:val="32"/>
          <w:szCs w:val="32"/>
          <w:lang w:val="en-US" w:eastAsia="zh-CN"/>
        </w:rPr>
        <w:t>4.42</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lang w:val="en-US" w:eastAsia="zh-CN"/>
        </w:rPr>
        <w:t>1.3</w:t>
      </w:r>
      <w:r>
        <w:rPr>
          <w:rFonts w:hint="eastAsia" w:ascii="仿宋_GB2312" w:hAnsi="仿宋_GB2312" w:eastAsia="仿宋_GB2312" w:cs="仿宋_GB2312"/>
          <w:color w:val="auto"/>
          <w:sz w:val="32"/>
          <w:szCs w:val="32"/>
        </w:rPr>
        <w:t>%；住房保障（类）支出</w:t>
      </w:r>
      <w:r>
        <w:rPr>
          <w:rFonts w:hint="eastAsia" w:ascii="仿宋_GB2312" w:hAnsi="仿宋_GB2312" w:eastAsia="仿宋_GB2312" w:cs="仿宋_GB2312"/>
          <w:color w:val="auto"/>
          <w:sz w:val="32"/>
          <w:szCs w:val="32"/>
          <w:lang w:val="en-US" w:eastAsia="zh-CN"/>
        </w:rPr>
        <w:t>2.39</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lang w:val="en-US" w:eastAsia="zh-CN"/>
        </w:rPr>
        <w:t>0.7</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卫生健康支出（类）支出3.35万元，占1%</w:t>
      </w:r>
    </w:p>
    <w:p w14:paraId="210E169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（注：根据各</w:t>
      </w:r>
      <w:r>
        <w:rPr>
          <w:rFonts w:hint="eastAsia" w:ascii="仿宋_GB2312" w:hAnsi="仿宋_GB2312" w:eastAsia="仿宋_GB2312" w:cs="仿宋_GB2312"/>
          <w:color w:val="auto"/>
          <w:sz w:val="32"/>
          <w:szCs w:val="32"/>
          <w:lang w:val="en-US" w:eastAsia="zh-CN"/>
        </w:rPr>
        <w:t>预算</w:t>
      </w:r>
      <w:r>
        <w:rPr>
          <w:rFonts w:hint="eastAsia" w:ascii="仿宋_GB2312" w:hAnsi="仿宋_GB2312" w:eastAsia="仿宋_GB2312" w:cs="仿宋_GB2312"/>
          <w:color w:val="auto"/>
          <w:sz w:val="32"/>
          <w:szCs w:val="32"/>
        </w:rPr>
        <w:t>部门</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单位实际支出涉及的支出功能分类类级科目填列</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w:t>
      </w:r>
    </w:p>
    <w:p w14:paraId="51B5561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color w:val="auto"/>
          <w:sz w:val="32"/>
          <w:szCs w:val="32"/>
        </w:rPr>
      </w:pPr>
      <w:bookmarkStart w:id="89" w:name="_Toc22318_WPSOffice_Level2"/>
      <w:bookmarkStart w:id="90" w:name="_Toc21701_WPSOffice_Level2"/>
      <w:bookmarkStart w:id="91" w:name="_Toc25136_WPSOffice_Level2"/>
      <w:bookmarkStart w:id="92" w:name="_Toc9502_WPSOffice_Level2"/>
      <w:bookmarkStart w:id="93" w:name="_Toc29364_WPSOffice_Level2"/>
      <w:bookmarkStart w:id="94" w:name="_Toc15415_WPSOffice_Level2"/>
      <w:r>
        <w:rPr>
          <w:rFonts w:hint="eastAsia" w:ascii="仿宋_GB2312" w:hAnsi="仿宋_GB2312" w:eastAsia="仿宋_GB2312" w:cs="仿宋_GB2312"/>
          <w:color w:val="auto"/>
          <w:sz w:val="32"/>
          <w:szCs w:val="32"/>
        </w:rPr>
        <w:t>（三）一般公共预算财政拨款支出决算具体情况</w:t>
      </w:r>
      <w:bookmarkEnd w:id="89"/>
      <w:bookmarkEnd w:id="90"/>
      <w:bookmarkEnd w:id="91"/>
      <w:bookmarkEnd w:id="92"/>
      <w:bookmarkEnd w:id="93"/>
      <w:bookmarkEnd w:id="94"/>
    </w:p>
    <w:p w14:paraId="04217A6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rPr>
        <w:t>2024</w:t>
      </w:r>
      <w:r>
        <w:rPr>
          <w:rFonts w:hint="eastAsia" w:ascii="仿宋_GB2312" w:hAnsi="仿宋_GB2312" w:eastAsia="仿宋_GB2312" w:cs="仿宋_GB2312"/>
          <w:color w:val="auto"/>
          <w:sz w:val="32"/>
          <w:szCs w:val="32"/>
        </w:rPr>
        <w:t>年度一般公共预算财政拨款支出年初预算为</w:t>
      </w:r>
      <w:r>
        <w:rPr>
          <w:rFonts w:hint="eastAsia" w:ascii="仿宋_GB2312" w:hAnsi="仿宋_GB2312" w:eastAsia="仿宋_GB2312" w:cs="仿宋_GB2312"/>
          <w:color w:val="auto"/>
          <w:sz w:val="32"/>
          <w:szCs w:val="32"/>
          <w:lang w:val="en-US" w:eastAsia="zh-CN"/>
        </w:rPr>
        <w:t>339.59</w:t>
      </w:r>
      <w:r>
        <w:rPr>
          <w:rFonts w:hint="eastAsia" w:ascii="仿宋_GB2312" w:hAnsi="仿宋_GB2312" w:eastAsia="仿宋_GB2312" w:cs="仿宋_GB2312"/>
          <w:color w:val="auto"/>
          <w:sz w:val="32"/>
          <w:szCs w:val="32"/>
        </w:rPr>
        <w:t>万元，支出决算为</w:t>
      </w:r>
      <w:r>
        <w:rPr>
          <w:rFonts w:hint="eastAsia" w:ascii="仿宋_GB2312" w:hAnsi="仿宋_GB2312" w:eastAsia="仿宋_GB2312" w:cs="仿宋_GB2312"/>
          <w:color w:val="auto"/>
          <w:sz w:val="32"/>
          <w:szCs w:val="32"/>
          <w:lang w:val="en-US"/>
        </w:rPr>
        <w:t>339.59</w:t>
      </w:r>
      <w:r>
        <w:rPr>
          <w:rFonts w:hint="eastAsia" w:ascii="仿宋_GB2312" w:hAnsi="仿宋_GB2312" w:eastAsia="仿宋_GB2312" w:cs="仿宋_GB2312"/>
          <w:color w:val="auto"/>
          <w:sz w:val="32"/>
          <w:szCs w:val="32"/>
        </w:rPr>
        <w:t>万元，完成年初预算的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p>
    <w:p w14:paraId="417CBBF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rPr>
        <w:t>1.</w:t>
      </w:r>
      <w:r>
        <w:rPr>
          <w:rFonts w:hint="eastAsia" w:ascii="仿宋_GB2312" w:hAnsi="ˎ̥" w:eastAsia="仿宋_GB2312"/>
          <w:b/>
          <w:sz w:val="32"/>
          <w:szCs w:val="32"/>
        </w:rPr>
        <w:t>一般公共服务（类）人大事务（款）行政运行（项）。</w:t>
      </w:r>
    </w:p>
    <w:p w14:paraId="6C2E261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年初预算为万元，支出决算为万元，完成年初预算的</w:t>
      </w:r>
      <w:r>
        <w:rPr>
          <w:rFonts w:hint="eastAsia" w:ascii="仿宋_GB2312" w:hAnsi="ˎ̥" w:eastAsia="仿宋_GB2312"/>
          <w:color w:val="auto"/>
          <w:sz w:val="32"/>
          <w:szCs w:val="32"/>
          <w:lang w:val="en-US" w:eastAsia="zh-CN"/>
        </w:rPr>
        <w:t>329.43</w:t>
      </w:r>
      <w:r>
        <w:rPr>
          <w:rFonts w:hint="eastAsia" w:ascii="仿宋_GB2312" w:hAnsi="ˎ̥" w:eastAsia="仿宋_GB2312"/>
          <w:color w:val="auto"/>
          <w:sz w:val="32"/>
          <w:szCs w:val="32"/>
        </w:rPr>
        <w:t>%。</w:t>
      </w:r>
    </w:p>
    <w:p w14:paraId="3CA8F8D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本部分支出决算数可取自财决公开05表，年初预算数可取自各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rPr>
        <w:t>部门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单位年初预算大本，根据实际支出涉及的支出功能分类项级科目填列</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14:paraId="6EAB98CA">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14:paraId="588683DF">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年度财政拨款基本支出</w:t>
      </w:r>
      <w:r>
        <w:rPr>
          <w:rFonts w:hint="eastAsia" w:ascii="仿宋_GB2312" w:hAnsi="ˎ̥" w:eastAsia="仿宋_GB2312"/>
          <w:color w:val="auto"/>
          <w:sz w:val="32"/>
          <w:szCs w:val="32"/>
          <w:lang w:val="en-US"/>
        </w:rPr>
        <w:t>35.21</w:t>
      </w:r>
      <w:r>
        <w:rPr>
          <w:rFonts w:hint="eastAsia" w:ascii="仿宋_GB2312" w:hAnsi="ˎ̥" w:eastAsia="仿宋_GB2312"/>
          <w:color w:val="auto"/>
          <w:sz w:val="32"/>
          <w:szCs w:val="32"/>
        </w:rPr>
        <w:t>万元，其中：人员经费</w:t>
      </w:r>
      <w:r>
        <w:rPr>
          <w:rFonts w:ascii="仿宋_GB2312" w:hAnsi="ˎ̥" w:eastAsia="仿宋_GB2312"/>
          <w:color w:val="auto"/>
          <w:sz w:val="32"/>
          <w:szCs w:val="32"/>
          <w:lang w:val="en-US"/>
        </w:rPr>
        <w:t>33.95</w:t>
      </w:r>
      <w:r>
        <w:rPr>
          <w:rFonts w:hint="eastAsia" w:ascii="仿宋_GB2312" w:hAnsi="ˎ̥" w:eastAsia="仿宋_GB2312"/>
          <w:color w:val="auto"/>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auto"/>
          <w:sz w:val="32"/>
          <w:szCs w:val="32"/>
          <w:lang w:val="en-US"/>
        </w:rPr>
        <w:t>1.26</w:t>
      </w:r>
      <w:r>
        <w:rPr>
          <w:rFonts w:hint="eastAsia" w:ascii="仿宋_GB2312" w:hAnsi="ˎ̥" w:eastAsia="仿宋_GB2312"/>
          <w:color w:val="auto"/>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color w:val="auto"/>
          <w:sz w:val="32"/>
          <w:szCs w:val="32"/>
          <w:lang w:val="en-US" w:eastAsia="zh-CN"/>
        </w:rPr>
        <w:t>购</w:t>
      </w:r>
      <w:r>
        <w:rPr>
          <w:rFonts w:hint="eastAsia" w:ascii="仿宋_GB2312" w:hAnsi="ˎ̥" w:eastAsia="仿宋_GB2312"/>
          <w:color w:val="auto"/>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14:paraId="6C24DF02">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上述</w:t>
      </w:r>
      <w:r>
        <w:rPr>
          <w:rFonts w:hint="eastAsia" w:ascii="仿宋_GB2312" w:hAnsi="ˎ̥" w:eastAsia="仿宋_GB2312"/>
          <w:color w:val="auto"/>
          <w:sz w:val="32"/>
          <w:szCs w:val="32"/>
          <w:lang w:val="en-US" w:eastAsia="zh-CN"/>
        </w:rPr>
        <w:t>数据</w:t>
      </w:r>
      <w:r>
        <w:rPr>
          <w:rFonts w:hint="eastAsia" w:ascii="仿宋_GB2312" w:hAnsi="ˎ̥" w:eastAsia="仿宋_GB2312"/>
          <w:color w:val="auto"/>
          <w:sz w:val="32"/>
          <w:szCs w:val="32"/>
        </w:rPr>
        <w:t>可取自财决公开06表，各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rPr>
        <w:t>部门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单位根据实际支出情况，选列相应支出经济分类。）</w:t>
      </w:r>
    </w:p>
    <w:p w14:paraId="7241B08A">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14:paraId="643B855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（一）政府性基金预算财政拨款支出决算总体情况</w:t>
      </w:r>
    </w:p>
    <w:p w14:paraId="7102672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val="en-US" w:eastAsia="zh-CN"/>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年度相比，政府性基金预算财政拨款支出增加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%，主要原因是政府性基金预算财政拨款</w:t>
      </w:r>
      <w:r>
        <w:rPr>
          <w:rFonts w:hint="eastAsia" w:ascii="仿宋_GB2312" w:hAnsi="ˎ̥" w:eastAsia="仿宋_GB2312"/>
          <w:color w:val="auto"/>
          <w:sz w:val="32"/>
          <w:szCs w:val="32"/>
          <w:lang w:val="en-US" w:eastAsia="zh-CN"/>
        </w:rPr>
        <w:t>0万元</w:t>
      </w:r>
    </w:p>
    <w:p w14:paraId="06BD91A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（二）政府性基金预算财政拨款支出决算结构情况</w:t>
      </w:r>
    </w:p>
    <w:p w14:paraId="5BAB193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万元，（注</w:t>
      </w:r>
      <w:r>
        <w:rPr>
          <w:rFonts w:ascii="仿宋_GB2312" w:hAnsi="ˎ̥" w:eastAsia="仿宋_GB2312"/>
          <w:color w:val="auto"/>
          <w:sz w:val="32"/>
          <w:szCs w:val="32"/>
        </w:rPr>
        <w:t>：</w:t>
      </w:r>
      <w:r>
        <w:rPr>
          <w:rFonts w:hint="eastAsia" w:ascii="仿宋_GB2312" w:hAnsi="ˎ̥" w:eastAsia="仿宋_GB2312"/>
          <w:color w:val="auto"/>
          <w:sz w:val="32"/>
          <w:szCs w:val="32"/>
        </w:rPr>
        <w:t>根据各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rPr>
        <w:t>部门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单位实际支出涉及的支出功能分类类级科目填列</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14:paraId="2AA5798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（三）政府性基金预算财政拨款支出决算具体情况</w:t>
      </w:r>
    </w:p>
    <w:p w14:paraId="71CEE77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年度政府性基金预算财政拨款支出年初预算为</w:t>
      </w:r>
      <w:r>
        <w:rPr>
          <w:rFonts w:hint="eastAsia" w:ascii="仿宋_GB2312" w:hAnsi="ˎ̥" w:eastAsia="仿宋_GB2312"/>
          <w:color w:val="auto"/>
          <w:sz w:val="32"/>
          <w:szCs w:val="32"/>
          <w:lang w:val="en-US" w:eastAsia="zh-CN"/>
        </w:rPr>
        <w:t>0.00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14:paraId="5E2A6D6E">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rPr>
        <w:t>部门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单位实际支出涉及的支出功能分类项级科目填列，本部分</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w:t>
      </w:r>
      <w:r>
        <w:rPr>
          <w:rFonts w:hint="eastAsia" w:ascii="仿宋_GB2312" w:hAnsi="ˎ̥" w:eastAsia="仿宋_GB2312"/>
          <w:color w:val="auto"/>
          <w:sz w:val="32"/>
          <w:szCs w:val="32"/>
          <w:lang w:val="en-US" w:eastAsia="zh-CN"/>
        </w:rPr>
        <w:t>度</w:t>
      </w:r>
      <w:r>
        <w:rPr>
          <w:rFonts w:hint="eastAsia" w:ascii="仿宋_GB2312" w:hAnsi="ˎ̥" w:eastAsia="仿宋_GB2312"/>
          <w:color w:val="auto"/>
          <w:sz w:val="32"/>
          <w:szCs w:val="32"/>
        </w:rPr>
        <w:t>决算相关数据取自财决公开07表；</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w:t>
      </w:r>
      <w:r>
        <w:rPr>
          <w:rFonts w:hint="eastAsia" w:ascii="仿宋_GB2312" w:hAnsi="ˎ̥" w:eastAsia="仿宋_GB2312"/>
          <w:color w:val="auto"/>
          <w:sz w:val="32"/>
          <w:szCs w:val="32"/>
          <w:lang w:val="en-US" w:eastAsia="zh-CN"/>
        </w:rPr>
        <w:t>度</w:t>
      </w:r>
      <w:r>
        <w:rPr>
          <w:rFonts w:hint="eastAsia" w:ascii="仿宋_GB2312" w:hAnsi="ˎ̥" w:eastAsia="仿宋_GB2312"/>
          <w:color w:val="auto"/>
          <w:sz w:val="32"/>
          <w:szCs w:val="32"/>
        </w:rPr>
        <w:t>决算相关数据取自</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lang w:val="en-US" w:eastAsia="zh-CN"/>
        </w:rPr>
        <w:t>年度部门决算报表</w:t>
      </w:r>
      <w:r>
        <w:rPr>
          <w:rFonts w:hint="eastAsia" w:ascii="仿宋_GB2312" w:hAnsi="ˎ̥" w:eastAsia="仿宋_GB2312"/>
          <w:color w:val="auto"/>
          <w:sz w:val="32"/>
          <w:szCs w:val="32"/>
        </w:rPr>
        <w:t>财决09表《政府性基金预算财政拨款收入支出决算表》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14:paraId="101E92BC">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14:paraId="1600908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（一）国有资本经营预算财政拨款支出决算总体情况</w:t>
      </w:r>
    </w:p>
    <w:p w14:paraId="5E6A223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eastAsia="zh-CN"/>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年度相比，国有资本经营预算财政拨款支出增加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hint="eastAsia" w:ascii="仿宋_GB2312" w:hAnsi="ˎ̥" w:eastAsia="仿宋_GB2312"/>
          <w:color w:val="auto"/>
          <w:sz w:val="32"/>
          <w:szCs w:val="32"/>
          <w:lang w:eastAsia="zh-CN"/>
        </w:rPr>
        <w:t>。</w:t>
      </w:r>
    </w:p>
    <w:p w14:paraId="7F0C568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（二）国有资本经营预算财政拨款支出决算结构情况</w:t>
      </w:r>
    </w:p>
    <w:p w14:paraId="52F8672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万元，主要（注</w:t>
      </w:r>
      <w:r>
        <w:rPr>
          <w:rFonts w:ascii="仿宋_GB2312" w:hAnsi="ˎ̥" w:eastAsia="仿宋_GB2312"/>
          <w:color w:val="auto"/>
          <w:sz w:val="32"/>
          <w:szCs w:val="32"/>
        </w:rPr>
        <w:t>：</w:t>
      </w:r>
      <w:r>
        <w:rPr>
          <w:rFonts w:hint="eastAsia" w:ascii="仿宋_GB2312" w:hAnsi="ˎ̥" w:eastAsia="仿宋_GB2312"/>
          <w:color w:val="auto"/>
          <w:sz w:val="32"/>
          <w:szCs w:val="32"/>
        </w:rPr>
        <w:t>根据各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rPr>
        <w:t>部门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单位实际支出涉及的支出功能分类类级</w:t>
      </w:r>
      <w:r>
        <w:rPr>
          <w:rFonts w:hint="eastAsia" w:ascii="仿宋_GB2312" w:hAnsi="ˎ̥" w:eastAsia="仿宋_GB2312"/>
          <w:sz w:val="32"/>
          <w:szCs w:val="32"/>
        </w:rPr>
        <w:t>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14:paraId="6DA2D67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（三）国有资本经营预算财政拨款支出决算具体情况</w:t>
      </w:r>
    </w:p>
    <w:p w14:paraId="360F3D5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%。其中：</w:t>
      </w:r>
    </w:p>
    <w:p w14:paraId="4FEB03E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eastAsia="zh-CN"/>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w:t>
      </w:r>
    </w:p>
    <w:p w14:paraId="1B28ACB1">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rPr>
        <w:t>部门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单位实际支出涉及的支出功能分类项级科目填列，本部分</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w:t>
      </w:r>
      <w:r>
        <w:rPr>
          <w:rFonts w:hint="eastAsia" w:ascii="仿宋_GB2312" w:hAnsi="ˎ̥" w:eastAsia="仿宋_GB2312"/>
          <w:color w:val="auto"/>
          <w:sz w:val="32"/>
          <w:szCs w:val="32"/>
          <w:lang w:val="en-US" w:eastAsia="zh-CN"/>
        </w:rPr>
        <w:t>度</w:t>
      </w:r>
      <w:r>
        <w:rPr>
          <w:rFonts w:hint="eastAsia" w:ascii="仿宋_GB2312" w:hAnsi="ˎ̥" w:eastAsia="仿宋_GB2312"/>
          <w:color w:val="auto"/>
          <w:sz w:val="32"/>
          <w:szCs w:val="32"/>
        </w:rPr>
        <w:t>决算相关数据取自财决公开08</w:t>
      </w:r>
      <w:r>
        <w:rPr>
          <w:rFonts w:hint="eastAsia" w:ascii="仿宋_GB2312" w:hAnsi="ˎ̥" w:eastAsia="仿宋_GB2312"/>
          <w:sz w:val="32"/>
          <w:szCs w:val="32"/>
        </w:rPr>
        <w:t>表</w:t>
      </w:r>
      <w:r>
        <w:rPr>
          <w:rFonts w:hint="eastAsia" w:ascii="仿宋_GB2312" w:hAnsi="ˎ̥" w:eastAsia="仿宋_GB2312"/>
          <w:sz w:val="32"/>
          <w:szCs w:val="32"/>
          <w:lang w:eastAsia="zh-CN"/>
        </w:rPr>
        <w:t>。</w:t>
      </w:r>
      <w:r>
        <w:rPr>
          <w:rFonts w:hint="eastAsia" w:ascii="仿宋_GB2312" w:hAnsi="ˎ̥" w:eastAsia="仿宋_GB2312"/>
          <w:sz w:val="32"/>
          <w:szCs w:val="32"/>
        </w:rPr>
        <w:t>）</w:t>
      </w:r>
    </w:p>
    <w:p w14:paraId="5834EC2B">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sz w:val="32"/>
          <w:szCs w:val="32"/>
        </w:rPr>
      </w:pPr>
      <w:r>
        <w:rPr>
          <w:rFonts w:hint="eastAsia" w:ascii="黑体" w:hAnsi="黑体" w:eastAsia="黑体" w:cs="黑体"/>
          <w:bCs/>
          <w:sz w:val="32"/>
          <w:szCs w:val="32"/>
        </w:rPr>
        <w:t>九、财政拨款“三公”经费支出决算情况说明</w:t>
      </w:r>
    </w:p>
    <w:p w14:paraId="18F9E7F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（一）财政拨款“三公”经费支出决算总体情况说明</w:t>
      </w:r>
    </w:p>
    <w:p w14:paraId="03A2DBB3">
      <w:pPr>
        <w:keepNext w:val="0"/>
        <w:keepLines w:val="0"/>
        <w:pageBreakBefore w:val="0"/>
        <w:widowControl w:val="0"/>
        <w:kinsoku/>
        <w:wordWrap/>
        <w:overflowPunct/>
        <w:topLinePunct w:val="0"/>
        <w:autoSpaceDE/>
        <w:autoSpaceDN/>
        <w:bidi w:val="0"/>
        <w:adjustRightInd/>
        <w:snapToGrid/>
        <w:spacing w:line="578" w:lineRule="exact"/>
        <w:ind w:firstLine="640"/>
        <w:textAlignment w:val="auto"/>
        <w:rPr>
          <w:rFonts w:hint="eastAsia" w:ascii="仿宋_GB2312" w:hAnsi="ˎ̥" w:eastAsia="仿宋_GB2312"/>
          <w:color w:val="auto"/>
          <w:sz w:val="32"/>
          <w:szCs w:val="32"/>
          <w:lang w:eastAsia="zh-CN"/>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年度财政拨款“三公”经费支出预算为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color w:val="auto"/>
          <w:sz w:val="32"/>
          <w:szCs w:val="32"/>
        </w:rPr>
        <w:t>“三公”经费支出增加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hint="eastAsia" w:ascii="仿宋_GB2312" w:hAnsi="ˎ̥" w:eastAsia="仿宋_GB2312"/>
          <w:color w:val="auto"/>
          <w:sz w:val="32"/>
          <w:szCs w:val="32"/>
          <w:lang w:eastAsia="zh-CN"/>
        </w:rPr>
        <w:t>。</w:t>
      </w:r>
    </w:p>
    <w:p w14:paraId="0787B19B">
      <w:pPr>
        <w:keepNext w:val="0"/>
        <w:keepLines w:val="0"/>
        <w:pageBreakBefore w:val="0"/>
        <w:widowControl w:val="0"/>
        <w:kinsoku/>
        <w:wordWrap/>
        <w:overflowPunct/>
        <w:topLinePunct w:val="0"/>
        <w:autoSpaceDE/>
        <w:autoSpaceDN/>
        <w:bidi w:val="0"/>
        <w:adjustRightInd/>
        <w:snapToGrid/>
        <w:spacing w:line="578" w:lineRule="exact"/>
        <w:ind w:firstLine="640"/>
        <w:textAlignment w:val="auto"/>
        <w:rPr>
          <w:rFonts w:hint="eastAsia" w:ascii="楷体" w:hAnsi="楷体" w:eastAsia="楷体" w:cs="楷体"/>
          <w:color w:val="auto"/>
          <w:sz w:val="32"/>
          <w:szCs w:val="32"/>
        </w:rPr>
      </w:pPr>
      <w:r>
        <w:rPr>
          <w:rFonts w:hint="eastAsia" w:ascii="楷体" w:hAnsi="楷体" w:eastAsia="楷体" w:cs="楷体"/>
          <w:b/>
          <w:bCs/>
          <w:color w:val="auto"/>
          <w:sz w:val="32"/>
          <w:szCs w:val="32"/>
        </w:rPr>
        <w:t xml:space="preserve">   </w:t>
      </w:r>
      <w:r>
        <w:rPr>
          <w:rFonts w:hint="eastAsia" w:ascii="楷体" w:hAnsi="楷体" w:eastAsia="楷体" w:cs="楷体"/>
          <w:color w:val="auto"/>
          <w:sz w:val="32"/>
          <w:szCs w:val="32"/>
        </w:rPr>
        <w:t xml:space="preserve"> （二）财政拨款“三公”经费支出决算具体情况说明</w:t>
      </w:r>
    </w:p>
    <w:p w14:paraId="70283DA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年度财政拨款“三公”经费支出决算中，因公出国（境）费支出决算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%；公务用车购置及运行维护费支出决算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%；公务接待费支出决算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hint="eastAsia" w:ascii="仿宋_GB2312" w:hAnsi="ˎ̥" w:eastAsia="仿宋_GB2312"/>
          <w:b/>
          <w:sz w:val="32"/>
          <w:szCs w:val="32"/>
        </w:rPr>
        <w:t>1.因公出国（境）费</w:t>
      </w:r>
      <w:r>
        <w:rPr>
          <w:rFonts w:hint="eastAsia" w:ascii="仿宋_GB2312" w:hAnsi="ˎ̥" w:eastAsia="仿宋_GB2312"/>
          <w:sz w:val="32"/>
          <w:szCs w:val="32"/>
        </w:rPr>
        <w:t>支</w:t>
      </w:r>
      <w:r>
        <w:rPr>
          <w:rFonts w:hint="eastAsia" w:ascii="仿宋_GB2312" w:hAnsi="ˎ̥" w:eastAsia="仿宋_GB2312"/>
          <w:color w:val="auto"/>
          <w:sz w:val="32"/>
          <w:szCs w:val="32"/>
        </w:rPr>
        <w:t>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万元。全年安排因公出国（境）团组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个，因公出国（境）</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w:t>
      </w:r>
    </w:p>
    <w:p w14:paraId="732BBD5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val="en-US" w:eastAsia="zh-CN"/>
        </w:rPr>
      </w:pPr>
      <w:r>
        <w:rPr>
          <w:rFonts w:hint="eastAsia" w:ascii="仿宋_GB2312" w:hAnsi="ˎ̥" w:eastAsia="仿宋_GB2312"/>
          <w:color w:val="auto"/>
          <w:sz w:val="32"/>
          <w:szCs w:val="32"/>
        </w:rPr>
        <w:t>因公出国（境）费支出决算</w:t>
      </w:r>
      <w:r>
        <w:rPr>
          <w:rFonts w:hint="eastAsia" w:ascii="仿宋_GB2312" w:hAnsi="ˎ̥" w:eastAsia="仿宋_GB2312"/>
          <w:color w:val="auto"/>
          <w:sz w:val="32"/>
          <w:szCs w:val="32"/>
          <w:lang w:val="en-US" w:eastAsia="zh-CN"/>
        </w:rPr>
        <w:t>数</w:t>
      </w:r>
      <w:r>
        <w:rPr>
          <w:rFonts w:hint="eastAsia" w:ascii="仿宋_GB2312" w:hAnsi="ˎ̥" w:eastAsia="仿宋_GB2312"/>
          <w:color w:val="auto"/>
          <w:sz w:val="32"/>
          <w:szCs w:val="32"/>
        </w:rPr>
        <w:t>比预算数增加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完成预算的0</w:t>
      </w:r>
      <w:r>
        <w:rPr>
          <w:rFonts w:hint="default" w:ascii="仿宋_GB2312" w:hAnsi="ˎ̥" w:eastAsia="仿宋_GB2312"/>
          <w:color w:val="auto"/>
          <w:sz w:val="32"/>
          <w:szCs w:val="32"/>
          <w:lang w:val="en-US" w:eastAsia="zh-CN"/>
        </w:rPr>
        <w:t>%</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color w:val="auto"/>
          <w:sz w:val="32"/>
          <w:szCs w:val="32"/>
        </w:rPr>
        <w:t>因公出国（境）费支出增加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14:paraId="7772B67D">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b/>
          <w:sz w:val="32"/>
          <w:szCs w:val="32"/>
        </w:rPr>
        <w:t xml:space="preserve">    2.公务用车购置及运行维护费</w:t>
      </w:r>
      <w:r>
        <w:rPr>
          <w:rFonts w:hint="eastAsia" w:ascii="仿宋_GB2312" w:hAnsi="ˎ̥" w:eastAsia="仿宋_GB2312"/>
          <w:b w:val="0"/>
          <w:bCs/>
          <w:sz w:val="32"/>
          <w:szCs w:val="32"/>
        </w:rPr>
        <w:t>支</w:t>
      </w:r>
      <w:r>
        <w:rPr>
          <w:rFonts w:hint="eastAsia" w:ascii="仿宋_GB2312" w:hAnsi="ˎ̥" w:eastAsia="仿宋_GB2312"/>
          <w:b w:val="0"/>
          <w:bCs/>
          <w:color w:val="auto"/>
          <w:sz w:val="32"/>
          <w:szCs w:val="32"/>
        </w:rPr>
        <w:t>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万元。其中：</w:t>
      </w:r>
    </w:p>
    <w:p w14:paraId="0BB159CD">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公务用车购置</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万元，全年购置公务用车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辆，年末公务用车保有量</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w:t>
      </w:r>
    </w:p>
    <w:p w14:paraId="2F0F80CE">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公务用车运行维护费</w:t>
      </w:r>
      <w:r>
        <w:rPr>
          <w:rFonts w:hint="eastAsia" w:ascii="仿宋_GB2312" w:hAnsi="ˎ̥" w:eastAsia="仿宋_GB2312"/>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r>
        <w:rPr>
          <w:rFonts w:hint="eastAsia" w:ascii="仿宋_GB2312" w:hAnsi="ˎ̥" w:eastAsia="仿宋_GB2312"/>
          <w:sz w:val="32"/>
          <w:szCs w:val="32"/>
        </w:rPr>
        <w:t>，</w:t>
      </w:r>
    </w:p>
    <w:p w14:paraId="314933E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Cs/>
          <w:color w:val="auto"/>
          <w:sz w:val="32"/>
          <w:szCs w:val="32"/>
        </w:rPr>
      </w:pPr>
      <w:r>
        <w:rPr>
          <w:rFonts w:hint="eastAsia" w:ascii="仿宋_GB2312" w:hAnsi="ˎ̥" w:eastAsia="仿宋_GB2312"/>
          <w:bCs/>
          <w:sz w:val="32"/>
          <w:szCs w:val="32"/>
        </w:rPr>
        <w:t>公务用车购置及运行维护费支出决算数</w:t>
      </w:r>
      <w:r>
        <w:rPr>
          <w:rFonts w:hint="eastAsia" w:ascii="仿宋_GB2312" w:hAnsi="ˎ̥" w:eastAsia="仿宋_GB2312"/>
          <w:sz w:val="32"/>
          <w:szCs w:val="32"/>
        </w:rPr>
        <w:t>比预算数增加</w:t>
      </w:r>
      <w:r>
        <w:rPr>
          <w:rFonts w:hint="eastAsia" w:ascii="仿宋_GB2312" w:hAnsi="ˎ̥" w:eastAsia="仿宋_GB2312"/>
          <w:sz w:val="32"/>
          <w:szCs w:val="32"/>
          <w:lang w:val="en-US" w:eastAsia="zh-CN"/>
        </w:rPr>
        <w:t>0</w:t>
      </w:r>
      <w:r>
        <w:rPr>
          <w:rFonts w:hint="eastAsia" w:ascii="仿宋_GB2312" w:hAnsi="ˎ̥" w:eastAsia="仿宋_GB2312"/>
          <w:sz w:val="32"/>
          <w:szCs w:val="32"/>
        </w:rPr>
        <w:t>万</w:t>
      </w:r>
      <w:r>
        <w:rPr>
          <w:rFonts w:hint="eastAsia" w:ascii="仿宋_GB2312" w:hAnsi="ˎ̥" w:eastAsia="仿宋_GB2312"/>
          <w:color w:val="auto"/>
          <w:sz w:val="32"/>
          <w:szCs w:val="32"/>
        </w:rPr>
        <w:t>元，</w:t>
      </w:r>
      <w:r>
        <w:rPr>
          <w:rFonts w:hint="eastAsia" w:ascii="仿宋_GB2312" w:hAnsi="ˎ̥" w:eastAsia="仿宋_GB2312"/>
          <w:color w:val="auto"/>
          <w:sz w:val="32"/>
          <w:szCs w:val="32"/>
          <w:lang w:val="en-US" w:eastAsia="zh-CN"/>
        </w:rPr>
        <w:t>完成预算的0</w:t>
      </w:r>
      <w:r>
        <w:rPr>
          <w:rFonts w:hint="eastAsia" w:ascii="仿宋_GB2312" w:hAnsi="ˎ̥" w:eastAsia="仿宋_GB2312"/>
          <w:color w:val="auto"/>
          <w:sz w:val="32"/>
          <w:szCs w:val="32"/>
        </w:rPr>
        <w:t>%</w:t>
      </w:r>
      <w:r>
        <w:rPr>
          <w:rFonts w:hint="eastAsia" w:ascii="仿宋_GB2312" w:hAnsi="ˎ̥" w:eastAsia="仿宋_GB2312"/>
          <w:color w:val="auto"/>
          <w:sz w:val="32"/>
          <w:szCs w:val="32"/>
          <w:lang w:val="en-US" w:eastAsia="zh-CN"/>
        </w:rPr>
        <w:t>。</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bCs/>
          <w:color w:val="auto"/>
          <w:sz w:val="32"/>
          <w:szCs w:val="32"/>
        </w:rPr>
        <w:t>公务用车购置及运行维护费</w:t>
      </w:r>
      <w:r>
        <w:rPr>
          <w:rFonts w:hint="eastAsia" w:ascii="仿宋_GB2312" w:hAnsi="ˎ̥" w:eastAsia="仿宋_GB2312"/>
          <w:color w:val="auto"/>
          <w:sz w:val="32"/>
          <w:szCs w:val="32"/>
        </w:rPr>
        <w:t>支出增加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14:paraId="4815CAD6">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 xml:space="preserve">    3.公务接待费</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p>
    <w:p w14:paraId="0444BB16">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国内接待费</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万元，国内公务接待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批次，接待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w:t>
      </w:r>
    </w:p>
    <w:p w14:paraId="4AC126C2">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lang w:val="en-US" w:eastAsia="zh-CN"/>
        </w:rPr>
      </w:pPr>
      <w:r>
        <w:rPr>
          <w:rFonts w:hint="eastAsia" w:ascii="仿宋_GB2312" w:hAnsi="ˎ̥" w:eastAsia="仿宋_GB2312"/>
          <w:b/>
          <w:bCs/>
          <w:color w:val="auto"/>
          <w:sz w:val="32"/>
          <w:szCs w:val="32"/>
        </w:rPr>
        <w:t>国（境）外接待费</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万元，国（境）外公务接待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批次，接待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w:t>
      </w:r>
      <w:r>
        <w:rPr>
          <w:rFonts w:hint="eastAsia" w:ascii="仿宋_GB2312" w:hAnsi="ˎ̥" w:eastAsia="仿宋_GB2312"/>
          <w:color w:val="auto"/>
          <w:sz w:val="32"/>
          <w:szCs w:val="32"/>
          <w:lang w:val="en-US" w:eastAsia="zh-CN"/>
        </w:rPr>
        <w:t>.</w:t>
      </w:r>
    </w:p>
    <w:p w14:paraId="2A2F45B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color w:val="auto"/>
          <w:sz w:val="32"/>
          <w:szCs w:val="32"/>
        </w:rPr>
        <w:t>公务接待费支出决算数比预算数增加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bCs/>
          <w:color w:val="auto"/>
          <w:sz w:val="32"/>
          <w:szCs w:val="32"/>
        </w:rPr>
        <w:t>公务接待费</w:t>
      </w:r>
      <w:r>
        <w:rPr>
          <w:rFonts w:hint="eastAsia" w:ascii="仿宋_GB2312" w:hAnsi="ˎ̥" w:eastAsia="仿宋_GB2312"/>
          <w:color w:val="auto"/>
          <w:sz w:val="32"/>
          <w:szCs w:val="32"/>
        </w:rPr>
        <w:t>支出增加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年度“三公”经费预算数、决算数可取自财决公开09表，出国团组数、出国人次，公务用车购置数、公务用车保有量，接待团组数、接待人次可取自部门决算报表F03表《机构</w:t>
      </w:r>
      <w:r>
        <w:rPr>
          <w:rFonts w:hint="eastAsia" w:ascii="仿宋_GB2312" w:hAnsi="ˎ̥" w:eastAsia="仿宋_GB2312"/>
          <w:sz w:val="32"/>
          <w:szCs w:val="32"/>
        </w:rPr>
        <w:t>运行信息表》，</w:t>
      </w:r>
      <w:r>
        <w:rPr>
          <w:rFonts w:hint="default" w:ascii="仿宋_GB2312" w:hAnsi="ˎ̥" w:eastAsia="仿宋_GB2312"/>
          <w:sz w:val="32"/>
          <w:szCs w:val="32"/>
          <w:lang w:val="en-US"/>
        </w:rPr>
        <w:t>2023</w:t>
      </w:r>
      <w:r>
        <w:rPr>
          <w:rFonts w:hint="eastAsia" w:ascii="仿宋_GB2312" w:hAnsi="ˎ̥" w:eastAsia="仿宋_GB2312"/>
          <w:sz w:val="32"/>
          <w:szCs w:val="32"/>
        </w:rPr>
        <w:t>年度相关</w:t>
      </w:r>
      <w:r>
        <w:rPr>
          <w:rFonts w:ascii="仿宋_GB2312" w:hAnsi="ˎ̥" w:eastAsia="仿宋_GB2312"/>
          <w:sz w:val="32"/>
          <w:szCs w:val="32"/>
        </w:rPr>
        <w:t>数据</w:t>
      </w:r>
      <w:r>
        <w:rPr>
          <w:rFonts w:hint="eastAsia" w:ascii="仿宋_GB2312" w:hAnsi="ˎ̥" w:eastAsia="仿宋_GB2312"/>
          <w:sz w:val="32"/>
          <w:szCs w:val="32"/>
        </w:rPr>
        <w:t>可取自</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部门决算报表</w:t>
      </w:r>
      <w:r>
        <w:rPr>
          <w:rFonts w:hint="eastAsia" w:ascii="仿宋_GB2312" w:hAnsi="ˎ̥" w:eastAsia="仿宋_GB2312"/>
          <w:sz w:val="32"/>
          <w:szCs w:val="32"/>
        </w:rPr>
        <w:t>F03表《机构</w:t>
      </w:r>
      <w:r>
        <w:rPr>
          <w:rFonts w:ascii="仿宋_GB2312" w:hAnsi="ˎ̥" w:eastAsia="仿宋_GB2312"/>
          <w:sz w:val="32"/>
          <w:szCs w:val="32"/>
        </w:rPr>
        <w:t>运行信息表》</w:t>
      </w:r>
      <w:r>
        <w:rPr>
          <w:rFonts w:hint="eastAsia" w:ascii="仿宋_GB2312" w:hAnsi="ˎ̥" w:eastAsia="仿宋_GB2312"/>
          <w:sz w:val="32"/>
          <w:szCs w:val="32"/>
          <w:lang w:eastAsia="zh-CN"/>
        </w:rPr>
        <w:t>。</w:t>
      </w:r>
      <w:r>
        <w:rPr>
          <w:rFonts w:hint="eastAsia" w:ascii="仿宋_GB2312" w:hAnsi="ˎ̥" w:eastAsia="仿宋_GB2312"/>
          <w:sz w:val="32"/>
          <w:szCs w:val="32"/>
        </w:rPr>
        <w:t>）</w:t>
      </w:r>
    </w:p>
    <w:p w14:paraId="3B8181B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十、预算绩效情况说明</w:t>
      </w:r>
    </w:p>
    <w:p w14:paraId="16F958C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（一）绩效管理工作开展情况</w:t>
      </w:r>
    </w:p>
    <w:p w14:paraId="3ED8D3C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sz w:val="32"/>
          <w:szCs w:val="32"/>
        </w:rPr>
        <w:t>根据财政预算绩效管理要求，可按照如下格式说明：根据预</w:t>
      </w:r>
      <w:r>
        <w:rPr>
          <w:rFonts w:hint="eastAsia" w:ascii="仿宋_GB2312" w:eastAsia="仿宋_GB2312"/>
          <w:color w:val="auto"/>
          <w:sz w:val="32"/>
          <w:szCs w:val="32"/>
        </w:rPr>
        <w:t>算管理要求，我部门（单位）组织对</w:t>
      </w:r>
      <w:r>
        <w:rPr>
          <w:rFonts w:hint="default" w:ascii="仿宋_GB2312" w:eastAsia="仿宋_GB2312"/>
          <w:color w:val="auto"/>
          <w:sz w:val="32"/>
          <w:szCs w:val="32"/>
          <w:lang w:val="en-US"/>
        </w:rPr>
        <w:t>2024</w:t>
      </w:r>
      <w:r>
        <w:rPr>
          <w:rFonts w:hint="eastAsia" w:ascii="仿宋_GB2312" w:eastAsia="仿宋_GB2312"/>
          <w:color w:val="auto"/>
          <w:sz w:val="32"/>
          <w:szCs w:val="32"/>
        </w:rPr>
        <w:t>年度一般公共预算项目支出全面开展绩效自评</w:t>
      </w:r>
      <w:r>
        <w:rPr>
          <w:rFonts w:hint="default" w:ascii="仿宋_GB2312" w:eastAsia="仿宋_GB2312"/>
          <w:color w:val="auto"/>
          <w:sz w:val="32"/>
          <w:szCs w:val="32"/>
          <w:lang w:val="en-US"/>
        </w:rPr>
        <w:t>,</w:t>
      </w:r>
      <w:r>
        <w:rPr>
          <w:rFonts w:hint="eastAsia" w:ascii="仿宋_GB2312" w:eastAsia="仿宋_GB2312"/>
          <w:color w:val="auto"/>
          <w:sz w:val="32"/>
          <w:szCs w:val="32"/>
          <w:lang w:val="en-US" w:eastAsia="zh-CN"/>
        </w:rPr>
        <w:t>共涉及资金0万元，占一般公共预算项目支出总额的0%</w:t>
      </w:r>
      <w:r>
        <w:rPr>
          <w:rFonts w:hint="eastAsia" w:ascii="仿宋_GB2312" w:eastAsia="仿宋_GB2312"/>
          <w:color w:val="auto"/>
          <w:sz w:val="32"/>
          <w:szCs w:val="32"/>
        </w:rPr>
        <w:t>。</w:t>
      </w:r>
      <w:r>
        <w:rPr>
          <w:rFonts w:hint="eastAsia" w:ascii="仿宋_GB2312" w:eastAsia="仿宋_GB2312"/>
          <w:color w:val="auto"/>
          <w:sz w:val="32"/>
          <w:szCs w:val="32"/>
          <w:lang w:bidi="ar"/>
        </w:rPr>
        <w:t>组织对</w:t>
      </w:r>
      <w:r>
        <w:rPr>
          <w:rFonts w:hint="default" w:ascii="仿宋_GB2312" w:eastAsia="仿宋_GB2312"/>
          <w:color w:val="auto"/>
          <w:sz w:val="32"/>
          <w:szCs w:val="32"/>
          <w:lang w:val="en-US" w:bidi="ar"/>
        </w:rPr>
        <w:t>2024</w:t>
      </w:r>
      <w:r>
        <w:rPr>
          <w:rFonts w:hint="eastAsia" w:ascii="仿宋_GB2312" w:eastAsia="仿宋_GB2312"/>
          <w:color w:val="auto"/>
          <w:sz w:val="32"/>
          <w:szCs w:val="32"/>
          <w:lang w:bidi="ar"/>
        </w:rPr>
        <w:t>年度</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个政府性基金预算项目开展绩效自评，共涉及资金</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万元，占政府性基金预算项目支出总额的</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%。组织对</w:t>
      </w:r>
      <w:r>
        <w:rPr>
          <w:rFonts w:hint="default" w:ascii="仿宋_GB2312" w:eastAsia="仿宋_GB2312"/>
          <w:color w:val="auto"/>
          <w:sz w:val="32"/>
          <w:szCs w:val="32"/>
          <w:lang w:val="en-US" w:bidi="ar"/>
        </w:rPr>
        <w:t>2024</w:t>
      </w:r>
      <w:r>
        <w:rPr>
          <w:rFonts w:hint="eastAsia" w:ascii="仿宋_GB2312" w:eastAsia="仿宋_GB2312"/>
          <w:color w:val="auto"/>
          <w:sz w:val="32"/>
          <w:szCs w:val="32"/>
          <w:lang w:bidi="ar"/>
        </w:rPr>
        <w:t>年度</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 xml:space="preserve">个国有资本经营预算项目开展绩效自评，共涉及资金 </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万元，占国有资本经营预算项目支出总额的</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w:t>
      </w:r>
    </w:p>
    <w:p w14:paraId="63E77EB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共组织对“</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”等</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个项目开展了部门评价，</w:t>
      </w:r>
      <w:r>
        <w:rPr>
          <w:rFonts w:hint="eastAsia" w:ascii="仿宋_GB2312" w:eastAsia="仿宋_GB2312"/>
          <w:color w:val="auto"/>
          <w:sz w:val="32"/>
          <w:szCs w:val="32"/>
          <w:lang w:bidi="ar"/>
        </w:rPr>
        <w:t>涉及一般公共预算支出</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万元，政府性基金预算支出</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万元，国有资本经营预算支出</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w:t>
      </w:r>
      <w:r>
        <w:rPr>
          <w:rFonts w:hint="eastAsia" w:ascii="仿宋_GB2312" w:eastAsia="仿宋_GB2312"/>
          <w:color w:val="auto"/>
          <w:sz w:val="32"/>
          <w:szCs w:val="32"/>
        </w:rPr>
        <w:t>从评价情况来看，……（预算部门如有，请对预算绩效评价情况进行简单说明；没有，则简要说明本年没有进行相关工作及理由。部门所属单位不需填写此项）。</w:t>
      </w:r>
    </w:p>
    <w:p w14:paraId="16FFC1C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bCs/>
          <w:color w:val="auto"/>
          <w:sz w:val="32"/>
          <w:szCs w:val="32"/>
        </w:rPr>
      </w:pPr>
      <w:r>
        <w:rPr>
          <w:rFonts w:hint="eastAsia" w:ascii="楷体" w:hAnsi="楷体" w:eastAsia="楷体" w:cs="楷体"/>
          <w:bCs/>
          <w:color w:val="auto"/>
          <w:sz w:val="32"/>
          <w:szCs w:val="32"/>
        </w:rPr>
        <w:t>（二）部门决算中项目绩效自评结果（预算部门、单位可根据实际情况反映重点项目绩效自评结果）</w:t>
      </w:r>
    </w:p>
    <w:p w14:paraId="2072DAD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参照如下格式说明（表述应与决算内容保持一致）：我部门（单位）在部门决算中反映</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个项目绩效自评结果（包括项目绩效自评表和项目绩效自评报告）。</w:t>
      </w:r>
    </w:p>
    <w:p w14:paraId="0667E42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lang w:eastAsia="zh-CN"/>
        </w:rPr>
      </w:pPr>
      <w:r>
        <w:rPr>
          <w:rFonts w:hint="eastAsia" w:ascii="仿宋_GB2312" w:eastAsia="仿宋_GB2312"/>
          <w:color w:val="auto"/>
          <w:sz w:val="32"/>
          <w:szCs w:val="32"/>
          <w:lang w:val="en-US" w:eastAsia="zh-CN"/>
        </w:rPr>
        <w:t>0</w:t>
      </w:r>
      <w:r>
        <w:rPr>
          <w:rFonts w:hint="eastAsia" w:ascii="仿宋_GB2312" w:eastAsia="仿宋_GB2312"/>
          <w:color w:val="auto"/>
          <w:sz w:val="32"/>
          <w:szCs w:val="32"/>
        </w:rPr>
        <w:t>项目绩效自评表：</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可作为附件附后</w:t>
      </w:r>
      <w:r>
        <w:rPr>
          <w:rFonts w:hint="eastAsia" w:ascii="仿宋_GB2312" w:eastAsia="仿宋_GB2312"/>
          <w:color w:val="auto"/>
          <w:sz w:val="32"/>
          <w:szCs w:val="32"/>
          <w:lang w:eastAsia="zh-CN"/>
        </w:rPr>
        <w:t>）</w:t>
      </w:r>
    </w:p>
    <w:p w14:paraId="40C4F03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0</w:t>
      </w:r>
      <w:r>
        <w:rPr>
          <w:rFonts w:hint="eastAsia" w:ascii="仿宋_GB2312" w:eastAsia="仿宋_GB2312"/>
          <w:color w:val="auto"/>
          <w:sz w:val="32"/>
          <w:szCs w:val="32"/>
        </w:rPr>
        <w:t>项目绩效自评报告：根据年初设定的绩效目标，项目绩效自评得分为</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分。全年预算数为</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万元，执行数为</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万元，完成预算的</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%。项目绩效目标完成情况：</w:t>
      </w:r>
      <w:r>
        <w:rPr>
          <w:rFonts w:hint="eastAsia" w:ascii="仿宋_GB2312" w:eastAsia="仿宋_GB2312"/>
          <w:color w:val="auto"/>
          <w:sz w:val="32"/>
          <w:szCs w:val="32"/>
          <w:lang w:val="en-US" w:eastAsia="zh-CN"/>
        </w:rPr>
        <w:t xml:space="preserve">无 </w:t>
      </w:r>
    </w:p>
    <w:p w14:paraId="08AEFB7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color w:val="auto"/>
          <w:sz w:val="32"/>
          <w:szCs w:val="32"/>
        </w:rPr>
        <w:t>（三）部门评价结果（预算部门填写，部门所属单</w:t>
      </w:r>
      <w:r>
        <w:rPr>
          <w:rFonts w:hint="eastAsia" w:ascii="楷体" w:hAnsi="楷体" w:eastAsia="楷体" w:cs="楷体"/>
          <w:bCs/>
          <w:sz w:val="32"/>
          <w:szCs w:val="32"/>
        </w:rPr>
        <w:t>位不需填写）</w:t>
      </w:r>
    </w:p>
    <w:p w14:paraId="01C1BC6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hAnsi="仿宋_GB2312" w:eastAsia="仿宋_GB2312" w:cs="仿宋_GB2312"/>
          <w:kern w:val="0"/>
          <w:sz w:val="32"/>
          <w:szCs w:val="32"/>
          <w:lang w:bidi="ar"/>
        </w:rPr>
        <w:t>部门评价项目数量在3个以内的，至少将1个部门评价报告向社会公开；部门评价项目数量大于3个的，至少将2个部门评价报告向社会公开。</w:t>
      </w:r>
      <w:r>
        <w:rPr>
          <w:rFonts w:hint="eastAsia" w:ascii="仿宋_GB2312" w:eastAsia="仿宋_GB2312"/>
          <w:sz w:val="32"/>
          <w:szCs w:val="32"/>
        </w:rPr>
        <w:t>报告框架可参照《海南省财政厅关于印发&lt;海南省项目支出绩效评价管理实施办法&gt;的通知》（琼财绩〔2020〕594号）填写。</w:t>
      </w:r>
    </w:p>
    <w:p w14:paraId="52EA427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（四）财政评价结果（如有）</w:t>
      </w:r>
    </w:p>
    <w:p w14:paraId="7B0BCD6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zh-CN"/>
        </w:rPr>
        <w:t>反映财政部门组织开展的预算部门（单位）重点项目财政评价情况，如有，可将评价报告附后。</w:t>
      </w:r>
    </w:p>
    <w:p w14:paraId="7FDC302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十一、其他重要事项情况说明</w:t>
      </w:r>
    </w:p>
    <w:p w14:paraId="42D67D3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95" w:name="_Toc18325_WPSOffice_Level2"/>
      <w:bookmarkStart w:id="96" w:name="_Toc5978_WPSOffice_Level2"/>
      <w:bookmarkStart w:id="97" w:name="_Toc15565_WPSOffice_Level2"/>
      <w:bookmarkStart w:id="98" w:name="_Toc15262_WPSOffice_Level2"/>
      <w:bookmarkStart w:id="99" w:name="_Toc32639_WPSOffice_Level2"/>
      <w:bookmarkStart w:id="100" w:name="_Toc23598_WPSOffice_Level2"/>
      <w:r>
        <w:rPr>
          <w:rFonts w:hint="eastAsia" w:ascii="楷体" w:hAnsi="楷体" w:eastAsia="楷体" w:cs="楷体"/>
          <w:bCs/>
          <w:sz w:val="32"/>
          <w:szCs w:val="32"/>
        </w:rPr>
        <w:t>（一）机关运行经费支出情况</w:t>
      </w:r>
      <w:bookmarkEnd w:id="95"/>
      <w:bookmarkEnd w:id="96"/>
      <w:bookmarkEnd w:id="97"/>
      <w:bookmarkEnd w:id="98"/>
      <w:bookmarkEnd w:id="99"/>
      <w:bookmarkEnd w:id="100"/>
    </w:p>
    <w:p w14:paraId="3938F2C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sz w:val="32"/>
          <w:szCs w:val="32"/>
          <w:lang w:val="en-US" w:eastAsia="zh-CN"/>
        </w:rPr>
        <w:t>三亚市海棠区江林幼儿园</w:t>
      </w:r>
      <w:r>
        <w:rPr>
          <w:rFonts w:hint="eastAsia" w:ascii="仿宋_GB2312" w:hAnsi="ˎ̥" w:eastAsia="仿宋_GB2312"/>
          <w:sz w:val="32"/>
          <w:szCs w:val="32"/>
        </w:rPr>
        <w:t>机关运行经费</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万元（为部门决算中行政单位和参公事业单位财政拨款基本支出中公用</w:t>
      </w:r>
      <w:r>
        <w:rPr>
          <w:rFonts w:hint="eastAsia" w:ascii="仿宋_GB2312" w:hAnsi="ˎ̥" w:eastAsia="仿宋_GB2312"/>
          <w:color w:val="auto"/>
          <w:sz w:val="32"/>
          <w:szCs w:val="32"/>
        </w:rPr>
        <w:t>经费支出之和，事业单位没有机关运行经费支出），比年初预算增加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完成预算的0</w:t>
      </w:r>
      <w:r>
        <w:rPr>
          <w:rFonts w:hint="eastAsia" w:ascii="仿宋_GB2312" w:hAnsi="ˎ̥" w:eastAsia="仿宋_GB2312"/>
          <w:color w:val="auto"/>
          <w:sz w:val="32"/>
          <w:szCs w:val="32"/>
        </w:rPr>
        <w:t>%</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与2023年度相比，机关运行经费</w:t>
      </w:r>
      <w:r>
        <w:rPr>
          <w:rFonts w:hint="eastAsia" w:ascii="仿宋_GB2312" w:hAnsi="ˎ̥" w:eastAsia="仿宋_GB2312"/>
          <w:color w:val="auto"/>
          <w:sz w:val="32"/>
          <w:szCs w:val="32"/>
        </w:rPr>
        <w:t>增加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增长0%。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bidi="ar"/>
        </w:rPr>
        <w:t>办公设施设备购置经费</w:t>
      </w:r>
      <w:r>
        <w:rPr>
          <w:rFonts w:hint="eastAsia" w:ascii="仿宋_GB2312" w:hAnsi="ˎ̥" w:eastAsia="仿宋_GB2312"/>
          <w:color w:val="auto"/>
          <w:sz w:val="32"/>
          <w:szCs w:val="32"/>
          <w:lang w:val="en-US" w:eastAsia="zh-CN" w:bidi="ar"/>
        </w:rPr>
        <w:t>无</w:t>
      </w:r>
      <w:r>
        <w:rPr>
          <w:rFonts w:hint="eastAsia" w:ascii="仿宋_GB2312" w:hAnsi="ˎ̥" w:eastAsia="仿宋_GB2312"/>
          <w:color w:val="auto"/>
          <w:sz w:val="32"/>
          <w:szCs w:val="32"/>
          <w:lang w:bidi="ar"/>
        </w:rPr>
        <w:t>增减/资产运行维护支出</w:t>
      </w:r>
      <w:r>
        <w:rPr>
          <w:rFonts w:hint="eastAsia" w:ascii="仿宋_GB2312" w:hAnsi="ˎ̥" w:eastAsia="仿宋_GB2312"/>
          <w:color w:val="auto"/>
          <w:sz w:val="32"/>
          <w:szCs w:val="32"/>
          <w:lang w:val="en-US" w:eastAsia="zh-CN" w:bidi="ar"/>
        </w:rPr>
        <w:t>无</w:t>
      </w:r>
      <w:r>
        <w:rPr>
          <w:rFonts w:hint="eastAsia" w:ascii="仿宋_GB2312" w:hAnsi="ˎ̥" w:eastAsia="仿宋_GB2312"/>
          <w:color w:val="auto"/>
          <w:sz w:val="32"/>
          <w:szCs w:val="32"/>
          <w:lang w:bidi="ar"/>
        </w:rPr>
        <w:t>增减/信息系统运行维护支出</w:t>
      </w:r>
      <w:r>
        <w:rPr>
          <w:rFonts w:hint="eastAsia" w:ascii="仿宋_GB2312" w:hAnsi="ˎ̥" w:eastAsia="仿宋_GB2312"/>
          <w:color w:val="auto"/>
          <w:sz w:val="32"/>
          <w:szCs w:val="32"/>
          <w:lang w:val="en-US" w:eastAsia="zh-CN" w:bidi="ar"/>
        </w:rPr>
        <w:t>无</w:t>
      </w:r>
      <w:r>
        <w:rPr>
          <w:rFonts w:hint="eastAsia" w:ascii="仿宋_GB2312" w:hAnsi="ˎ̥" w:eastAsia="仿宋_GB2312"/>
          <w:color w:val="auto"/>
          <w:sz w:val="32"/>
          <w:szCs w:val="32"/>
          <w:lang w:bidi="ar"/>
        </w:rPr>
        <w:t>增减/人员编制数量</w:t>
      </w:r>
      <w:r>
        <w:rPr>
          <w:rFonts w:hint="eastAsia" w:ascii="仿宋_GB2312" w:hAnsi="ˎ̥" w:eastAsia="仿宋_GB2312"/>
          <w:color w:val="auto"/>
          <w:sz w:val="32"/>
          <w:szCs w:val="32"/>
          <w:lang w:val="en-US" w:eastAsia="zh-CN" w:bidi="ar"/>
        </w:rPr>
        <w:t>无</w:t>
      </w:r>
      <w:r>
        <w:rPr>
          <w:rFonts w:hint="eastAsia" w:ascii="仿宋_GB2312" w:hAnsi="ˎ̥" w:eastAsia="仿宋_GB2312"/>
          <w:color w:val="auto"/>
          <w:sz w:val="32"/>
          <w:szCs w:val="32"/>
          <w:lang w:bidi="ar"/>
        </w:rPr>
        <w:t xml:space="preserve">增减少/落实过紧日子要求压减 </w:t>
      </w:r>
      <w:r>
        <w:rPr>
          <w:rFonts w:hint="eastAsia" w:ascii="仿宋_GB2312" w:hAnsi="ˎ̥" w:eastAsia="仿宋_GB2312"/>
          <w:color w:val="auto"/>
          <w:sz w:val="32"/>
          <w:szCs w:val="32"/>
          <w:lang w:val="en-US" w:eastAsia="zh-CN" w:bidi="ar"/>
        </w:rPr>
        <w:t>0</w:t>
      </w:r>
      <w:r>
        <w:rPr>
          <w:rFonts w:hint="eastAsia" w:ascii="仿宋_GB2312" w:hAnsi="ˎ̥" w:eastAsia="仿宋_GB2312"/>
          <w:color w:val="auto"/>
          <w:sz w:val="32"/>
          <w:szCs w:val="32"/>
          <w:lang w:bidi="ar"/>
        </w:rPr>
        <w:t xml:space="preserve"> 支出/……等</w:t>
      </w:r>
      <w:r>
        <w:rPr>
          <w:rFonts w:hint="eastAsia" w:ascii="仿宋_GB2312" w:hAnsi="ˎ̥" w:eastAsia="仿宋_GB2312"/>
          <w:sz w:val="32"/>
          <w:szCs w:val="32"/>
        </w:rPr>
        <w:t>（具体增减原因由</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单位根据实际情况填列）。</w:t>
      </w:r>
    </w:p>
    <w:p w14:paraId="100BBB7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机关运行经费预算数可取自部门决算报表财决01-1表《财政拨款收入支出决算总表》，年初预算数-一般公共预算财政拨款-公用经费，注意部门汇总公开决算时，因事业单位没有机关运行经费支出，故部门汇总的机关运行经费预算数应为部门所属的各行政单位或参公单位的汇总数；决算数可取自</w:t>
      </w:r>
      <w:r>
        <w:rPr>
          <w:rFonts w:hint="default" w:ascii="仿宋_GB2312" w:hAnsi="ˎ̥" w:eastAsia="仿宋_GB2312"/>
          <w:sz w:val="32"/>
          <w:szCs w:val="32"/>
          <w:lang w:val="en-US"/>
        </w:rPr>
        <w:t>2024</w:t>
      </w:r>
      <w:r>
        <w:rPr>
          <w:rFonts w:hint="eastAsia" w:ascii="仿宋_GB2312" w:hAnsi="ˎ̥" w:eastAsia="仿宋_GB2312"/>
          <w:sz w:val="32"/>
          <w:szCs w:val="32"/>
        </w:rPr>
        <w:t>年度部门决算报表F03表《机构运行信息表》“机关运行经费”栏。）</w:t>
      </w:r>
    </w:p>
    <w:p w14:paraId="32FB8A2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1" w:name="_Toc23966_WPSOffice_Level2"/>
      <w:bookmarkStart w:id="102" w:name="_Toc3131_WPSOffice_Level2"/>
      <w:bookmarkStart w:id="103" w:name="_Toc32689_WPSOffice_Level2"/>
      <w:bookmarkStart w:id="104" w:name="_Toc30383_WPSOffice_Level2"/>
      <w:bookmarkStart w:id="105" w:name="_Toc25333_WPSOffice_Level2"/>
      <w:bookmarkStart w:id="106" w:name="_Toc13084_WPSOffice_Level2"/>
      <w:r>
        <w:rPr>
          <w:rFonts w:hint="eastAsia" w:ascii="楷体" w:hAnsi="楷体" w:eastAsia="楷体" w:cs="楷体"/>
          <w:bCs/>
          <w:sz w:val="32"/>
          <w:szCs w:val="32"/>
        </w:rPr>
        <w:t>（二）政府采购支出情况</w:t>
      </w:r>
      <w:bookmarkEnd w:id="101"/>
      <w:bookmarkEnd w:id="102"/>
      <w:bookmarkEnd w:id="103"/>
      <w:bookmarkEnd w:id="104"/>
      <w:bookmarkEnd w:id="105"/>
      <w:bookmarkEnd w:id="106"/>
    </w:p>
    <w:p w14:paraId="25335D48">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val="en-US" w:eastAsia="zh-CN"/>
        </w:rPr>
        <w:t>三亚市海棠区江林幼儿园</w:t>
      </w:r>
      <w:r>
        <w:rPr>
          <w:rFonts w:hint="eastAsia" w:ascii="仿宋_GB2312" w:hAnsi="ˎ̥" w:eastAsia="仿宋_GB2312"/>
          <w:color w:val="auto"/>
          <w:sz w:val="32"/>
          <w:szCs w:val="32"/>
        </w:rPr>
        <w:t>政府采购支出总额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万元，其中：政府采购货物支出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万元、政府采购工程支出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万元、政府采购服务支出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万元。授予中小企业合同金额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万元，占政府采购支出总额的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%，其中：授予小微企业合同金额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仿宋_GB2312" w:eastAsia="仿宋_GB2312" w:cs="仿宋_GB2312"/>
          <w:color w:val="auto"/>
          <w:kern w:val="0"/>
          <w:sz w:val="32"/>
          <w:szCs w:val="32"/>
          <w:lang w:bidi="ar"/>
        </w:rPr>
        <w:t>授予中小企业合同金额</w:t>
      </w:r>
      <w:r>
        <w:rPr>
          <w:rFonts w:hint="eastAsia" w:ascii="仿宋_GB2312" w:hAnsi="仿宋_GB2312" w:eastAsia="仿宋_GB2312" w:cs="仿宋_GB2312"/>
          <w:color w:val="auto"/>
          <w:sz w:val="32"/>
          <w:szCs w:val="32"/>
        </w:rPr>
        <w:t>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14:paraId="5D7FFAF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上述政府采购支出相关</w:t>
      </w:r>
      <w:r>
        <w:rPr>
          <w:rFonts w:hint="eastAsia" w:ascii="仿宋_GB2312" w:hAnsi="ˎ̥" w:eastAsia="仿宋_GB2312"/>
          <w:color w:val="auto"/>
          <w:sz w:val="32"/>
          <w:szCs w:val="32"/>
          <w:lang w:val="en-US" w:eastAsia="zh-CN"/>
        </w:rPr>
        <w:t>数据</w:t>
      </w:r>
      <w:r>
        <w:rPr>
          <w:rFonts w:hint="eastAsia" w:ascii="仿宋_GB2312" w:hAnsi="ˎ̥" w:eastAsia="仿宋_GB2312"/>
          <w:color w:val="auto"/>
          <w:sz w:val="32"/>
          <w:szCs w:val="32"/>
        </w:rPr>
        <w:t>取自</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年度部门决算报表F03表《机构运行信息表》，授予中小企业和小微企业合同金额由各部门查阅本部门相关资料填写。）</w:t>
      </w:r>
    </w:p>
    <w:p w14:paraId="3061DC4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7" w:name="_Toc6016_WPSOffice_Level2"/>
      <w:bookmarkStart w:id="108" w:name="_Toc29584_WPSOffice_Level2"/>
      <w:bookmarkStart w:id="109" w:name="_Toc10902_WPSOffice_Level2"/>
      <w:bookmarkStart w:id="110" w:name="_Toc527_WPSOffice_Level2"/>
      <w:bookmarkStart w:id="111" w:name="_Toc15129_WPSOffice_Level2"/>
      <w:bookmarkStart w:id="112" w:name="_Toc19989_WPSOffice_Level2"/>
      <w:r>
        <w:rPr>
          <w:rFonts w:hint="eastAsia" w:ascii="楷体" w:hAnsi="楷体" w:eastAsia="楷体" w:cs="楷体"/>
          <w:bCs/>
          <w:sz w:val="32"/>
          <w:szCs w:val="32"/>
        </w:rPr>
        <w:t>（三）国有资产占用情况</w:t>
      </w:r>
      <w:bookmarkEnd w:id="107"/>
      <w:bookmarkEnd w:id="108"/>
      <w:bookmarkEnd w:id="109"/>
      <w:bookmarkEnd w:id="110"/>
      <w:bookmarkEnd w:id="111"/>
      <w:bookmarkEnd w:id="112"/>
    </w:p>
    <w:p w14:paraId="4FC4FEB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bCs/>
          <w:color w:val="auto"/>
          <w:sz w:val="32"/>
          <w:szCs w:val="32"/>
        </w:rPr>
        <w:t>截至</w:t>
      </w:r>
      <w:r>
        <w:rPr>
          <w:rFonts w:hint="default" w:ascii="仿宋_GB2312" w:hAnsi="ˎ̥" w:eastAsia="仿宋_GB2312"/>
          <w:bCs/>
          <w:color w:val="auto"/>
          <w:sz w:val="32"/>
          <w:szCs w:val="32"/>
          <w:lang w:val="en-US"/>
        </w:rPr>
        <w:t>2024</w:t>
      </w:r>
      <w:r>
        <w:rPr>
          <w:rFonts w:hint="eastAsia" w:ascii="仿宋_GB2312" w:hAnsi="ˎ̥" w:eastAsia="仿宋_GB2312"/>
          <w:bCs/>
          <w:color w:val="auto"/>
          <w:sz w:val="32"/>
          <w:szCs w:val="32"/>
        </w:rPr>
        <w:t>年12月31日，本部门拥有</w:t>
      </w:r>
      <w:r>
        <w:rPr>
          <w:rFonts w:hint="eastAsia" w:ascii="仿宋_GB2312" w:hAnsi="ˎ̥" w:eastAsia="仿宋_GB2312"/>
          <w:color w:val="auto"/>
          <w:sz w:val="32"/>
          <w:szCs w:val="32"/>
        </w:rPr>
        <w:t>房屋面积</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平方米</w:t>
      </w:r>
      <w:r>
        <w:rPr>
          <w:rFonts w:hint="eastAsia" w:ascii="仿宋_GB2312" w:hAnsi="ˎ̥" w:eastAsia="仿宋_GB2312"/>
          <w:color w:val="auto"/>
          <w:sz w:val="32"/>
          <w:szCs w:val="32"/>
          <w:lang w:eastAsia="zh-CN"/>
        </w:rPr>
        <w:t>。</w:t>
      </w:r>
    </w:p>
    <w:p w14:paraId="1E9C756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olor w:val="auto"/>
          <w:sz w:val="32"/>
          <w:szCs w:val="32"/>
          <w:lang w:val="en-US" w:eastAsia="zh-CN"/>
        </w:rPr>
      </w:pPr>
      <w:r>
        <w:rPr>
          <w:rFonts w:hint="eastAsia" w:ascii="仿宋_GB2312" w:hAnsi="ˎ̥" w:eastAsia="仿宋_GB2312"/>
          <w:color w:val="auto"/>
          <w:sz w:val="32"/>
          <w:szCs w:val="32"/>
        </w:rPr>
        <w:t>本部门共有车辆</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辆，其中，副部（省）级及以上领导用车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辆、主要负责人用车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辆、机要通信用车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辆、应急保障用车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辆、执法执勤用车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辆、特种专业技术用车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辆、离退休干部服务用车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辆、其他用车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w:t>
      </w:r>
      <w:r>
        <w:rPr>
          <w:rFonts w:hint="eastAsia" w:ascii="仿宋_GB2312" w:hAnsi="ˎ̥" w:eastAsia="仿宋_GB2312"/>
          <w:color w:val="auto"/>
          <w:sz w:val="32"/>
          <w:szCs w:val="32"/>
          <w:lang w:val="en-US" w:eastAsia="zh-CN"/>
        </w:rPr>
        <w:t xml:space="preserve">     </w:t>
      </w:r>
    </w:p>
    <w:p w14:paraId="378F916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color w:val="auto"/>
          <w:sz w:val="32"/>
          <w:szCs w:val="32"/>
        </w:rPr>
        <w:t>单价100万元（含）以上设备（不含车辆）</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台（套）</w:t>
      </w:r>
      <w:r>
        <w:rPr>
          <w:rFonts w:hint="eastAsia" w:ascii="仿宋_GB2312" w:hAnsi="ˎ̥" w:eastAsia="仿宋_GB2312"/>
          <w:sz w:val="32"/>
          <w:szCs w:val="32"/>
        </w:rPr>
        <w:t>。</w:t>
      </w:r>
    </w:p>
    <w:p w14:paraId="0B1A3A0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上述国有资产占用情况相关数</w:t>
      </w:r>
      <w:r>
        <w:rPr>
          <w:rFonts w:hint="eastAsia" w:ascii="仿宋_GB2312" w:hAnsi="ˎ̥" w:eastAsia="仿宋_GB2312"/>
          <w:sz w:val="32"/>
          <w:szCs w:val="32"/>
          <w:lang w:val="en-US" w:eastAsia="zh-CN"/>
        </w:rPr>
        <w:t>据</w:t>
      </w:r>
      <w:r>
        <w:rPr>
          <w:rFonts w:hint="eastAsia" w:ascii="仿宋_GB2312" w:hAnsi="ˎ̥" w:eastAsia="仿宋_GB2312"/>
          <w:sz w:val="32"/>
          <w:szCs w:val="32"/>
        </w:rPr>
        <w:t>取自</w:t>
      </w:r>
      <w:r>
        <w:rPr>
          <w:rFonts w:hint="default" w:ascii="仿宋_GB2312" w:hAnsi="ˎ̥" w:eastAsia="仿宋_GB2312"/>
          <w:sz w:val="32"/>
          <w:szCs w:val="32"/>
          <w:lang w:val="en-US"/>
        </w:rPr>
        <w:t>2024</w:t>
      </w:r>
      <w:r>
        <w:rPr>
          <w:rFonts w:hint="eastAsia" w:ascii="仿宋_GB2312" w:hAnsi="ˎ̥" w:eastAsia="仿宋_GB2312"/>
          <w:sz w:val="32"/>
          <w:szCs w:val="32"/>
        </w:rPr>
        <w:t>年度部门决算F0</w:t>
      </w:r>
      <w:r>
        <w:rPr>
          <w:rFonts w:hint="default" w:ascii="仿宋_GB2312" w:hAnsi="ˎ̥" w:eastAsia="仿宋_GB2312"/>
          <w:sz w:val="32"/>
          <w:szCs w:val="32"/>
          <w:lang w:val="en-US"/>
        </w:rPr>
        <w:t>2</w:t>
      </w:r>
      <w:r>
        <w:rPr>
          <w:rFonts w:hint="eastAsia" w:ascii="仿宋_GB2312" w:hAnsi="ˎ̥" w:eastAsia="仿宋_GB2312"/>
          <w:sz w:val="32"/>
          <w:szCs w:val="32"/>
        </w:rPr>
        <w:t>表《预算支出相关信息表》、F03表《机构运行信息表》。）</w:t>
      </w:r>
    </w:p>
    <w:p w14:paraId="20F5AB17">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bookmarkStart w:id="113" w:name="_Toc8808_WPSOffice_Level1"/>
      <w:bookmarkStart w:id="114" w:name="_Toc4398_WPSOffice_Level1"/>
      <w:bookmarkStart w:id="115" w:name="_Toc11039_WPSOffice_Level1"/>
      <w:bookmarkStart w:id="116" w:name="_Toc17580_WPSOffice_Level1"/>
      <w:bookmarkStart w:id="117" w:name="_Toc15425_WPSOffice_Level1"/>
      <w:bookmarkStart w:id="118" w:name="_Toc8874_WPSOffice_Level1"/>
    </w:p>
    <w:p w14:paraId="7D7EA2AD">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r>
        <w:rPr>
          <w:rFonts w:hint="eastAsia" w:ascii="黑体" w:hAnsi="ˎ̥" w:eastAsia="黑体"/>
          <w:sz w:val="32"/>
          <w:szCs w:val="32"/>
        </w:rPr>
        <w:t>第四部分  名词解释</w:t>
      </w:r>
      <w:bookmarkEnd w:id="113"/>
      <w:bookmarkEnd w:id="114"/>
      <w:bookmarkEnd w:id="115"/>
      <w:bookmarkEnd w:id="116"/>
      <w:bookmarkEnd w:id="117"/>
      <w:bookmarkEnd w:id="118"/>
    </w:p>
    <w:p w14:paraId="20DF7197">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14:paraId="70B2D6DD">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财政拨款收入：指同级政府财政部门当年拨付的各类财政拨款。</w:t>
      </w:r>
    </w:p>
    <w:p w14:paraId="7CB0110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二、上级补助收入：指事业单位从主管部门和上级单位取得的非财政补助收入。</w:t>
      </w:r>
    </w:p>
    <w:p w14:paraId="615F44C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14:paraId="2DDD1A1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14:paraId="1C1D4A3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14:paraId="2FC801B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14:paraId="742CA95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14:paraId="28F678F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14:paraId="532391E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14:paraId="63B3F8D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14:paraId="0236745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14:paraId="72D5145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14:paraId="7314EBA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14:paraId="1ACBFEC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14:paraId="101C4972">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14:paraId="58E9525B">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sz w:val="32"/>
          <w:szCs w:val="32"/>
        </w:rPr>
        <w:t>十六、</w:t>
      </w:r>
      <w:r>
        <w:rPr>
          <w:rFonts w:ascii="仿宋_GB2312" w:hAnsi="ˎ̥" w:eastAsia="仿宋_GB2312"/>
          <w:sz w:val="32"/>
          <w:szCs w:val="32"/>
        </w:rPr>
        <w:t>支出功能分类：</w:t>
      </w:r>
    </w:p>
    <w:p w14:paraId="419A08C7">
      <w:pPr>
        <w:keepNext w:val="0"/>
        <w:keepLines w:val="0"/>
        <w:pageBreakBefore w:val="0"/>
        <w:widowControl w:val="0"/>
        <w:kinsoku/>
        <w:wordWrap/>
        <w:overflowPunct/>
        <w:topLinePunct w:val="0"/>
        <w:autoSpaceDE/>
        <w:autoSpaceDN/>
        <w:bidi w:val="0"/>
        <w:adjustRightInd/>
        <w:snapToGrid/>
        <w:spacing w:line="578" w:lineRule="exact"/>
        <w:textAlignment w:val="auto"/>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支出功能分类的名词解释，各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单位根据实际支出情况填列，可参阅财政部印发的《</w:t>
      </w:r>
      <w:r>
        <w:rPr>
          <w:rFonts w:hint="default" w:ascii="仿宋_GB2312" w:hAnsi="ˎ̥" w:eastAsia="仿宋_GB2312"/>
          <w:sz w:val="32"/>
          <w:szCs w:val="32"/>
          <w:lang w:val="en-US"/>
        </w:rPr>
        <w:t>2024</w:t>
      </w:r>
      <w:r>
        <w:rPr>
          <w:rFonts w:hint="eastAsia" w:ascii="仿宋_GB2312" w:hAnsi="ˎ̥" w:eastAsia="仿宋_GB2312"/>
          <w:sz w:val="32"/>
          <w:szCs w:val="32"/>
        </w:rPr>
        <w:t>年政府收支分类科目》</w:t>
      </w:r>
      <w:r>
        <w:rPr>
          <w:rFonts w:hint="eastAsia" w:ascii="仿宋_GB2312" w:hAnsi="ˎ̥" w:eastAsia="仿宋_GB2312"/>
          <w:sz w:val="32"/>
          <w:szCs w:val="32"/>
          <w:lang w:eastAsia="zh-CN"/>
        </w:rPr>
        <w:t>。</w:t>
      </w:r>
      <w:r>
        <w:rPr>
          <w:rFonts w:hint="eastAsia" w:ascii="仿宋_GB2312" w:hAnsi="ˎ̥" w:eastAsia="仿宋_GB2312"/>
          <w:sz w:val="32"/>
          <w:szCs w:val="32"/>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29E08A">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14:paraId="1BD1ED87">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6F60F">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14:paraId="07FD915D">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66418E57"/>
    <w:multiLevelType w:val="singleLevel"/>
    <w:tmpl w:val="66418E57"/>
    <w:lvl w:ilvl="0" w:tentative="0">
      <w:start w:val="1"/>
      <w:numFmt w:val="decimal"/>
      <w:lvlText w:val="%1."/>
      <w:lvlJc w:val="left"/>
      <w:pPr>
        <w:tabs>
          <w:tab w:val="left" w:pos="312"/>
        </w:tabs>
      </w:pPr>
    </w:lvl>
  </w:abstractNum>
  <w:abstractNum w:abstractNumId="2">
    <w:nsid w:val="72109F8D"/>
    <w:multiLevelType w:val="singleLevel"/>
    <w:tmpl w:val="72109F8D"/>
    <w:lvl w:ilvl="0" w:tentative="0">
      <w:start w:val="7"/>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9201287"/>
    <w:rsid w:val="095B268F"/>
    <w:rsid w:val="0F7C218A"/>
    <w:rsid w:val="0FC80124"/>
    <w:rsid w:val="136F98C7"/>
    <w:rsid w:val="13EC7D20"/>
    <w:rsid w:val="17427E68"/>
    <w:rsid w:val="1755065F"/>
    <w:rsid w:val="1AFC29C9"/>
    <w:rsid w:val="1CA52F2E"/>
    <w:rsid w:val="1E3630B9"/>
    <w:rsid w:val="21A16B33"/>
    <w:rsid w:val="26EEC2B5"/>
    <w:rsid w:val="29472309"/>
    <w:rsid w:val="2B406E77"/>
    <w:rsid w:val="2C2A0C43"/>
    <w:rsid w:val="2C447E50"/>
    <w:rsid w:val="2D1E73A5"/>
    <w:rsid w:val="32717154"/>
    <w:rsid w:val="328B29A8"/>
    <w:rsid w:val="34B63260"/>
    <w:rsid w:val="36180DD9"/>
    <w:rsid w:val="37FDA7E2"/>
    <w:rsid w:val="3A314D88"/>
    <w:rsid w:val="3A746883"/>
    <w:rsid w:val="3CA15DE9"/>
    <w:rsid w:val="3FE61EE5"/>
    <w:rsid w:val="406508EE"/>
    <w:rsid w:val="408D6263"/>
    <w:rsid w:val="41B40CEE"/>
    <w:rsid w:val="48317291"/>
    <w:rsid w:val="485F7024"/>
    <w:rsid w:val="48E70666"/>
    <w:rsid w:val="4C6877E5"/>
    <w:rsid w:val="4D6A468D"/>
    <w:rsid w:val="4E6B60C8"/>
    <w:rsid w:val="4EA86137"/>
    <w:rsid w:val="50E83041"/>
    <w:rsid w:val="56CA7FD0"/>
    <w:rsid w:val="57FA38D1"/>
    <w:rsid w:val="5C1E5E58"/>
    <w:rsid w:val="5F7D3333"/>
    <w:rsid w:val="61385890"/>
    <w:rsid w:val="687436E1"/>
    <w:rsid w:val="6DA45C50"/>
    <w:rsid w:val="6E9A7825"/>
    <w:rsid w:val="6F670F9B"/>
    <w:rsid w:val="737450E0"/>
    <w:rsid w:val="74054476"/>
    <w:rsid w:val="742F38C4"/>
    <w:rsid w:val="74AB66DC"/>
    <w:rsid w:val="74C4154C"/>
    <w:rsid w:val="75956FFF"/>
    <w:rsid w:val="77AA2D01"/>
    <w:rsid w:val="7CDE1DBD"/>
    <w:rsid w:val="7D943A85"/>
    <w:rsid w:val="7DB0448C"/>
    <w:rsid w:val="7E3E0C91"/>
    <w:rsid w:val="7E5F9AA4"/>
    <w:rsid w:val="7E953327"/>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 w:type="paragraph" w:customStyle="1" w:styleId="18">
    <w:name w:val="列表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6932</Words>
  <Characters>7502</Characters>
  <Lines>67</Lines>
  <Paragraphs>18</Paragraphs>
  <TotalTime>18</TotalTime>
  <ScaleCrop>false</ScaleCrop>
  <LinksUpToDate>false</LinksUpToDate>
  <CharactersWithSpaces>7579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nkjj</cp:lastModifiedBy>
  <cp:lastPrinted>2023-08-03T00:58:00Z</cp:lastPrinted>
  <dcterms:modified xsi:type="dcterms:W3CDTF">2025-09-29T23:39:49Z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03AE7F14E2DC4BACB053764200FF950D_13</vt:lpwstr>
  </property>
  <property fmtid="{D5CDD505-2E9C-101B-9397-08002B2CF9AE}" pid="4" name="KSOTemplateDocerSaveRecord">
    <vt:lpwstr>eyJoZGlkIjoiN2M3NTE4YmMxOTAzYjJjYzlhZjM3MGIyNTE4NWYyNjkiLCJ1c2VySWQiOiI5MTkyODUwNDMifQ==</vt:lpwstr>
  </property>
</Properties>
</file>