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06A96">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三亚市海棠区红旗小学2024年度</w:t>
      </w:r>
      <w:bookmarkStart w:id="119" w:name="_GoBack"/>
      <w:bookmarkEnd w:id="119"/>
    </w:p>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部门决算公开报告</w:t>
      </w:r>
    </w:p>
    <w:p w14:paraId="6C2B2D3A">
      <w:pPr>
        <w:spacing w:line="578" w:lineRule="exact"/>
        <w:jc w:val="center"/>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10049_WPSOffice_Level1"/>
      <w:bookmarkStart w:id="3" w:name="_Toc10720_WPSOffice_Level1"/>
      <w:bookmarkStart w:id="4" w:name="_Toc23465_WPSOffice_Level1"/>
      <w:bookmarkStart w:id="5" w:name="_Toc32433_WPSOffice_Level1"/>
      <w:bookmarkStart w:id="6" w:name="_Toc22941_WPSOffice_Level1"/>
      <w:bookmarkStart w:id="7" w:name="_Toc1704_WPSOffice_Level1"/>
      <w:bookmarkStart w:id="8" w:name="_Toc24238_WPSOffice_Level2"/>
      <w:bookmarkStart w:id="9" w:name="_Toc20274_WPSOffice_Level2"/>
      <w:bookmarkStart w:id="10" w:name="_Toc14159_WPSOffice_Level2"/>
      <w:bookmarkStart w:id="11" w:name="_Toc32622_WPSOffice_Level2"/>
      <w:bookmarkStart w:id="12" w:name="_Toc26580_WPSOffice_Level2"/>
      <w:bookmarkStart w:id="13" w:name="_Toc20205_WPSOffice_Level2"/>
    </w:p>
    <w:p w14:paraId="13495E08">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9DE4DDD">
      <w:pPr>
        <w:spacing w:line="578" w:lineRule="exact"/>
        <w:ind w:firstLine="640" w:firstLineChars="200"/>
        <w:rPr>
          <w:rFonts w:hint="eastAsia" w:ascii="楷体" w:hAnsi="楷体" w:eastAsia="楷体" w:cs="楷体"/>
          <w:sz w:val="32"/>
          <w:szCs w:val="32"/>
        </w:rPr>
      </w:pPr>
    </w:p>
    <w:p w14:paraId="4A3D8885">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4C8DFEE0">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三亚市海棠区红旗小学是全额拨款事业单位。其主要职责：实施小学义务教育，促进基础教育发展，以抓教学管理形式成自身特色为基础，深化教育改革，全面推进素质教育，把学校建设为规范化，标准化的新典学校。</w:t>
      </w:r>
    </w:p>
    <w:p w14:paraId="0680DACE">
      <w:pPr>
        <w:spacing w:line="578" w:lineRule="exact"/>
        <w:ind w:firstLine="640" w:firstLineChars="200"/>
        <w:rPr>
          <w:rFonts w:hint="eastAsia" w:ascii="黑体" w:hAnsi="黑体" w:eastAsia="黑体" w:cs="黑体"/>
          <w:sz w:val="32"/>
          <w:szCs w:val="32"/>
        </w:rPr>
      </w:pPr>
      <w:bookmarkStart w:id="14" w:name="_Toc24474_WPSOffice_Level2"/>
      <w:bookmarkStart w:id="15" w:name="_Toc6572_WPSOffice_Level2"/>
      <w:bookmarkStart w:id="16" w:name="_Toc24059_WPSOffice_Level2"/>
      <w:bookmarkStart w:id="17" w:name="_Toc4833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14:paraId="0D514C53">
      <w:pPr>
        <w:ind w:firstLine="640" w:firstLineChars="200"/>
        <w:rPr>
          <w:rFonts w:hint="eastAsia" w:ascii="仿宋_GB2312" w:hAnsi="ˎ̥" w:eastAsia="仿宋_GB2312"/>
          <w:sz w:val="32"/>
          <w:szCs w:val="32"/>
          <w:lang w:eastAsia="zh-CN"/>
        </w:rPr>
      </w:pPr>
      <w:bookmarkStart w:id="19" w:name="_Toc6234_WPSOffice_Level1"/>
      <w:bookmarkStart w:id="20" w:name="_Toc30451_WPSOffice_Level1"/>
      <w:bookmarkStart w:id="21" w:name="_Toc8164_WPSOffice_Level1"/>
      <w:bookmarkStart w:id="22" w:name="_Toc28253_WPSOffice_Level1"/>
      <w:bookmarkStart w:id="23" w:name="_Toc15521_WPSOffice_Level1"/>
      <w:bookmarkStart w:id="24" w:name="_Toc30690_WPSOffice_Level1"/>
      <w:bookmarkStart w:id="25" w:name="_Toc6211_WPSOffice_Level2"/>
      <w:bookmarkStart w:id="26" w:name="_Toc11518_WPSOffice_Level2"/>
      <w:bookmarkStart w:id="27" w:name="_Toc4029_WPSOffice_Level2"/>
      <w:bookmarkStart w:id="28" w:name="_Toc32695_WPSOffice_Level2"/>
      <w:bookmarkStart w:id="29" w:name="_Toc32472_WPSOffice_Level2"/>
      <w:bookmarkStart w:id="30" w:name="_Toc8867_WPSOffice_Level2"/>
      <w:r>
        <w:rPr>
          <w:rFonts w:hint="eastAsia" w:ascii="仿宋_GB2312" w:hAnsi="ˎ̥" w:eastAsia="仿宋_GB2312"/>
          <w:sz w:val="32"/>
          <w:szCs w:val="32"/>
          <w:lang w:eastAsia="zh-CN"/>
        </w:rPr>
        <w:t>内设机构。</w:t>
      </w:r>
    </w:p>
    <w:p w14:paraId="4F36F94F">
      <w:pPr>
        <w:spacing w:line="578" w:lineRule="exact"/>
        <w:jc w:val="center"/>
        <w:rPr>
          <w:rFonts w:hint="eastAsia" w:ascii="黑体" w:hAnsi="ˎ̥" w:eastAsia="黑体"/>
          <w:sz w:val="32"/>
          <w:szCs w:val="32"/>
        </w:rPr>
      </w:pPr>
    </w:p>
    <w:p w14:paraId="5ABA64D5">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sz w:val="32"/>
          <w:szCs w:val="32"/>
        </w:rPr>
      </w:pPr>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1" w:name="_Toc25608_WPSOffice_Level2"/>
      <w:bookmarkStart w:id="32" w:name="_Toc23139_WPSOffice_Level2"/>
      <w:bookmarkStart w:id="33" w:name="_Toc26621_WPSOffice_Level2"/>
      <w:bookmarkStart w:id="34" w:name="_Toc14349_WPSOffice_Level2"/>
      <w:bookmarkStart w:id="35" w:name="_Toc28622_WPSOffice_Level2"/>
      <w:bookmarkStart w:id="36" w:name="_Toc30334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4658_WPSOffice_Level2"/>
      <w:bookmarkStart w:id="39" w:name="_Toc13854_WPSOffice_Level2"/>
      <w:bookmarkStart w:id="40" w:name="_Toc5489_WPSOffice_Level2"/>
      <w:bookmarkStart w:id="41" w:name="_Toc17858_WPSOffice_Level2"/>
      <w:bookmarkStart w:id="42" w:name="_Toc3262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493_WPSOffice_Level2"/>
      <w:bookmarkStart w:id="44" w:name="_Toc21415_WPSOffice_Level2"/>
      <w:bookmarkStart w:id="45" w:name="_Toc4265_WPSOffice_Level2"/>
      <w:bookmarkStart w:id="46" w:name="_Toc13701_WPSOffice_Level2"/>
      <w:bookmarkStart w:id="47" w:name="_Toc7988_WPSOffice_Level2"/>
      <w:bookmarkStart w:id="48" w:name="_Toc23591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sz w:val="32"/>
          <w:szCs w:val="32"/>
        </w:rPr>
      </w:pPr>
      <w:bookmarkStart w:id="49" w:name="_Toc22783_WPSOffice_Level2"/>
      <w:bookmarkStart w:id="50" w:name="_Toc23829_WPSOffice_Level2"/>
      <w:bookmarkStart w:id="51" w:name="_Toc25166_WPSOffice_Level2"/>
      <w:bookmarkStart w:id="52" w:name="_Toc787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25362_WPSOffice_Level2"/>
      <w:bookmarkStart w:id="57" w:name="_Toc5343_WPSOffice_Level2"/>
      <w:bookmarkStart w:id="58" w:name="_Toc17833_WPSOffice_Level2"/>
      <w:bookmarkStart w:id="59" w:name="_Toc8373_WPSOffice_Level2"/>
      <w:bookmarkStart w:id="60" w:name="_Toc2632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13345_WPSOffice_Level2"/>
      <w:bookmarkStart w:id="63" w:name="_Toc6020_WPSOffice_Level2"/>
      <w:bookmarkStart w:id="64" w:name="_Toc1533_WPSOffice_Level2"/>
      <w:bookmarkStart w:id="65" w:name="_Toc21310_WPSOffice_Level2"/>
      <w:bookmarkStart w:id="66" w:name="_Toc5594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752E8721">
      <w:pPr>
        <w:spacing w:line="578" w:lineRule="exact"/>
        <w:ind w:firstLine="640"/>
        <w:rPr>
          <w:rFonts w:hint="eastAsia" w:ascii="仿宋" w:hAnsi="仿宋" w:eastAsia="仿宋" w:cs="仿宋"/>
          <w:w w:val="100"/>
          <w:sz w:val="32"/>
          <w:szCs w:val="32"/>
        </w:rPr>
      </w:pPr>
      <w:bookmarkStart w:id="67" w:name="_Toc9377_WPSOffice_Level2"/>
      <w:bookmarkStart w:id="68" w:name="_Toc29886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r>
        <w:rPr>
          <w:rFonts w:hint="eastAsia" w:ascii="仿宋" w:hAnsi="仿宋" w:eastAsia="仿宋" w:cs="仿宋"/>
          <w:w w:val="100"/>
          <w:sz w:val="32"/>
          <w:szCs w:val="32"/>
        </w:rPr>
        <w:t xml:space="preserve">   </w:t>
      </w:r>
    </w:p>
    <w:p w14:paraId="5B482E07">
      <w:pPr>
        <w:spacing w:line="578" w:lineRule="exact"/>
        <w:rPr>
          <w:rFonts w:hint="eastAsia" w:ascii="黑体" w:hAnsi="黑体" w:eastAsia="黑体" w:cs="黑体"/>
          <w:sz w:val="32"/>
          <w:szCs w:val="32"/>
        </w:rPr>
      </w:pPr>
    </w:p>
    <w:p w14:paraId="31BF6332">
      <w:pPr>
        <w:spacing w:line="578" w:lineRule="exact"/>
        <w:jc w:val="center"/>
        <w:rPr>
          <w:rFonts w:hint="eastAsia" w:ascii="黑体" w:hAnsi="ˎ̥" w:eastAsia="黑体"/>
          <w:sz w:val="32"/>
          <w:szCs w:val="32"/>
        </w:rPr>
      </w:pPr>
      <w:bookmarkStart w:id="71" w:name="_Toc29683_WPSOffice_Level1"/>
      <w:bookmarkStart w:id="72" w:name="_Toc27590_WPSOffice_Level1"/>
      <w:bookmarkStart w:id="73" w:name="_Toc31264_WPSOffice_Level1"/>
      <w:bookmarkStart w:id="74" w:name="_Toc16686_WPSOffice_Level1"/>
      <w:bookmarkStart w:id="75" w:name="_Toc4402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sz w:val="32"/>
          <w:szCs w:val="32"/>
        </w:rPr>
      </w:pPr>
    </w:p>
    <w:p w14:paraId="0059FAF2">
      <w:pPr>
        <w:numPr>
          <w:ilvl w:val="0"/>
          <w:numId w:val="0"/>
        </w:numPr>
        <w:ind w:firstLine="640" w:firstLineChars="200"/>
        <w:rPr>
          <w:rFonts w:hint="eastAsia"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552.67</w:t>
      </w:r>
      <w:r>
        <w:rPr>
          <w:rFonts w:hint="eastAsia" w:ascii="仿宋_GB2312" w:hAnsi="ˎ̥" w:eastAsia="仿宋_GB2312"/>
          <w:sz w:val="32"/>
          <w:szCs w:val="32"/>
        </w:rPr>
        <w:t>万元，支出总计</w:t>
      </w:r>
      <w:r>
        <w:rPr>
          <w:rFonts w:hint="default" w:ascii="仿宋_GB2312" w:hAnsi="ˎ̥" w:eastAsia="仿宋_GB2312"/>
          <w:color w:val="auto"/>
          <w:sz w:val="32"/>
          <w:szCs w:val="32"/>
          <w:lang w:val="en-US"/>
        </w:rPr>
        <w:t>552.67</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3.18</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0.58</w:t>
      </w:r>
      <w:r>
        <w:rPr>
          <w:rFonts w:hint="eastAsia" w:ascii="仿宋_GB2312" w:hAnsi="ˎ̥" w:eastAsia="仿宋_GB2312"/>
          <w:sz w:val="32"/>
          <w:szCs w:val="32"/>
        </w:rPr>
        <w:t>%。主要原因：</w:t>
      </w:r>
      <w:r>
        <w:rPr>
          <w:rFonts w:hint="eastAsia" w:ascii="仿宋_GB2312" w:hAnsi="ˎ̥" w:eastAsia="仿宋_GB2312"/>
          <w:color w:val="auto"/>
          <w:sz w:val="32"/>
          <w:szCs w:val="32"/>
        </w:rPr>
        <w:t>一是</w:t>
      </w:r>
      <w:r>
        <w:rPr>
          <w:rFonts w:hint="eastAsia" w:ascii="仿宋_GB2312" w:hAnsi="ˎ̥" w:eastAsia="仿宋_GB2312"/>
          <w:color w:val="auto"/>
          <w:sz w:val="32"/>
          <w:szCs w:val="32"/>
          <w:lang w:eastAsia="zh-CN"/>
        </w:rPr>
        <w:t>基本支出比上年增加</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商品和服务</w:t>
      </w:r>
      <w:r>
        <w:rPr>
          <w:rFonts w:hint="eastAsia" w:ascii="仿宋_GB2312" w:hAnsi="ˎ̥" w:eastAsia="仿宋_GB2312"/>
          <w:color w:val="auto"/>
          <w:sz w:val="32"/>
          <w:szCs w:val="32"/>
          <w:lang w:val="en-US" w:eastAsia="zh-CN"/>
        </w:rPr>
        <w:t>支出增加</w:t>
      </w:r>
      <w:r>
        <w:rPr>
          <w:rFonts w:hint="eastAsia" w:ascii="仿宋_GB2312" w:hAnsi="ˎ̥" w:eastAsia="仿宋_GB2312"/>
          <w:color w:val="auto"/>
          <w:sz w:val="32"/>
          <w:szCs w:val="32"/>
        </w:rPr>
        <w:t>。</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546.47</w:t>
      </w:r>
      <w:r>
        <w:rPr>
          <w:rFonts w:hint="eastAsia" w:ascii="仿宋_GB2312" w:hAnsi="ˎ̥" w:eastAsia="仿宋_GB2312"/>
          <w:sz w:val="32"/>
          <w:szCs w:val="32"/>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auto"/>
          <w:sz w:val="32"/>
          <w:szCs w:val="32"/>
          <w:lang w:val="en-US"/>
        </w:rPr>
        <w:t>6.20</w:t>
      </w:r>
      <w:r>
        <w:rPr>
          <w:rFonts w:hint="eastAsia" w:ascii="仿宋_GB2312" w:hAnsi="ˎ̥" w:eastAsia="仿宋_GB2312"/>
          <w:sz w:val="32"/>
          <w:szCs w:val="32"/>
        </w:rPr>
        <w:t>万元，主要是</w:t>
      </w:r>
      <w:r>
        <w:rPr>
          <w:rFonts w:hint="eastAsia" w:ascii="仿宋" w:hAnsi="仿宋" w:eastAsia="仿宋" w:cs="仿宋"/>
          <w:sz w:val="32"/>
          <w:szCs w:val="32"/>
          <w:highlight w:val="none"/>
          <w:lang w:eastAsia="zh-CN"/>
        </w:rPr>
        <w:t>上年</w:t>
      </w:r>
      <w:r>
        <w:rPr>
          <w:rFonts w:hint="eastAsia" w:ascii="仿宋" w:hAnsi="仿宋" w:eastAsia="仿宋" w:cs="仿宋"/>
          <w:sz w:val="32"/>
          <w:szCs w:val="32"/>
          <w:highlight w:val="none"/>
        </w:rPr>
        <w:t>结转结余形成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546.47</w:t>
      </w:r>
      <w:r>
        <w:rPr>
          <w:rFonts w:hint="eastAsia" w:ascii="仿宋_GB2312" w:hAnsi="ˎ̥" w:eastAsia="仿宋_GB2312"/>
          <w:sz w:val="32"/>
          <w:szCs w:val="32"/>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000000" w:themeColor="text1"/>
          <w:sz w:val="32"/>
          <w:szCs w:val="32"/>
          <w14:textFill>
            <w14:solidFill>
              <w14:schemeClr w14:val="tx1"/>
            </w14:solidFill>
          </w14:textFill>
        </w:rPr>
        <w:t>。</w:t>
      </w:r>
    </w:p>
    <w:p w14:paraId="5ABFB0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auto"/>
          <w:sz w:val="32"/>
          <w:szCs w:val="32"/>
          <w:lang w:val="en-US"/>
        </w:rPr>
        <w:t>6.20</w:t>
      </w:r>
      <w:r>
        <w:rPr>
          <w:rFonts w:hint="eastAsia" w:ascii="仿宋_GB2312" w:hAnsi="ˎ̥" w:eastAsia="仿宋_GB2312"/>
          <w:sz w:val="32"/>
          <w:szCs w:val="32"/>
        </w:rPr>
        <w:t>万元，</w:t>
      </w:r>
      <w:r>
        <w:rPr>
          <w:rFonts w:hint="eastAsia" w:ascii="仿宋_GB2312" w:hAnsi="ˎ̥" w:eastAsia="仿宋_GB2312"/>
          <w:color w:val="auto"/>
          <w:sz w:val="32"/>
          <w:szCs w:val="32"/>
          <w:lang w:eastAsia="zh-CN"/>
        </w:rPr>
        <w:t>主要是教育支出、社会保障和就业支出、卫生健康支出</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3B02073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auto"/>
          <w:sz w:val="32"/>
          <w:szCs w:val="32"/>
          <w:lang w:val="en-US"/>
        </w:rPr>
        <w:t>546.47</w:t>
      </w:r>
      <w:r>
        <w:rPr>
          <w:rFonts w:hint="eastAsia" w:ascii="仿宋_GB2312" w:hAnsi="ˎ̥" w:eastAsia="仿宋_GB2312"/>
          <w:sz w:val="32"/>
          <w:szCs w:val="32"/>
        </w:rPr>
        <w:t>万元，其中：财政拨款收入</w:t>
      </w:r>
      <w:r>
        <w:rPr>
          <w:rFonts w:hint="default" w:ascii="仿宋_GB2312" w:hAnsi="ˎ̥" w:eastAsia="仿宋_GB2312"/>
          <w:color w:val="auto"/>
          <w:sz w:val="32"/>
          <w:szCs w:val="32"/>
          <w:lang w:val="en-US"/>
        </w:rPr>
        <w:t>531.08</w:t>
      </w:r>
      <w:r>
        <w:rPr>
          <w:rFonts w:hint="eastAsia" w:ascii="仿宋_GB2312" w:hAnsi="ˎ̥" w:eastAsia="仿宋_GB2312"/>
          <w:sz w:val="32"/>
          <w:szCs w:val="32"/>
        </w:rPr>
        <w:t>万元，占</w:t>
      </w:r>
      <w:r>
        <w:rPr>
          <w:rFonts w:hint="eastAsia" w:ascii="仿宋_GB2312" w:hAnsi="ˎ̥" w:eastAsia="仿宋_GB2312"/>
          <w:sz w:val="32"/>
          <w:szCs w:val="32"/>
          <w:lang w:val="en-US" w:eastAsia="zh-CN"/>
        </w:rPr>
        <w:t>97.18</w:t>
      </w:r>
      <w:r>
        <w:rPr>
          <w:rFonts w:hint="eastAsia" w:ascii="仿宋_GB2312" w:hAnsi="ˎ̥" w:eastAsia="仿宋_GB2312"/>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auto"/>
          <w:sz w:val="32"/>
          <w:szCs w:val="32"/>
          <w:lang w:val="en-US"/>
        </w:rPr>
        <w:t>15.39</w:t>
      </w:r>
      <w:r>
        <w:rPr>
          <w:rFonts w:hint="eastAsia" w:ascii="仿宋_GB2312" w:hAnsi="ˎ̥" w:eastAsia="仿宋_GB2312"/>
          <w:sz w:val="32"/>
          <w:szCs w:val="32"/>
        </w:rPr>
        <w:t>万元，占</w:t>
      </w:r>
      <w:r>
        <w:rPr>
          <w:rFonts w:hint="eastAsia" w:ascii="仿宋_GB2312" w:hAnsi="ˎ̥" w:eastAsia="仿宋_GB2312"/>
          <w:sz w:val="32"/>
          <w:szCs w:val="32"/>
          <w:lang w:val="en-US" w:eastAsia="zh-CN"/>
        </w:rPr>
        <w:t>2.82</w:t>
      </w:r>
      <w:r>
        <w:rPr>
          <w:rFonts w:hint="eastAsia" w:ascii="仿宋_GB2312" w:hAnsi="ˎ̥" w:eastAsia="仿宋_GB2312"/>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546.47</w:t>
      </w:r>
      <w:r>
        <w:rPr>
          <w:rFonts w:hint="eastAsia" w:ascii="仿宋_GB2312" w:hAnsi="ˎ̥" w:eastAsia="仿宋_GB2312"/>
          <w:sz w:val="32"/>
          <w:szCs w:val="32"/>
        </w:rPr>
        <w:t>万元，其中：基本支出</w:t>
      </w:r>
      <w:r>
        <w:rPr>
          <w:rFonts w:hint="default" w:ascii="仿宋_GB2312" w:hAnsi="ˎ̥" w:eastAsia="仿宋_GB2312"/>
          <w:color w:val="auto"/>
          <w:sz w:val="32"/>
          <w:szCs w:val="32"/>
          <w:lang w:val="en-US"/>
        </w:rPr>
        <w:t>346.88</w:t>
      </w:r>
      <w:r>
        <w:rPr>
          <w:rFonts w:hint="eastAsia" w:ascii="仿宋_GB2312" w:hAnsi="ˎ̥" w:eastAsia="仿宋_GB2312"/>
          <w:sz w:val="32"/>
          <w:szCs w:val="32"/>
        </w:rPr>
        <w:t>万元，占</w:t>
      </w:r>
      <w:r>
        <w:rPr>
          <w:rFonts w:hint="eastAsia" w:ascii="仿宋_GB2312" w:hAnsi="ˎ̥" w:eastAsia="仿宋_GB2312"/>
          <w:sz w:val="32"/>
          <w:szCs w:val="32"/>
          <w:lang w:val="en-US" w:eastAsia="zh-CN"/>
        </w:rPr>
        <w:t>63.48</w:t>
      </w:r>
      <w:r>
        <w:rPr>
          <w:rFonts w:hint="eastAsia" w:ascii="仿宋_GB2312" w:hAnsi="ˎ̥" w:eastAsia="仿宋_GB2312"/>
          <w:sz w:val="32"/>
          <w:szCs w:val="32"/>
        </w:rPr>
        <w:t>%；项目支出</w:t>
      </w:r>
      <w:r>
        <w:rPr>
          <w:rFonts w:hint="default" w:ascii="仿宋_GB2312" w:hAnsi="ˎ̥" w:eastAsia="仿宋_GB2312"/>
          <w:color w:val="auto"/>
          <w:sz w:val="32"/>
          <w:szCs w:val="32"/>
          <w:lang w:val="en-US"/>
        </w:rPr>
        <w:t>199.59</w:t>
      </w:r>
      <w:r>
        <w:rPr>
          <w:rFonts w:hint="eastAsia" w:ascii="仿宋_GB2312" w:hAnsi="ˎ̥" w:eastAsia="仿宋_GB2312"/>
          <w:sz w:val="32"/>
          <w:szCs w:val="32"/>
        </w:rPr>
        <w:t>万元，占</w:t>
      </w:r>
      <w:r>
        <w:rPr>
          <w:rFonts w:hint="eastAsia" w:ascii="仿宋_GB2312" w:hAnsi="ˎ̥" w:eastAsia="仿宋_GB2312"/>
          <w:sz w:val="32"/>
          <w:szCs w:val="32"/>
          <w:lang w:val="en-US" w:eastAsia="zh-CN"/>
        </w:rPr>
        <w:t>36.52</w:t>
      </w:r>
      <w:r>
        <w:rPr>
          <w:rFonts w:hint="eastAsia" w:ascii="仿宋_GB2312" w:hAnsi="ˎ̥" w:eastAsia="仿宋_GB2312"/>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auto"/>
          <w:sz w:val="32"/>
          <w:szCs w:val="32"/>
          <w:lang w:val="en-US"/>
        </w:rPr>
        <w:t>531.08</w:t>
      </w:r>
      <w:r>
        <w:rPr>
          <w:rFonts w:hint="eastAsia" w:ascii="仿宋_GB2312" w:hAnsi="ˎ̥" w:eastAsia="仿宋_GB2312"/>
          <w:sz w:val="32"/>
          <w:szCs w:val="32"/>
        </w:rPr>
        <w:t>万元，支出</w:t>
      </w:r>
      <w:r>
        <w:rPr>
          <w:rFonts w:hint="default" w:ascii="仿宋_GB2312" w:hAnsi="ˎ̥" w:eastAsia="仿宋_GB2312"/>
          <w:color w:val="auto"/>
          <w:sz w:val="32"/>
          <w:szCs w:val="32"/>
          <w:lang w:val="en-US"/>
        </w:rPr>
        <w:t>531.08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14.45</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2.80</w:t>
      </w:r>
      <w:r>
        <w:rPr>
          <w:rFonts w:hint="eastAsia" w:ascii="仿宋_GB2312" w:hAnsi="ˎ̥" w:eastAsia="仿宋_GB2312"/>
          <w:sz w:val="32"/>
          <w:szCs w:val="32"/>
        </w:rPr>
        <w:t>%，主要原因：</w:t>
      </w:r>
      <w:r>
        <w:rPr>
          <w:rFonts w:hint="eastAsia" w:ascii="仿宋_GB2312" w:hAnsi="ˎ̥" w:eastAsia="仿宋_GB2312"/>
          <w:color w:val="auto"/>
          <w:sz w:val="32"/>
          <w:szCs w:val="32"/>
          <w:lang w:eastAsia="zh-CN"/>
        </w:rPr>
        <w:t>一是基本支出增加</w:t>
      </w:r>
      <w:r>
        <w:rPr>
          <w:rFonts w:hint="eastAsia" w:ascii="仿宋_GB2312" w:hAnsi="ˎ̥" w:eastAsia="仿宋_GB2312"/>
          <w:color w:val="auto"/>
          <w:sz w:val="32"/>
          <w:szCs w:val="32"/>
          <w:lang w:val="en-US" w:eastAsia="zh-CN"/>
        </w:rPr>
        <w:t>,二是项目支出</w:t>
      </w:r>
      <w:r>
        <w:rPr>
          <w:rFonts w:hint="eastAsia" w:ascii="仿宋_GB2312" w:hAnsi="ˎ̥" w:eastAsia="仿宋_GB2312"/>
          <w:color w:val="auto"/>
          <w:sz w:val="32"/>
          <w:szCs w:val="32"/>
          <w:lang w:eastAsia="zh-CN"/>
        </w:rPr>
        <w:t>增加</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支出增加</w:t>
      </w:r>
      <w:r>
        <w:rPr>
          <w:rFonts w:hint="eastAsia" w:ascii="仿宋_GB2312" w:hAnsi="ˎ̥" w:eastAsia="仿宋_GB2312"/>
          <w:sz w:val="32"/>
          <w:szCs w:val="32"/>
          <w:lang w:val="en-US" w:eastAsia="zh-CN"/>
        </w:rPr>
        <w:t>14.45</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2.8</w:t>
      </w:r>
      <w:r>
        <w:rPr>
          <w:rFonts w:hint="eastAsia" w:ascii="仿宋_GB2312" w:hAnsi="ˎ̥" w:eastAsia="仿宋_GB2312"/>
          <w:sz w:val="32"/>
          <w:szCs w:val="32"/>
        </w:rPr>
        <w:t>%，主要原因：</w:t>
      </w:r>
      <w:r>
        <w:rPr>
          <w:rFonts w:hint="eastAsia" w:ascii="仿宋_GB2312" w:hAnsi="ˎ̥" w:eastAsia="仿宋_GB2312"/>
          <w:color w:val="auto"/>
          <w:sz w:val="32"/>
          <w:szCs w:val="32"/>
          <w:lang w:eastAsia="zh-CN"/>
        </w:rPr>
        <w:t>一是基本支出增加</w:t>
      </w:r>
      <w:r>
        <w:rPr>
          <w:rFonts w:hint="eastAsia" w:ascii="仿宋_GB2312" w:hAnsi="ˎ̥" w:eastAsia="仿宋_GB2312"/>
          <w:color w:val="auto"/>
          <w:sz w:val="32"/>
          <w:szCs w:val="32"/>
          <w:lang w:val="en-US" w:eastAsia="zh-CN"/>
        </w:rPr>
        <w:t>,二是项目支出</w:t>
      </w:r>
      <w:r>
        <w:rPr>
          <w:rFonts w:hint="eastAsia" w:ascii="仿宋_GB2312" w:hAnsi="ˎ̥" w:eastAsia="仿宋_GB2312"/>
          <w:color w:val="auto"/>
          <w:sz w:val="32"/>
          <w:szCs w:val="32"/>
          <w:lang w:eastAsia="zh-CN"/>
        </w:rPr>
        <w:t>增加。</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604B14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9989_WPSOffice_Level2"/>
      <w:bookmarkStart w:id="79" w:name="_Toc19665_WPSOffice_Level2"/>
      <w:bookmarkStart w:id="80" w:name="_Toc23005_WPSOffice_Level2"/>
      <w:bookmarkStart w:id="81" w:name="_Toc21737_WPSOffice_Level2"/>
      <w:bookmarkStart w:id="82" w:name="_Toc17398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7846D4C6">
      <w:pPr>
        <w:ind w:firstLine="640" w:firstLineChars="200"/>
        <w:rPr>
          <w:rFonts w:hint="eastAsia" w:ascii="仿宋_GB2312" w:hAnsi="ˎ̥" w:eastAsia="仿宋_GB2312"/>
          <w:color w:val="C00000"/>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517.26</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0.63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0.12</w:t>
      </w:r>
      <w:r>
        <w:rPr>
          <w:rFonts w:hint="eastAsia" w:ascii="仿宋_GB2312" w:hAnsi="ˎ̥" w:eastAsia="仿宋_GB2312"/>
          <w:sz w:val="32"/>
          <w:szCs w:val="32"/>
        </w:rPr>
        <w:t>%，</w:t>
      </w:r>
      <w:r>
        <w:rPr>
          <w:rFonts w:hint="eastAsia" w:ascii="仿宋_GB2312" w:hAnsi="ˎ̥" w:eastAsia="仿宋_GB2312"/>
          <w:color w:val="auto"/>
          <w:sz w:val="32"/>
          <w:szCs w:val="32"/>
          <w:lang w:eastAsia="zh-CN"/>
        </w:rPr>
        <w:t>一是基本支出增加</w:t>
      </w:r>
      <w:r>
        <w:rPr>
          <w:rFonts w:hint="eastAsia" w:ascii="仿宋_GB2312" w:hAnsi="ˎ̥" w:eastAsia="仿宋_GB2312"/>
          <w:color w:val="auto"/>
          <w:sz w:val="32"/>
          <w:szCs w:val="32"/>
          <w:lang w:val="en-US" w:eastAsia="zh-CN"/>
        </w:rPr>
        <w:t>,二是项目支出</w:t>
      </w:r>
      <w:r>
        <w:rPr>
          <w:rFonts w:hint="eastAsia" w:ascii="仿宋_GB2312" w:hAnsi="ˎ̥" w:eastAsia="仿宋_GB2312"/>
          <w:color w:val="auto"/>
          <w:sz w:val="32"/>
          <w:szCs w:val="32"/>
          <w:lang w:eastAsia="zh-CN"/>
        </w:rPr>
        <w:t>增加。</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711_WPSOffice_Level2"/>
      <w:bookmarkStart w:id="84" w:name="_Toc23864_WPSOffice_Level2"/>
      <w:bookmarkStart w:id="85" w:name="_Toc18793_WPSOffice_Level2"/>
      <w:bookmarkStart w:id="86" w:name="_Toc19075_WPSOffice_Level2"/>
      <w:bookmarkStart w:id="87" w:name="_Toc19535_WPSOffice_Level2"/>
      <w:bookmarkStart w:id="88" w:name="_Toc27767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7A0F4C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517.26</w:t>
      </w:r>
      <w:r>
        <w:rPr>
          <w:rFonts w:hint="eastAsia" w:ascii="仿宋_GB2312" w:hAnsi="ˎ̥" w:eastAsia="仿宋_GB2312"/>
          <w:sz w:val="32"/>
          <w:szCs w:val="32"/>
        </w:rPr>
        <w:t>万元，主要用于以下方面：</w:t>
      </w:r>
      <w:r>
        <w:rPr>
          <w:rFonts w:hint="eastAsia" w:ascii="仿宋_GB2312" w:hAnsi="ˎ̥" w:eastAsia="仿宋_GB2312"/>
          <w:sz w:val="32"/>
          <w:szCs w:val="32"/>
          <w:lang w:eastAsia="zh-CN"/>
        </w:rPr>
        <w:t>教育（类）支出39</w:t>
      </w:r>
      <w:r>
        <w:rPr>
          <w:rFonts w:hint="eastAsia" w:ascii="仿宋_GB2312" w:hAnsi="ˎ̥" w:eastAsia="仿宋_GB2312"/>
          <w:sz w:val="32"/>
          <w:szCs w:val="32"/>
          <w:lang w:val="en-US" w:eastAsia="zh-CN"/>
        </w:rPr>
        <w:t>4.14</w:t>
      </w:r>
      <w:r>
        <w:rPr>
          <w:rFonts w:hint="eastAsia" w:ascii="仿宋_GB2312" w:hAnsi="ˎ̥" w:eastAsia="仿宋_GB2312"/>
          <w:sz w:val="32"/>
          <w:szCs w:val="32"/>
          <w:lang w:eastAsia="zh-CN"/>
        </w:rPr>
        <w:t>万元，占</w:t>
      </w:r>
      <w:r>
        <w:rPr>
          <w:rFonts w:hint="eastAsia" w:ascii="仿宋_GB2312" w:hAnsi="ˎ̥" w:eastAsia="仿宋_GB2312"/>
          <w:sz w:val="32"/>
          <w:szCs w:val="32"/>
          <w:lang w:val="en-US" w:eastAsia="zh-CN"/>
        </w:rPr>
        <w:t>76.20</w:t>
      </w:r>
      <w:r>
        <w:rPr>
          <w:rFonts w:hint="eastAsia" w:ascii="仿宋_GB2312" w:hAnsi="ˎ̥" w:eastAsia="仿宋_GB2312"/>
          <w:sz w:val="32"/>
          <w:szCs w:val="32"/>
          <w:lang w:eastAsia="zh-CN"/>
        </w:rPr>
        <w:t>%；社会保障和就业（类）支出</w:t>
      </w:r>
      <w:r>
        <w:rPr>
          <w:rFonts w:hint="eastAsia" w:ascii="仿宋_GB2312" w:hAnsi="ˎ̥" w:eastAsia="仿宋_GB2312"/>
          <w:sz w:val="32"/>
          <w:szCs w:val="32"/>
          <w:lang w:val="en-US" w:eastAsia="zh-CN"/>
        </w:rPr>
        <w:t>64.23</w:t>
      </w:r>
      <w:r>
        <w:rPr>
          <w:rFonts w:hint="eastAsia" w:ascii="仿宋_GB2312" w:hAnsi="ˎ̥" w:eastAsia="仿宋_GB2312"/>
          <w:sz w:val="32"/>
          <w:szCs w:val="32"/>
          <w:lang w:eastAsia="zh-CN"/>
        </w:rPr>
        <w:t>万元，占</w:t>
      </w:r>
      <w:r>
        <w:rPr>
          <w:rFonts w:hint="eastAsia" w:ascii="仿宋_GB2312" w:hAnsi="ˎ̥" w:eastAsia="仿宋_GB2312"/>
          <w:sz w:val="32"/>
          <w:szCs w:val="32"/>
          <w:lang w:val="en-US" w:eastAsia="zh-CN"/>
        </w:rPr>
        <w:t>12.42</w:t>
      </w:r>
      <w:r>
        <w:rPr>
          <w:rFonts w:hint="eastAsia" w:ascii="仿宋_GB2312" w:hAnsi="ˎ̥" w:eastAsia="仿宋_GB2312"/>
          <w:sz w:val="32"/>
          <w:szCs w:val="32"/>
          <w:lang w:eastAsia="zh-CN"/>
        </w:rPr>
        <w:t>%；住房保障（类）支出2</w:t>
      </w:r>
      <w:r>
        <w:rPr>
          <w:rFonts w:hint="eastAsia" w:ascii="仿宋_GB2312" w:hAnsi="ˎ̥" w:eastAsia="仿宋_GB2312"/>
          <w:sz w:val="32"/>
          <w:szCs w:val="32"/>
          <w:lang w:val="en-US" w:eastAsia="zh-CN"/>
        </w:rPr>
        <w:t>3.08</w:t>
      </w:r>
      <w:r>
        <w:rPr>
          <w:rFonts w:hint="eastAsia" w:ascii="仿宋_GB2312" w:hAnsi="ˎ̥" w:eastAsia="仿宋_GB2312"/>
          <w:sz w:val="32"/>
          <w:szCs w:val="32"/>
          <w:lang w:eastAsia="zh-CN"/>
        </w:rPr>
        <w:t>万元，占</w:t>
      </w:r>
      <w:r>
        <w:rPr>
          <w:rFonts w:hint="eastAsia" w:ascii="仿宋_GB2312" w:hAnsi="ˎ̥" w:eastAsia="仿宋_GB2312"/>
          <w:sz w:val="32"/>
          <w:szCs w:val="32"/>
          <w:lang w:val="en-US" w:eastAsia="zh-CN"/>
        </w:rPr>
        <w:t>4.46</w:t>
      </w:r>
      <w:r>
        <w:rPr>
          <w:rFonts w:hint="eastAsia" w:ascii="仿宋_GB2312" w:hAnsi="ˎ̥" w:eastAsia="仿宋_GB2312"/>
          <w:sz w:val="32"/>
          <w:szCs w:val="32"/>
          <w:lang w:eastAsia="zh-CN"/>
        </w:rPr>
        <w:t>%；卫生健康（类）支出</w:t>
      </w:r>
      <w:r>
        <w:rPr>
          <w:rFonts w:hint="eastAsia" w:ascii="仿宋_GB2312" w:hAnsi="ˎ̥" w:eastAsia="仿宋_GB2312"/>
          <w:sz w:val="32"/>
          <w:szCs w:val="32"/>
          <w:lang w:val="en-US" w:eastAsia="zh-CN"/>
        </w:rPr>
        <w:t>35.81</w:t>
      </w:r>
      <w:r>
        <w:rPr>
          <w:rFonts w:hint="eastAsia" w:ascii="仿宋_GB2312" w:hAnsi="ˎ̥" w:eastAsia="仿宋_GB2312"/>
          <w:sz w:val="32"/>
          <w:szCs w:val="32"/>
          <w:lang w:eastAsia="zh-CN"/>
        </w:rPr>
        <w:t>万元，占</w:t>
      </w:r>
      <w:r>
        <w:rPr>
          <w:rFonts w:hint="eastAsia" w:ascii="仿宋_GB2312" w:hAnsi="ˎ̥" w:eastAsia="仿宋_GB2312"/>
          <w:sz w:val="32"/>
          <w:szCs w:val="32"/>
          <w:lang w:val="en-US" w:eastAsia="zh-CN"/>
        </w:rPr>
        <w:t>6.92</w:t>
      </w:r>
      <w:r>
        <w:rPr>
          <w:rFonts w:hint="eastAsia" w:ascii="仿宋_GB2312" w:hAnsi="ˎ̥" w:eastAsia="仿宋_GB2312"/>
          <w:sz w:val="32"/>
          <w:szCs w:val="32"/>
          <w:lang w:eastAsia="zh-CN"/>
        </w:rPr>
        <w:t>%</w:t>
      </w:r>
      <w:bookmarkStart w:id="89" w:name="_Toc22318_WPSOffice_Level2"/>
      <w:bookmarkStart w:id="90" w:name="_Toc21701_WPSOffice_Level2"/>
      <w:bookmarkStart w:id="91" w:name="_Toc25136_WPSOffice_Level2"/>
      <w:bookmarkStart w:id="92" w:name="_Toc29364_WPSOffice_Level2"/>
      <w:bookmarkStart w:id="93" w:name="_Toc15415_WPSOffice_Level2"/>
      <w:bookmarkStart w:id="94" w:name="_Toc9502_WPSOffice_Level2"/>
      <w:r>
        <w:rPr>
          <w:rFonts w:hint="eastAsia" w:ascii="仿宋_GB2312" w:hAnsi="ˎ̥" w:eastAsia="仿宋_GB2312"/>
          <w:sz w:val="32"/>
          <w:szCs w:val="32"/>
          <w:lang w:eastAsia="zh-CN"/>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517.26</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517.26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%。其中：</w:t>
      </w:r>
    </w:p>
    <w:p w14:paraId="7E60B009">
      <w:pPr>
        <w:ind w:firstLine="640" w:firstLineChars="200"/>
        <w:rPr>
          <w:rFonts w:hint="eastAsia" w:ascii="仿宋_GB2312" w:hAnsi="ˎ̥" w:eastAsia="仿宋_GB2312"/>
          <w:b/>
          <w:sz w:val="32"/>
          <w:szCs w:val="32"/>
        </w:rPr>
      </w:pPr>
      <w:r>
        <w:rPr>
          <w:rFonts w:hint="eastAsia" w:ascii="仿宋_GB2312" w:hAnsi="ˎ̥" w:eastAsia="仿宋_GB2312"/>
          <w:sz w:val="32"/>
          <w:szCs w:val="32"/>
          <w:lang w:val="en-US" w:eastAsia="zh-CN"/>
        </w:rPr>
        <w:t>1.</w:t>
      </w:r>
      <w:r>
        <w:rPr>
          <w:rFonts w:hint="eastAsia" w:ascii="仿宋_GB2312" w:hAnsi="ˎ̥" w:eastAsia="仿宋_GB2312"/>
          <w:b/>
          <w:sz w:val="32"/>
          <w:szCs w:val="32"/>
        </w:rPr>
        <w:t>教育支出（类）人大事务（款）行政运行（项）。</w:t>
      </w:r>
    </w:p>
    <w:p w14:paraId="4BECFF7A">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394.14</w:t>
      </w:r>
      <w:r>
        <w:rPr>
          <w:rFonts w:hint="eastAsia" w:ascii="仿宋_GB2312" w:hAnsi="ˎ̥" w:eastAsia="仿宋_GB2312"/>
          <w:color w:val="auto"/>
          <w:sz w:val="32"/>
          <w:szCs w:val="32"/>
        </w:rPr>
        <w:t>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394.14</w:t>
      </w:r>
      <w:r>
        <w:rPr>
          <w:rFonts w:hint="eastAsia" w:ascii="仿宋_GB2312" w:hAnsi="ˎ̥" w:eastAsia="仿宋_GB2312"/>
          <w:color w:val="auto"/>
          <w:sz w:val="32"/>
          <w:szCs w:val="32"/>
        </w:rPr>
        <w:t>万元</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4347DC8C">
      <w:pPr>
        <w:ind w:firstLine="643" w:firstLineChars="200"/>
        <w:rPr>
          <w:rFonts w:hint="eastAsia" w:ascii="仿宋_GB2312" w:hAnsi="ˎ̥" w:eastAsia="仿宋_GB2312"/>
          <w:b/>
          <w:sz w:val="32"/>
          <w:szCs w:val="32"/>
        </w:rPr>
      </w:pPr>
      <w:r>
        <w:rPr>
          <w:rFonts w:hint="eastAsia" w:ascii="仿宋_GB2312" w:hAnsi="ˎ̥" w:eastAsia="仿宋_GB2312"/>
          <w:b/>
          <w:bCs/>
          <w:sz w:val="32"/>
          <w:szCs w:val="32"/>
          <w:lang w:val="en-US" w:eastAsia="zh-CN"/>
        </w:rPr>
        <w:t>2.社会保障和就业支出</w:t>
      </w:r>
      <w:r>
        <w:rPr>
          <w:rFonts w:hint="eastAsia" w:ascii="仿宋_GB2312" w:hAnsi="ˎ̥" w:eastAsia="仿宋_GB2312"/>
          <w:b/>
          <w:sz w:val="32"/>
          <w:szCs w:val="32"/>
        </w:rPr>
        <w:t>（类）行政事业单位养老支出（款） 机关事业单位基本养老保险缴费支出（</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14:paraId="3CFC7851">
      <w:pPr>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64.23</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决算数为64.23</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14:paraId="3D044B0A">
      <w:pPr>
        <w:ind w:firstLine="643" w:firstLineChars="200"/>
        <w:rPr>
          <w:rFonts w:hint="eastAsia" w:ascii="仿宋_GB2312" w:hAnsi="ˎ̥" w:eastAsia="仿宋_GB2312"/>
          <w:b/>
          <w:sz w:val="32"/>
          <w:szCs w:val="32"/>
        </w:rPr>
      </w:pPr>
      <w:r>
        <w:rPr>
          <w:rFonts w:hint="eastAsia" w:ascii="仿宋_GB2312" w:hAnsi="ˎ̥" w:eastAsia="仿宋_GB2312"/>
          <w:b/>
          <w:bCs/>
          <w:sz w:val="32"/>
          <w:szCs w:val="32"/>
          <w:lang w:val="en-US" w:eastAsia="zh-CN"/>
        </w:rPr>
        <w:t>3.卫生健康支出</w:t>
      </w:r>
      <w:r>
        <w:rPr>
          <w:rFonts w:hint="eastAsia" w:ascii="仿宋_GB2312" w:hAnsi="ˎ̥" w:eastAsia="仿宋_GB2312"/>
          <w:b/>
          <w:sz w:val="32"/>
          <w:szCs w:val="32"/>
        </w:rPr>
        <w:t>（类）行政事业单位医疗（款）事业单位医疗（</w:t>
      </w:r>
      <w:r>
        <w:rPr>
          <w:rFonts w:hint="eastAsia" w:ascii="仿宋_GB2312" w:hAnsi="ˎ̥" w:eastAsia="仿宋_GB2312"/>
          <w:b/>
          <w:sz w:val="32"/>
          <w:szCs w:val="32"/>
          <w:lang w:eastAsia="zh-CN"/>
        </w:rPr>
        <w:t>项</w:t>
      </w:r>
      <w:r>
        <w:rPr>
          <w:rFonts w:hint="eastAsia" w:ascii="仿宋_GB2312" w:hAnsi="ˎ̥" w:eastAsia="仿宋_GB2312"/>
          <w:b/>
          <w:sz w:val="32"/>
          <w:szCs w:val="32"/>
        </w:rPr>
        <w:t>）</w:t>
      </w:r>
      <w:r>
        <w:rPr>
          <w:rFonts w:hint="eastAsia" w:ascii="仿宋_GB2312" w:hAnsi="ˎ̥" w:eastAsia="仿宋_GB2312"/>
          <w:b/>
          <w:sz w:val="32"/>
          <w:szCs w:val="32"/>
          <w:lang w:eastAsia="zh-CN"/>
        </w:rPr>
        <w:t>和</w:t>
      </w:r>
      <w:r>
        <w:rPr>
          <w:rFonts w:hint="eastAsia" w:ascii="仿宋_GB2312" w:hAnsi="ˎ̥" w:eastAsia="仿宋_GB2312"/>
          <w:b/>
          <w:sz w:val="32"/>
          <w:szCs w:val="32"/>
        </w:rPr>
        <w:t xml:space="preserve"> 公务员医疗补助（</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14:paraId="7F25FBBA">
      <w:pPr>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35.81</w:t>
      </w:r>
      <w:r>
        <w:rPr>
          <w:rFonts w:hint="eastAsia" w:ascii="仿宋_GB2312" w:hAnsi="ˎ̥" w:eastAsia="仿宋_GB2312"/>
          <w:color w:val="auto"/>
          <w:sz w:val="32"/>
          <w:szCs w:val="32"/>
          <w:lang w:eastAsia="zh-CN"/>
        </w:rPr>
        <w:t>万元</w:t>
      </w:r>
      <w:r>
        <w:rPr>
          <w:rFonts w:hint="eastAsia" w:ascii="仿宋_GB2312" w:hAnsi="ˎ̥" w:eastAsia="仿宋_GB2312"/>
          <w:color w:val="auto"/>
          <w:sz w:val="32"/>
          <w:szCs w:val="32"/>
          <w:lang w:val="en-US" w:eastAsia="zh-CN"/>
        </w:rPr>
        <w:t>，支出决算数35.81万元。</w:t>
      </w:r>
      <w:r>
        <w:rPr>
          <w:rFonts w:hint="eastAsia" w:ascii="仿宋_GB2312" w:hAnsi="ˎ̥" w:eastAsia="仿宋_GB2312"/>
          <w:color w:val="auto"/>
          <w:sz w:val="32"/>
          <w:szCs w:val="32"/>
        </w:rPr>
        <w:t>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14:paraId="699E88E8">
      <w:pPr>
        <w:numPr>
          <w:ilvl w:val="0"/>
          <w:numId w:val="0"/>
        </w:numPr>
        <w:ind w:firstLine="643" w:firstLineChars="200"/>
        <w:rPr>
          <w:rFonts w:hint="eastAsia" w:ascii="仿宋_GB2312" w:hAnsi="ˎ̥" w:eastAsia="仿宋_GB2312"/>
          <w:b/>
          <w:sz w:val="32"/>
          <w:szCs w:val="32"/>
        </w:rPr>
      </w:pPr>
      <w:r>
        <w:rPr>
          <w:rFonts w:hint="eastAsia" w:ascii="仿宋_GB2312" w:hAnsi="ˎ̥" w:eastAsia="仿宋_GB2312"/>
          <w:b/>
          <w:bCs/>
          <w:sz w:val="32"/>
          <w:szCs w:val="32"/>
          <w:lang w:val="en-US" w:eastAsia="zh-CN"/>
        </w:rPr>
        <w:t>4.住房保障支出</w:t>
      </w:r>
      <w:r>
        <w:rPr>
          <w:rFonts w:hint="eastAsia" w:ascii="仿宋_GB2312" w:hAnsi="ˎ̥" w:eastAsia="仿宋_GB2312"/>
          <w:b/>
          <w:sz w:val="32"/>
          <w:szCs w:val="32"/>
        </w:rPr>
        <w:t>（类）住房改革支出（款）住房公积金（</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14:paraId="0DD5F559">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23.08</w:t>
      </w:r>
      <w:r>
        <w:rPr>
          <w:rFonts w:hint="eastAsia" w:ascii="仿宋_GB2312" w:hAnsi="ˎ̥" w:eastAsia="仿宋_GB2312"/>
          <w:color w:val="auto"/>
          <w:sz w:val="32"/>
          <w:szCs w:val="32"/>
        </w:rPr>
        <w:t>万元</w:t>
      </w:r>
      <w:r>
        <w:rPr>
          <w:rFonts w:hint="eastAsia" w:ascii="仿宋_GB2312" w:hAnsi="ˎ̥" w:eastAsia="仿宋_GB2312"/>
          <w:sz w:val="32"/>
          <w:szCs w:val="32"/>
          <w:lang w:val="en-US" w:eastAsia="zh-CN"/>
        </w:rPr>
        <w:t>，支出决算数23.08</w:t>
      </w:r>
      <w:r>
        <w:rPr>
          <w:rFonts w:hint="eastAsia" w:ascii="仿宋_GB2312" w:hAnsi="ˎ̥" w:eastAsia="仿宋_GB2312"/>
          <w:color w:val="auto"/>
          <w:sz w:val="32"/>
          <w:szCs w:val="32"/>
        </w:rPr>
        <w:t>万元</w:t>
      </w:r>
      <w:r>
        <w:rPr>
          <w:rFonts w:hint="eastAsia" w:ascii="仿宋_GB2312" w:hAnsi="ˎ̥" w:eastAsia="仿宋_GB2312"/>
          <w:sz w:val="32"/>
          <w:szCs w:val="32"/>
          <w:lang w:val="en-US" w:eastAsia="zh-CN"/>
        </w:rPr>
        <w:t>。</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auto"/>
          <w:sz w:val="32"/>
          <w:szCs w:val="32"/>
          <w:lang w:val="en-US"/>
        </w:rPr>
        <w:t>346.88</w:t>
      </w:r>
      <w:r>
        <w:rPr>
          <w:rFonts w:hint="eastAsia" w:ascii="仿宋_GB2312" w:hAnsi="ˎ̥" w:eastAsia="仿宋_GB2312"/>
          <w:sz w:val="32"/>
          <w:szCs w:val="32"/>
        </w:rPr>
        <w:t>万元，其中：人员经费</w:t>
      </w:r>
      <w:r>
        <w:rPr>
          <w:rFonts w:ascii="仿宋_GB2312" w:hAnsi="ˎ̥" w:eastAsia="仿宋_GB2312"/>
          <w:color w:val="auto"/>
          <w:sz w:val="32"/>
          <w:szCs w:val="32"/>
          <w:lang w:val="en-US"/>
        </w:rPr>
        <w:t>326.63</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20.25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auto"/>
          <w:sz w:val="32"/>
          <w:szCs w:val="32"/>
          <w:lang w:val="en-US"/>
        </w:rPr>
        <w:t>13.82</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w:t>
      </w:r>
      <w:r>
        <w:rPr>
          <w:rFonts w:hint="eastAsia" w:ascii="仿宋_GB2312" w:hAnsi="ˎ̥" w:eastAsia="仿宋_GB2312"/>
          <w:sz w:val="32"/>
          <w:szCs w:val="32"/>
          <w:lang w:val="en-US" w:eastAsia="zh-CN"/>
        </w:rPr>
        <w:t>13.82</w:t>
      </w:r>
      <w:r>
        <w:rPr>
          <w:rFonts w:hint="eastAsia" w:ascii="仿宋_GB2312" w:hAnsi="ˎ̥" w:eastAsia="仿宋_GB2312"/>
          <w:sz w:val="32"/>
          <w:szCs w:val="32"/>
        </w:rPr>
        <w:t>万元</w:t>
      </w:r>
      <w:r>
        <w:rPr>
          <w:rFonts w:hint="eastAsia" w:ascii="仿宋_GB2312" w:hAnsi="ˎ̥" w:eastAsia="仿宋_GB2312"/>
          <w:color w:val="000000" w:themeColor="text1"/>
          <w:sz w:val="32"/>
          <w:szCs w:val="32"/>
          <w14:textFill>
            <w14:solidFill>
              <w14:schemeClr w14:val="tx1"/>
            </w14:solidFill>
          </w14:textFill>
        </w:rPr>
        <w:t>。</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7B5BDB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auto"/>
          <w:sz w:val="32"/>
          <w:szCs w:val="32"/>
          <w:lang w:val="en-US"/>
        </w:rPr>
        <w:t>13.82</w:t>
      </w:r>
      <w:r>
        <w:rPr>
          <w:rFonts w:hint="eastAsia" w:ascii="仿宋_GB2312" w:hAnsi="ˎ̥" w:eastAsia="仿宋_GB2312"/>
          <w:sz w:val="32"/>
          <w:szCs w:val="32"/>
        </w:rPr>
        <w:t>万元，主要用于以下方面：其他国有土地使用权出让收入安排的支出</w:t>
      </w:r>
      <w:r>
        <w:rPr>
          <w:rFonts w:hint="eastAsia" w:ascii="仿宋_GB2312" w:hAnsi="ˎ̥" w:eastAsia="仿宋_GB2312"/>
          <w:sz w:val="32"/>
          <w:szCs w:val="32"/>
          <w:lang w:val="en-US" w:eastAsia="zh-CN"/>
        </w:rPr>
        <w:t>13.82</w:t>
      </w:r>
      <w:r>
        <w:rPr>
          <w:rFonts w:hint="eastAsia" w:ascii="仿宋_GB2312" w:hAnsi="ˎ̥" w:eastAsia="仿宋_GB2312"/>
          <w:sz w:val="32"/>
          <w:szCs w:val="32"/>
        </w:rPr>
        <w:t>万元，</w:t>
      </w:r>
      <w:r>
        <w:rPr>
          <w:rFonts w:hint="eastAsia" w:ascii="仿宋_GB2312" w:hAnsi="ˎ̥" w:eastAsia="仿宋_GB2312"/>
          <w:color w:val="000000" w:themeColor="text1"/>
          <w:sz w:val="32"/>
          <w:szCs w:val="32"/>
          <w14:textFill>
            <w14:solidFill>
              <w14:schemeClr w14:val="tx1"/>
            </w14:solidFill>
          </w14:textFill>
        </w:rPr>
        <w:t>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5E2A6D6E">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sz w:val="32"/>
          <w:szCs w:val="32"/>
          <w:lang w:val="en-US" w:eastAsia="zh-CN"/>
        </w:rPr>
        <w:t>13.82</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13.82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5E6A2236">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 w:hAnsi="仿宋" w:eastAsia="仿宋" w:cs="仿宋"/>
          <w:sz w:val="32"/>
          <w:szCs w:val="32"/>
          <w:highlight w:val="none"/>
          <w:lang w:eastAsia="zh-CN"/>
        </w:rPr>
        <w:t>无收入支出</w:t>
      </w:r>
      <w:r>
        <w:rPr>
          <w:rFonts w:hint="eastAsia" w:ascii="仿宋_GB2312" w:hAnsi="ˎ̥" w:eastAsia="仿宋_GB2312"/>
          <w:sz w:val="32"/>
          <w:szCs w:val="32"/>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6272A7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无收入支出。</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%。其中：</w:t>
      </w:r>
    </w:p>
    <w:p w14:paraId="3E4967D4">
      <w:pPr>
        <w:spacing w:line="578"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2024年度国有资本经营预算财政拨款支出年初预算为</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万元，支出决算为</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万元，完成年初预算的</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，无</w:t>
      </w:r>
      <w:r>
        <w:rPr>
          <w:rFonts w:hint="eastAsia" w:ascii="仿宋" w:hAnsi="仿宋" w:eastAsia="仿宋" w:cs="仿宋"/>
          <w:sz w:val="32"/>
          <w:szCs w:val="32"/>
          <w:highlight w:val="none"/>
        </w:rPr>
        <w:t>支出年初预算</w:t>
      </w:r>
      <w:r>
        <w:rPr>
          <w:rFonts w:hint="eastAsia" w:ascii="仿宋" w:hAnsi="仿宋" w:eastAsia="仿宋" w:cs="仿宋"/>
          <w:sz w:val="32"/>
          <w:szCs w:val="32"/>
          <w:highlight w:val="none"/>
          <w:lang w:eastAsia="zh-CN"/>
        </w:rPr>
        <w:t>。</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1367A270">
      <w:pPr>
        <w:spacing w:line="578" w:lineRule="exact"/>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 w:hAnsi="仿宋" w:eastAsia="仿宋" w:cs="仿宋"/>
          <w:sz w:val="32"/>
          <w:szCs w:val="32"/>
          <w:highlight w:val="none"/>
          <w:lang w:eastAsia="zh-CN"/>
        </w:rPr>
        <w:t>无“三公”经费支出决算</w:t>
      </w:r>
      <w:r>
        <w:rPr>
          <w:rFonts w:hint="eastAsia" w:ascii="仿宋_GB2312" w:hAnsi="ˎ̥" w:eastAsia="仿宋_GB2312"/>
          <w:sz w:val="32"/>
          <w:szCs w:val="32"/>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14:paraId="70283DA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14:paraId="732BBD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 w:hAnsi="仿宋" w:eastAsia="仿宋" w:cs="仿宋"/>
          <w:sz w:val="32"/>
          <w:szCs w:val="32"/>
          <w:highlight w:val="none"/>
          <w:lang w:eastAsia="zh-CN"/>
        </w:rPr>
        <w:t>无“三公”经费支出决算</w:t>
      </w:r>
      <w:r>
        <w:rPr>
          <w:rFonts w:hint="eastAsia" w:ascii="仿宋_GB2312" w:hAnsi="ˎ̥" w:eastAsia="仿宋_GB2312"/>
          <w:sz w:val="32"/>
          <w:szCs w:val="32"/>
        </w:rPr>
        <w:t>。</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0</w:t>
      </w:r>
      <w:r>
        <w:rPr>
          <w:rFonts w:hint="eastAsia" w:ascii="仿宋_GB2312" w:hAnsi="ˎ̥" w:eastAsia="仿宋_GB2312"/>
          <w:sz w:val="32"/>
          <w:szCs w:val="32"/>
        </w:rPr>
        <w:t>辆。</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w:t>
      </w:r>
    </w:p>
    <w:p w14:paraId="314933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auto"/>
          <w:sz w:val="32"/>
          <w:szCs w:val="32"/>
          <w:lang w:val="en-US"/>
        </w:rPr>
        <w:t>0.00</w:t>
      </w:r>
      <w:r>
        <w:rPr>
          <w:rFonts w:hint="eastAsia" w:ascii="仿宋_GB2312" w:hAnsi="ˎ̥" w:eastAsia="仿宋_GB2312"/>
          <w:sz w:val="32"/>
          <w:szCs w:val="32"/>
        </w:rPr>
        <w:t>万元，其中：</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14:paraId="2A2F45B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16D7637E">
      <w:pPr>
        <w:spacing w:line="578"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根据预算管理要求，</w:t>
      </w:r>
      <w:r>
        <w:rPr>
          <w:rFonts w:hint="eastAsia" w:ascii="仿宋" w:hAnsi="仿宋" w:eastAsia="仿宋" w:cs="仿宋"/>
          <w:sz w:val="32"/>
          <w:szCs w:val="32"/>
          <w:highlight w:val="none"/>
          <w:lang w:eastAsia="zh-CN"/>
        </w:rPr>
        <w:t>学校</w:t>
      </w:r>
      <w:r>
        <w:rPr>
          <w:rFonts w:hint="eastAsia" w:ascii="仿宋" w:hAnsi="仿宋" w:eastAsia="仿宋" w:cs="仿宋"/>
          <w:sz w:val="32"/>
          <w:szCs w:val="32"/>
          <w:highlight w:val="none"/>
        </w:rPr>
        <w:t>组织对2024年度一般公共预算项目支出全面开展自评</w:t>
      </w:r>
      <w:r>
        <w:rPr>
          <w:rFonts w:hint="eastAsia" w:ascii="仿宋" w:hAnsi="仿宋" w:eastAsia="仿宋" w:cs="仿宋"/>
          <w:sz w:val="32"/>
          <w:szCs w:val="32"/>
          <w:highlight w:val="none"/>
          <w:lang w:bidi="ar"/>
        </w:rPr>
        <w:t>，</w:t>
      </w:r>
      <w:r>
        <w:rPr>
          <w:rFonts w:hint="eastAsia" w:ascii="仿宋" w:hAnsi="仿宋" w:eastAsia="仿宋" w:cs="仿宋"/>
          <w:sz w:val="32"/>
          <w:szCs w:val="32"/>
          <w:highlight w:val="none"/>
          <w:lang w:eastAsia="zh-CN" w:bidi="ar"/>
        </w:rPr>
        <w:t>合理</w:t>
      </w:r>
      <w:r>
        <w:rPr>
          <w:rFonts w:hint="eastAsia" w:ascii="仿宋" w:hAnsi="仿宋" w:eastAsia="仿宋" w:cs="仿宋"/>
          <w:sz w:val="32"/>
          <w:szCs w:val="32"/>
          <w:highlight w:val="none"/>
        </w:rPr>
        <w:t>支出预算项目。</w:t>
      </w:r>
    </w:p>
    <w:p w14:paraId="16FFC1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3CFA84B7">
      <w:pPr>
        <w:spacing w:line="578"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根据年初设定的绩效目标，项目绩效自评得分为</w:t>
      </w:r>
      <w:r>
        <w:rPr>
          <w:rFonts w:hint="eastAsia" w:ascii="仿宋" w:hAnsi="仿宋" w:eastAsia="仿宋" w:cs="仿宋"/>
          <w:sz w:val="32"/>
          <w:szCs w:val="32"/>
          <w:highlight w:val="none"/>
          <w:lang w:val="en-US" w:eastAsia="zh-CN"/>
        </w:rPr>
        <w:t>90</w:t>
      </w:r>
      <w:r>
        <w:rPr>
          <w:rFonts w:hint="eastAsia" w:ascii="仿宋" w:hAnsi="仿宋" w:eastAsia="仿宋" w:cs="仿宋"/>
          <w:sz w:val="32"/>
          <w:szCs w:val="32"/>
          <w:highlight w:val="none"/>
        </w:rPr>
        <w:t>分。</w:t>
      </w:r>
      <w:r>
        <w:rPr>
          <w:rFonts w:hint="eastAsia" w:ascii="仿宋" w:hAnsi="仿宋" w:eastAsia="仿宋" w:cs="仿宋"/>
          <w:sz w:val="32"/>
          <w:szCs w:val="32"/>
          <w:highlight w:val="none"/>
          <w:lang w:eastAsia="zh-CN"/>
        </w:rPr>
        <w:t>较好完成</w:t>
      </w:r>
      <w:r>
        <w:rPr>
          <w:rFonts w:hint="eastAsia" w:ascii="仿宋" w:hAnsi="仿宋" w:eastAsia="仿宋" w:cs="仿宋"/>
          <w:sz w:val="32"/>
          <w:szCs w:val="32"/>
          <w:highlight w:val="none"/>
        </w:rPr>
        <w:t>全年预算数</w:t>
      </w:r>
      <w:r>
        <w:rPr>
          <w:rFonts w:hint="eastAsia" w:ascii="仿宋" w:hAnsi="仿宋" w:eastAsia="仿宋" w:cs="仿宋"/>
          <w:sz w:val="32"/>
          <w:szCs w:val="32"/>
          <w:highlight w:val="none"/>
          <w:lang w:eastAsia="zh-CN"/>
        </w:rPr>
        <w:t>和</w:t>
      </w:r>
      <w:r>
        <w:rPr>
          <w:rFonts w:hint="eastAsia" w:ascii="仿宋" w:hAnsi="仿宋" w:eastAsia="仿宋" w:cs="仿宋"/>
          <w:sz w:val="32"/>
          <w:szCs w:val="32"/>
          <w:highlight w:val="none"/>
        </w:rPr>
        <w:t>执行数，完成预算的</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w:t>
      </w:r>
    </w:p>
    <w:p w14:paraId="08AEFB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298C578A">
      <w:pPr>
        <w:numPr>
          <w:ilvl w:val="0"/>
          <w:numId w:val="0"/>
        </w:numPr>
        <w:spacing w:line="578" w:lineRule="exact"/>
        <w:ind w:firstLine="640" w:firstLineChars="200"/>
        <w:rPr>
          <w:rFonts w:hint="eastAsia" w:ascii="楷体" w:hAnsi="楷体" w:eastAsia="楷体" w:cs="楷体"/>
          <w:bCs/>
          <w:sz w:val="32"/>
          <w:szCs w:val="32"/>
          <w:highlight w:val="none"/>
        </w:rPr>
      </w:pPr>
      <w:r>
        <w:rPr>
          <w:rFonts w:hint="eastAsia" w:ascii="仿宋" w:hAnsi="仿宋" w:eastAsia="仿宋" w:cs="仿宋"/>
          <w:sz w:val="32"/>
          <w:szCs w:val="32"/>
          <w:highlight w:val="none"/>
          <w:lang w:eastAsia="zh-CN"/>
        </w:rPr>
        <w:t>较好的完成</w:t>
      </w:r>
      <w:r>
        <w:rPr>
          <w:rFonts w:hint="eastAsia" w:ascii="仿宋" w:hAnsi="仿宋" w:eastAsia="仿宋" w:cs="仿宋"/>
          <w:sz w:val="32"/>
          <w:szCs w:val="32"/>
          <w:highlight w:val="none"/>
        </w:rPr>
        <w:t>年初设定的绩效目标，</w:t>
      </w:r>
      <w:r>
        <w:rPr>
          <w:rFonts w:hint="eastAsia" w:ascii="仿宋" w:hAnsi="仿宋" w:eastAsia="仿宋" w:cs="仿宋"/>
          <w:sz w:val="32"/>
          <w:szCs w:val="32"/>
          <w:highlight w:val="none"/>
          <w:lang w:eastAsia="zh-CN"/>
        </w:rPr>
        <w:t>完成</w:t>
      </w:r>
      <w:r>
        <w:rPr>
          <w:rFonts w:hint="eastAsia" w:ascii="仿宋" w:hAnsi="仿宋" w:eastAsia="仿宋" w:cs="仿宋"/>
          <w:sz w:val="32"/>
          <w:szCs w:val="32"/>
          <w:highlight w:val="none"/>
        </w:rPr>
        <w:t>全年预算数</w:t>
      </w:r>
      <w:r>
        <w:rPr>
          <w:rFonts w:hint="eastAsia" w:ascii="仿宋" w:hAnsi="仿宋" w:eastAsia="仿宋" w:cs="仿宋"/>
          <w:sz w:val="32"/>
          <w:szCs w:val="32"/>
          <w:highlight w:val="none"/>
          <w:lang w:eastAsia="zh-CN"/>
        </w:rPr>
        <w:t>和</w:t>
      </w:r>
      <w:r>
        <w:rPr>
          <w:rFonts w:hint="eastAsia" w:ascii="仿宋" w:hAnsi="仿宋" w:eastAsia="仿宋" w:cs="仿宋"/>
          <w:sz w:val="32"/>
          <w:szCs w:val="32"/>
          <w:highlight w:val="none"/>
        </w:rPr>
        <w:t>执行数，完成绩效目标预算的</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w:t>
      </w:r>
    </w:p>
    <w:p w14:paraId="52EA42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7B0BC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无。</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8325_WPSOffice_Level2"/>
      <w:bookmarkStart w:id="96" w:name="_Toc32639_WPSOffice_Level2"/>
      <w:bookmarkStart w:id="97" w:name="_Toc5978_WPSOffice_Level2"/>
      <w:bookmarkStart w:id="98" w:name="_Toc15565_WPSOffice_Level2"/>
      <w:bookmarkStart w:id="99" w:name="_Toc15262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100BBB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三亚市海棠区红旗小学</w:t>
      </w:r>
      <w:r>
        <w:rPr>
          <w:rFonts w:hint="eastAsia" w:ascii="仿宋_GB2312" w:hAnsi="ˎ̥" w:eastAsia="仿宋_GB2312"/>
          <w:sz w:val="32"/>
          <w:szCs w:val="32"/>
        </w:rPr>
        <w:t>部门（单位）机关运行经费</w:t>
      </w:r>
      <w:r>
        <w:rPr>
          <w:rFonts w:hint="eastAsia" w:ascii="仿宋_GB2312" w:hAnsi="ˎ̥" w:eastAsia="仿宋_GB2312"/>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增长（下降）0%。</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25333_WPSOffice_Level2"/>
      <w:bookmarkStart w:id="103" w:name="_Toc30383_WPSOffice_Level2"/>
      <w:bookmarkStart w:id="104" w:name="_Toc3131_WPSOffice_Level2"/>
      <w:bookmarkStart w:id="105" w:name="_Toc13084_WPSOffice_Level2"/>
      <w:bookmarkStart w:id="106" w:name="_Toc32689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25335D4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三亚市海棠区红旗小学</w:t>
      </w:r>
      <w:r>
        <w:rPr>
          <w:rFonts w:hint="eastAsia" w:ascii="仿宋_GB2312" w:hAnsi="ˎ̥" w:eastAsia="仿宋_GB2312"/>
          <w:sz w:val="32"/>
          <w:szCs w:val="32"/>
        </w:rPr>
        <w:t>部门（单位）政府采购支出总额</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w:t>
      </w:r>
      <w:r>
        <w:rPr>
          <w:rFonts w:hint="eastAsia" w:ascii="仿宋_GB2312" w:hAnsi="ˎ̥" w:eastAsia="仿宋_GB2312"/>
          <w:sz w:val="32"/>
          <w:szCs w:val="32"/>
        </w:rPr>
        <w:t>%。</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527_WPSOffice_Level2"/>
      <w:bookmarkStart w:id="108" w:name="_Toc10902_WPSOffice_Level2"/>
      <w:bookmarkStart w:id="109" w:name="_Toc19989_WPSOffice_Level2"/>
      <w:bookmarkStart w:id="110" w:name="_Toc6016_WPSOffice_Level2"/>
      <w:bookmarkStart w:id="111" w:name="_Toc15129_WPSOffice_Level2"/>
      <w:bookmarkStart w:id="112" w:name="_Toc29584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1E9C7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14:paraId="20F5AB1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ˎ̥" w:eastAsia="黑体"/>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bookmarkStart w:id="113" w:name="_Toc17580_WPSOffice_Level1"/>
      <w:bookmarkStart w:id="114" w:name="_Toc15425_WPSOffice_Level1"/>
      <w:bookmarkStart w:id="115" w:name="_Toc11039_WPSOffice_Level1"/>
      <w:bookmarkStart w:id="116" w:name="_Toc8874_WPSOffice_Level1"/>
      <w:bookmarkStart w:id="117" w:name="_Toc8808_WPSOffice_Level1"/>
      <w:bookmarkStart w:id="118" w:name="_Toc4398_WPSOffice_Level1"/>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tbl>
      <w:tblPr>
        <w:tblStyle w:val="7"/>
        <w:tblW w:w="58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74"/>
        <w:gridCol w:w="4035"/>
        <w:gridCol w:w="705"/>
      </w:tblGrid>
      <w:tr w14:paraId="50632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7B68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科目代码</w:t>
            </w:r>
          </w:p>
        </w:tc>
        <w:tc>
          <w:tcPr>
            <w:tcW w:w="4035" w:type="dxa"/>
            <w:tcBorders>
              <w:top w:val="single" w:color="000000" w:sz="4" w:space="0"/>
              <w:left w:val="single" w:color="000000" w:sz="4" w:space="0"/>
              <w:bottom w:val="single" w:color="000000" w:sz="4" w:space="0"/>
              <w:right w:val="single" w:color="000000" w:sz="4" w:space="0"/>
            </w:tcBorders>
            <w:noWrap w:val="0"/>
            <w:vAlign w:val="center"/>
          </w:tcPr>
          <w:p w14:paraId="3894A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06890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r>
      <w:tr w14:paraId="1B64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EEDE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DBE4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00DB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E82B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83EC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3502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8533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70E47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0CBF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66F1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0CFF6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14:paraId="63A57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7A6D8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B25C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2391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11802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7261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DC1E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675E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12A23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AEFC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AAAF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33913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7A323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3DE8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6853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B80F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14:paraId="69A2D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8899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4445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BF19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14:paraId="2336A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14AB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8EB2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4869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6D9A7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7A2C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904A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6A31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187FB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3416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E7B7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62C9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14:paraId="03B7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1A88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C711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9924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14:paraId="6D909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6BA3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CB00D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390AE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14:paraId="570DC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87AB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D966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23E2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14:paraId="52C5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A2DF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36415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8CF8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14:paraId="1B7A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0D58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17C5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9149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14:paraId="03CBD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F125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3AE2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AAFA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14:paraId="62CA7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CF51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58E6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2465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47870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5278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B6D1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6353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r>
      <w:tr w14:paraId="3829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4472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3693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1071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14:paraId="5EA74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1C6C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2A1C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F102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14:paraId="2D7CC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9812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0C24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D07C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14:paraId="1B256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3BD4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DDB0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6A0A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r>
      <w:tr w14:paraId="67797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8BC9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47E1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C305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r>
      <w:tr w14:paraId="73C20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6231E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7EF0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5349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14:paraId="34D4A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6EFCD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0C66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0AF7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r>
      <w:tr w14:paraId="1E3A0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B687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9159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A9B6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r>
      <w:tr w14:paraId="5C942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B463C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4D5D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E1EAB5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28</w:t>
            </w:r>
          </w:p>
        </w:tc>
      </w:tr>
      <w:tr w14:paraId="74B07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6BBD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CF95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BC04A5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29</w:t>
            </w:r>
          </w:p>
        </w:tc>
      </w:tr>
      <w:tr w14:paraId="36C58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4624D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0716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1CA1DE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30</w:t>
            </w:r>
          </w:p>
        </w:tc>
      </w:tr>
      <w:tr w14:paraId="3B861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7E966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6F58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9FC05A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31</w:t>
            </w:r>
          </w:p>
        </w:tc>
      </w:tr>
      <w:tr w14:paraId="73FF7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E366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2FDF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F53D97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32</w:t>
            </w:r>
          </w:p>
        </w:tc>
      </w:tr>
      <w:tr w14:paraId="4CDEB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65D0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9024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C0A045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33</w:t>
            </w:r>
          </w:p>
        </w:tc>
      </w:tr>
      <w:tr w14:paraId="43C2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CAF4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DB57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61A0D5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34</w:t>
            </w:r>
          </w:p>
        </w:tc>
      </w:tr>
      <w:tr w14:paraId="38344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C4E43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D212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A84DBF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35</w:t>
            </w:r>
          </w:p>
        </w:tc>
      </w:tr>
      <w:tr w14:paraId="314B7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9BB8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71C6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B877FE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36</w:t>
            </w:r>
          </w:p>
        </w:tc>
      </w:tr>
      <w:tr w14:paraId="12744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50CD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F7A0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80D4B6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37</w:t>
            </w:r>
          </w:p>
        </w:tc>
      </w:tr>
      <w:tr w14:paraId="49820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A07F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1B77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FD9E99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38</w:t>
            </w:r>
          </w:p>
        </w:tc>
      </w:tr>
      <w:tr w14:paraId="24602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7688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17E2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D814D3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39</w:t>
            </w:r>
          </w:p>
        </w:tc>
      </w:tr>
      <w:tr w14:paraId="6E35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0E60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0930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8FD7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r>
      <w:tr w14:paraId="6BE57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E8AA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D453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D4CD3D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41</w:t>
            </w:r>
          </w:p>
        </w:tc>
      </w:tr>
      <w:tr w14:paraId="59C0E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46C2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D9AB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7C5D8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r>
      <w:tr w14:paraId="2C87D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CA7D0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541A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B5E4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r>
      <w:tr w14:paraId="4003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DC33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D302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7AE2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r>
      <w:tr w14:paraId="72A1F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0348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6DD16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F7386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14:paraId="36192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6ECC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3AE60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16C38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r>
      <w:tr w14:paraId="25966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A3779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5DBE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C496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r>
      <w:tr w14:paraId="3ADF0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2318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8F2B3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420F1E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48</w:t>
            </w:r>
          </w:p>
        </w:tc>
      </w:tr>
      <w:tr w14:paraId="3510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DA5F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78F0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D4584E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49</w:t>
            </w:r>
          </w:p>
        </w:tc>
      </w:tr>
      <w:tr w14:paraId="126C8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7601A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3E2908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101DD3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50</w:t>
            </w:r>
          </w:p>
        </w:tc>
      </w:tr>
      <w:tr w14:paraId="13ACF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35F1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115A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5243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r>
      <w:tr w14:paraId="5CBDF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1EB70A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FE75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3BC2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r>
      <w:tr w14:paraId="3A573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E62F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30883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0613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14:paraId="40F00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CE15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AF9A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7B7FB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r>
      <w:tr w14:paraId="3F0C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7105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3ADA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F433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r>
      <w:tr w14:paraId="0C65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7A357C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C44D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2876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r>
      <w:tr w14:paraId="02BF4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9A55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E160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D070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r>
      <w:tr w14:paraId="3BAB9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CC57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BECF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0DAF6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r>
      <w:tr w14:paraId="3E075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FE35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1D2A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EB3574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59</w:t>
            </w:r>
          </w:p>
        </w:tc>
      </w:tr>
      <w:tr w14:paraId="7CE84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8C13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93F6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E593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14:paraId="71501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5F27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391D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75FB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r>
      <w:tr w14:paraId="7ACE5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C4FE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38A0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BDED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r>
      <w:tr w14:paraId="4020A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48A83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3ACD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49F4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r>
      <w:tr w14:paraId="42E52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596F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15B0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0C3ED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r>
      <w:tr w14:paraId="09F55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816C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40818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6514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14:paraId="76591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9152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94E7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3217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r>
      <w:tr w14:paraId="06C7A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6E0C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8B79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7010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r>
      <w:tr w14:paraId="25193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70115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3A0A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2616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r>
      <w:tr w14:paraId="4D62C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569F3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1E5F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F415EB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69</w:t>
            </w:r>
          </w:p>
        </w:tc>
      </w:tr>
      <w:tr w14:paraId="3455F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5650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566F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0E618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r>
      <w:tr w14:paraId="4F2EB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94BC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BE63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5C34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r>
      <w:tr w14:paraId="3D0FC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4BF4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F8B3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A424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r>
      <w:tr w14:paraId="3D6F1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E915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B8B6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B3D5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r>
      <w:tr w14:paraId="27D5E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24979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58CAC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C11F75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74</w:t>
            </w:r>
          </w:p>
        </w:tc>
      </w:tr>
      <w:tr w14:paraId="58D6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AC8A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7B65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1C78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r>
      <w:tr w14:paraId="44045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19EF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7E4B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216F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r>
      <w:tr w14:paraId="31DE0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35552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2BA6E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CEE3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r>
      <w:tr w14:paraId="1FE3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A82E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19C09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565C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r>
      <w:tr w14:paraId="0AB1F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0371C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0DA05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经常性赠与</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896BC7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79</w:t>
            </w:r>
          </w:p>
        </w:tc>
      </w:tr>
      <w:tr w14:paraId="1769D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4DA17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39910</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664A0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资本性赠与</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FCE2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r>
      <w:tr w14:paraId="516DF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74" w:type="dxa"/>
            <w:tcBorders>
              <w:top w:val="single" w:color="000000" w:sz="4" w:space="0"/>
              <w:left w:val="single" w:color="000000" w:sz="4" w:space="0"/>
              <w:bottom w:val="single" w:color="000000" w:sz="4" w:space="0"/>
              <w:right w:val="single" w:color="000000" w:sz="4" w:space="0"/>
            </w:tcBorders>
            <w:noWrap/>
            <w:vAlign w:val="center"/>
          </w:tcPr>
          <w:p w14:paraId="61520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4035" w:type="dxa"/>
            <w:tcBorders>
              <w:top w:val="single" w:color="000000" w:sz="4" w:space="0"/>
              <w:left w:val="single" w:color="000000" w:sz="4" w:space="0"/>
              <w:bottom w:val="single" w:color="000000" w:sz="4" w:space="0"/>
              <w:right w:val="single" w:color="000000" w:sz="4" w:space="0"/>
            </w:tcBorders>
            <w:noWrap/>
            <w:vAlign w:val="center"/>
          </w:tcPr>
          <w:p w14:paraId="75CE8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9301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r>
    </w:tbl>
    <w:p w14:paraId="4E527A69">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558E00"/>
    <w:multiLevelType w:val="singleLevel"/>
    <w:tmpl w:val="83558E00"/>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07C36"/>
    <w:rsid w:val="17427E68"/>
    <w:rsid w:val="1755065F"/>
    <w:rsid w:val="19A213F5"/>
    <w:rsid w:val="1AFC29C9"/>
    <w:rsid w:val="1CA52F2E"/>
    <w:rsid w:val="1E3630B9"/>
    <w:rsid w:val="220004C0"/>
    <w:rsid w:val="26EEC2B5"/>
    <w:rsid w:val="29472309"/>
    <w:rsid w:val="2AF43C32"/>
    <w:rsid w:val="2B406E77"/>
    <w:rsid w:val="2C2A0C43"/>
    <w:rsid w:val="2D1E73A5"/>
    <w:rsid w:val="2FE83639"/>
    <w:rsid w:val="32717154"/>
    <w:rsid w:val="34B63260"/>
    <w:rsid w:val="37FDA7E2"/>
    <w:rsid w:val="3A314D88"/>
    <w:rsid w:val="3A746883"/>
    <w:rsid w:val="3CA15DE9"/>
    <w:rsid w:val="3FE61EE5"/>
    <w:rsid w:val="406508EE"/>
    <w:rsid w:val="408D6263"/>
    <w:rsid w:val="41B40CEE"/>
    <w:rsid w:val="4456764A"/>
    <w:rsid w:val="48317291"/>
    <w:rsid w:val="485F7024"/>
    <w:rsid w:val="48E70666"/>
    <w:rsid w:val="4C6877E5"/>
    <w:rsid w:val="4D6A468D"/>
    <w:rsid w:val="4E3E0822"/>
    <w:rsid w:val="4EA86137"/>
    <w:rsid w:val="56CA7FD0"/>
    <w:rsid w:val="57FA38D1"/>
    <w:rsid w:val="5F7D3333"/>
    <w:rsid w:val="61385890"/>
    <w:rsid w:val="615A5895"/>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6149</Words>
  <Characters>6740</Characters>
  <Lines>67</Lines>
  <Paragraphs>18</Paragraphs>
  <TotalTime>0</TotalTime>
  <ScaleCrop>false</ScaleCrop>
  <LinksUpToDate>false</LinksUpToDate>
  <CharactersWithSpaces>6818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欣语</cp:lastModifiedBy>
  <cp:lastPrinted>2023-08-03T00:58:00Z</cp:lastPrinted>
  <dcterms:modified xsi:type="dcterms:W3CDTF">2025-10-10T01:51:56Z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CD022212CDDD4CDB8F6CDA6DCA974FC3_13</vt:lpwstr>
  </property>
  <property fmtid="{D5CDD505-2E9C-101B-9397-08002B2CF9AE}" pid="4" name="KSOTemplateDocerSaveRecord">
    <vt:lpwstr>eyJoZGlkIjoiY2VjZDg1MDZiZTQ0M2Q1Mzk5YTQ3MjI3N2QxMGVlMTIiLCJ1c2VySWQiOiIyMDYzNjE2OTQifQ==</vt:lpwstr>
  </property>
</Properties>
</file>