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E356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三亚市海棠区人才基地幼儿园2024年度部门决算公开报告</w:t>
      </w:r>
    </w:p>
    <w:p w14:paraId="6C2B2D3A">
      <w:pPr>
        <w:spacing w:line="578" w:lineRule="exact"/>
        <w:jc w:val="both"/>
        <w:rPr>
          <w:rFonts w:hint="eastAsia" w:ascii="黑体" w:hAnsi="ˎ̥" w:eastAsia="黑体"/>
          <w:b/>
          <w:sz w:val="32"/>
          <w:szCs w:val="32"/>
        </w:rPr>
      </w:pPr>
    </w:p>
    <w:p w14:paraId="6A8F1018">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6A2F743B">
      <w:pPr>
        <w:pStyle w:val="17"/>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29CBFE79">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9089809">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3B013F23">
      <w:pPr>
        <w:pStyle w:val="17"/>
        <w:tabs>
          <w:tab w:val="right" w:leader="dot" w:pos="8306"/>
        </w:tabs>
        <w:spacing w:line="578" w:lineRule="exact"/>
        <w:rPr>
          <w:rFonts w:hint="eastAsia" w:eastAsia="宋体"/>
          <w:sz w:val="32"/>
          <w:szCs w:val="32"/>
          <w:lang w:eastAsia="zh-CN"/>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lang w:val="en-US" w:eastAsia="zh-CN"/>
        </w:rPr>
        <w:t>3</w:t>
      </w:r>
    </w:p>
    <w:p w14:paraId="6E57563D">
      <w:pPr>
        <w:pStyle w:val="17"/>
        <w:tabs>
          <w:tab w:val="right" w:leader="dot" w:pos="8306"/>
        </w:tabs>
        <w:spacing w:line="578" w:lineRule="exact"/>
        <w:rPr>
          <w:rFonts w:hint="eastAsia" w:eastAsia="宋体"/>
          <w:sz w:val="32"/>
          <w:szCs w:val="32"/>
          <w:lang w:eastAsia="zh-CN"/>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lang w:val="en-US" w:eastAsia="zh-CN"/>
        </w:rPr>
        <w:t>4</w:t>
      </w:r>
    </w:p>
    <w:p w14:paraId="65C40179">
      <w:pPr>
        <w:pStyle w:val="18"/>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4</w:t>
      </w:r>
    </w:p>
    <w:p w14:paraId="4BD7D57F">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0C54764D">
      <w:pPr>
        <w:pStyle w:val="18"/>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5</w:t>
      </w:r>
    </w:p>
    <w:p w14:paraId="51FC70A3">
      <w:pPr>
        <w:pStyle w:val="18"/>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lang w:val="en-US" w:eastAsia="zh-CN"/>
        </w:rPr>
        <w:t>5</w:t>
      </w:r>
    </w:p>
    <w:p w14:paraId="7A0C8420">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0F3513AE">
      <w:pPr>
        <w:pStyle w:val="18"/>
        <w:tabs>
          <w:tab w:val="right" w:leader="dot" w:pos="8306"/>
        </w:tabs>
        <w:spacing w:line="578" w:lineRule="exact"/>
        <w:ind w:leftChars="0"/>
        <w:rPr>
          <w:rFonts w:hint="eastAsia" w:ascii="仿宋" w:hAnsi="仿宋" w:eastAsia="仿宋" w:cs="仿宋"/>
          <w:sz w:val="32"/>
          <w:szCs w:val="32"/>
          <w:lang w:eastAsia="zh-CN"/>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lang w:val="en-US" w:eastAsia="zh-CN"/>
        </w:rPr>
        <w:t>7</w:t>
      </w:r>
    </w:p>
    <w:p w14:paraId="14C271AC">
      <w:pPr>
        <w:pStyle w:val="18"/>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8</w:t>
      </w:r>
    </w:p>
    <w:p w14:paraId="341B0484">
      <w:pPr>
        <w:pStyle w:val="18"/>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lang w:val="en-US" w:eastAsia="zh-CN"/>
        </w:rPr>
        <w:t>9</w:t>
      </w:r>
    </w:p>
    <w:p w14:paraId="4A5010BD">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23F091F4">
      <w:pPr>
        <w:pStyle w:val="18"/>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bookmarkStart w:id="123" w:name="_GoBack"/>
      <w:bookmarkEnd w:id="123"/>
    </w:p>
    <w:p w14:paraId="11226842">
      <w:pPr>
        <w:pStyle w:val="18"/>
        <w:tabs>
          <w:tab w:val="right" w:leader="dot" w:pos="8306"/>
        </w:tabs>
        <w:spacing w:line="578" w:lineRule="exact"/>
        <w:ind w:leftChars="0"/>
        <w:rPr>
          <w:rFonts w:hint="eastAsia" w:ascii="仿宋" w:hAnsi="仿宋" w:eastAsia="仿宋" w:cs="仿宋"/>
          <w:sz w:val="32"/>
          <w:szCs w:val="32"/>
          <w:lang w:val="en-US" w:eastAsia="zh-CN"/>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w:t>
      </w:r>
      <w:r>
        <w:rPr>
          <w:rFonts w:hint="eastAsia" w:ascii="仿宋" w:hAnsi="仿宋" w:eastAsia="仿宋" w:cs="仿宋"/>
          <w:sz w:val="32"/>
          <w:szCs w:val="32"/>
          <w:lang w:val="en-US" w:eastAsia="zh-CN"/>
        </w:rPr>
        <w:t>1</w:t>
      </w:r>
    </w:p>
    <w:p w14:paraId="1704E608">
      <w:pPr>
        <w:pStyle w:val="17"/>
        <w:tabs>
          <w:tab w:val="right" w:leader="dot" w:pos="8306"/>
        </w:tabs>
        <w:spacing w:line="578" w:lineRule="exact"/>
        <w:rPr>
          <w:rFonts w:hint="eastAsia" w:ascii="黑体" w:hAnsi="ˎ̥" w:eastAsia="宋体"/>
          <w:b/>
          <w:sz w:val="32"/>
          <w:szCs w:val="32"/>
          <w:lang w:eastAsia="zh-CN"/>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lang w:val="en-US" w:eastAsia="zh-CN"/>
        </w:rPr>
        <w:t>2</w:t>
      </w:r>
    </w:p>
    <w:p w14:paraId="4EC8D6DA">
      <w:pPr>
        <w:spacing w:line="578" w:lineRule="exact"/>
        <w:jc w:val="both"/>
        <w:rPr>
          <w:rFonts w:hint="eastAsia" w:ascii="黑体" w:hAnsi="ˎ̥" w:eastAsia="黑体"/>
          <w:sz w:val="32"/>
          <w:szCs w:val="32"/>
        </w:rPr>
      </w:pPr>
      <w:bookmarkStart w:id="2" w:name="_Toc22941_WPSOffice_Level1"/>
      <w:bookmarkStart w:id="3" w:name="_Toc1704_WPSOffice_Level1"/>
      <w:bookmarkStart w:id="4" w:name="_Toc23465_WPSOffice_Level1"/>
      <w:bookmarkStart w:id="5" w:name="_Toc10720_WPSOffice_Level1"/>
      <w:bookmarkStart w:id="6" w:name="_Toc32433_WPSOffice_Level1"/>
      <w:bookmarkStart w:id="7" w:name="_Toc10049_WPSOffice_Level1"/>
      <w:bookmarkStart w:id="8" w:name="_Toc24238_WPSOffice_Level2"/>
      <w:bookmarkStart w:id="9" w:name="_Toc20274_WPSOffice_Level2"/>
      <w:bookmarkStart w:id="10" w:name="_Toc26580_WPSOffice_Level2"/>
      <w:bookmarkStart w:id="11" w:name="_Toc14159_WPSOffice_Level2"/>
      <w:bookmarkStart w:id="12" w:name="_Toc20205_WPSOffice_Level2"/>
      <w:bookmarkStart w:id="13" w:name="_Toc32622_WPSOffice_Level2"/>
    </w:p>
    <w:p w14:paraId="59DE4DDD">
      <w:pPr>
        <w:spacing w:line="578" w:lineRule="exact"/>
        <w:jc w:val="center"/>
        <w:rPr>
          <w:rFonts w:hint="eastAsia" w:ascii="楷体" w:hAnsi="楷体" w:eastAsia="楷体" w:cs="楷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4A3D8885">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14:paraId="3F08928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textAlignment w:val="baseline"/>
        <w:rPr>
          <w:rFonts w:ascii="微软雅黑" w:hAnsi="微软雅黑" w:eastAsia="微软雅黑" w:cs="微软雅黑"/>
          <w:i w:val="0"/>
          <w:iCs w:val="0"/>
          <w:caps w:val="0"/>
          <w:color w:val="auto"/>
          <w:spacing w:val="0"/>
          <w:sz w:val="21"/>
          <w:szCs w:val="21"/>
        </w:rPr>
      </w:pPr>
      <w:r>
        <w:rPr>
          <w:rFonts w:ascii="仿宋_GB2312" w:hAnsi="微软雅黑" w:eastAsia="仿宋_GB2312" w:cs="仿宋_GB2312"/>
          <w:i w:val="0"/>
          <w:iCs w:val="0"/>
          <w:caps w:val="0"/>
          <w:color w:val="auto"/>
          <w:spacing w:val="0"/>
          <w:sz w:val="31"/>
          <w:szCs w:val="31"/>
          <w:shd w:val="clear" w:color="auto" w:fill="FFFFFF"/>
          <w:vertAlign w:val="baseline"/>
        </w:rPr>
        <w:t>（一）贯彻执行和遵守学前教育工作的方针政策、法律法规及规章制度，负责入园幼儿的保育与教育工作。</w:t>
      </w:r>
    </w:p>
    <w:p w14:paraId="63327D62">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textAlignment w:val="baseline"/>
        <w:rPr>
          <w:rFonts w:hint="eastAsia" w:ascii="微软雅黑" w:hAnsi="微软雅黑" w:eastAsia="微软雅黑" w:cs="微软雅黑"/>
          <w:i w:val="0"/>
          <w:iCs w:val="0"/>
          <w:caps w:val="0"/>
          <w:color w:val="auto"/>
          <w:spacing w:val="0"/>
          <w:sz w:val="21"/>
          <w:szCs w:val="21"/>
        </w:rPr>
      </w:pPr>
      <w:r>
        <w:rPr>
          <w:rFonts w:hint="default" w:ascii="仿宋_GB2312" w:hAnsi="微软雅黑" w:eastAsia="仿宋_GB2312" w:cs="仿宋_GB2312"/>
          <w:i w:val="0"/>
          <w:iCs w:val="0"/>
          <w:caps w:val="0"/>
          <w:color w:val="auto"/>
          <w:spacing w:val="0"/>
          <w:sz w:val="31"/>
          <w:szCs w:val="31"/>
          <w:shd w:val="clear" w:color="auto" w:fill="FFFFFF"/>
          <w:vertAlign w:val="baseline"/>
        </w:rPr>
        <w:t>（二）负责本辖区内学前教育工作政策法规、幼儿教育知识等的宣传普及，提供相关咨询以及服务，做好动员、招收幼儿入园工作。</w:t>
      </w:r>
    </w:p>
    <w:p w14:paraId="03F07CEE">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textAlignment w:val="baseline"/>
        <w:rPr>
          <w:rFonts w:hint="eastAsia" w:ascii="仿宋_GB2312" w:hAnsi="仿宋_GB2312" w:eastAsia="仿宋_GB2312" w:cs="仿宋_GB2312"/>
          <w:b w:val="0"/>
          <w:bCs w:val="0"/>
          <w:color w:val="auto"/>
          <w:sz w:val="32"/>
          <w:szCs w:val="32"/>
          <w:u w:val="none"/>
          <w:lang w:val="en-US" w:eastAsia="zh-CN"/>
        </w:rPr>
      </w:pPr>
      <w:r>
        <w:rPr>
          <w:rFonts w:hint="default" w:ascii="仿宋_GB2312" w:hAnsi="微软雅黑" w:eastAsia="仿宋_GB2312" w:cs="仿宋_GB2312"/>
          <w:i w:val="0"/>
          <w:iCs w:val="0"/>
          <w:caps w:val="0"/>
          <w:color w:val="auto"/>
          <w:spacing w:val="0"/>
          <w:sz w:val="31"/>
          <w:szCs w:val="31"/>
          <w:shd w:val="clear" w:color="auto" w:fill="FFFFFF"/>
          <w:vertAlign w:val="baseline"/>
        </w:rPr>
        <w:t>（三）</w:t>
      </w:r>
      <w:r>
        <w:rPr>
          <w:rFonts w:hint="eastAsia" w:ascii="仿宋_GB2312" w:hAnsi="仿宋_GB2312" w:eastAsia="仿宋_GB2312" w:cs="仿宋_GB2312"/>
          <w:b w:val="0"/>
          <w:bCs w:val="0"/>
          <w:color w:val="auto"/>
          <w:sz w:val="32"/>
          <w:szCs w:val="32"/>
          <w:u w:val="none"/>
          <w:lang w:val="en-US" w:eastAsia="zh-CN"/>
        </w:rPr>
        <w:t>负责对幼儿实施体、智、德、美等方面全面发展的教育，实行保育和教育相结合，促进其身心健康发展；为家长参与、学习幼儿教育提供便利条件。</w:t>
      </w:r>
    </w:p>
    <w:p w14:paraId="2F82F95A">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textAlignment w:val="baseline"/>
        <w:rPr>
          <w:rFonts w:hint="eastAsia" w:ascii="微软雅黑" w:hAnsi="微软雅黑" w:eastAsia="微软雅黑" w:cs="微软雅黑"/>
          <w:i w:val="0"/>
          <w:iCs w:val="0"/>
          <w:caps w:val="0"/>
          <w:color w:val="auto"/>
          <w:spacing w:val="0"/>
          <w:sz w:val="21"/>
          <w:szCs w:val="21"/>
        </w:rPr>
      </w:pPr>
      <w:r>
        <w:rPr>
          <w:rFonts w:hint="default" w:ascii="仿宋_GB2312" w:hAnsi="微软雅黑" w:eastAsia="仿宋_GB2312" w:cs="仿宋_GB2312"/>
          <w:i w:val="0"/>
          <w:iCs w:val="0"/>
          <w:caps w:val="0"/>
          <w:color w:val="auto"/>
          <w:spacing w:val="0"/>
          <w:sz w:val="31"/>
          <w:szCs w:val="31"/>
          <w:shd w:val="clear" w:color="auto" w:fill="FFFFFF"/>
          <w:vertAlign w:val="baseline"/>
        </w:rPr>
        <w:t>（四）负责做好入园幼儿的保育管理，执行科学合理的生活作息制度，提供符合国家卫生标准和安全标准的园舍、场地、设施设备、教具玩具、食品饮水等，维护幼儿人身安全和身心健康。</w:t>
      </w:r>
    </w:p>
    <w:p w14:paraId="5AE4425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textAlignment w:val="baseline"/>
        <w:rPr>
          <w:rFonts w:hint="eastAsia" w:ascii="黑体" w:hAnsi="黑体" w:eastAsia="黑体" w:cs="黑体"/>
          <w:sz w:val="32"/>
          <w:szCs w:val="32"/>
        </w:rPr>
      </w:pPr>
      <w:r>
        <w:rPr>
          <w:rFonts w:hint="default" w:ascii="仿宋_GB2312" w:hAnsi="微软雅黑" w:eastAsia="仿宋_GB2312" w:cs="仿宋_GB2312"/>
          <w:i w:val="0"/>
          <w:iCs w:val="0"/>
          <w:caps w:val="0"/>
          <w:color w:val="auto"/>
          <w:spacing w:val="0"/>
          <w:sz w:val="31"/>
          <w:szCs w:val="31"/>
          <w:shd w:val="clear" w:color="auto" w:fill="FFFFFF"/>
          <w:vertAlign w:val="baseline"/>
        </w:rPr>
        <w:t>（五）负责执行卫生保障制度，依法做好卫生消毒、疫病防控、药品管理使用等工作。</w:t>
      </w:r>
    </w:p>
    <w:p w14:paraId="0680DACE">
      <w:pPr>
        <w:spacing w:line="578" w:lineRule="exact"/>
        <w:ind w:firstLine="640" w:firstLineChars="200"/>
        <w:rPr>
          <w:rFonts w:hint="eastAsia" w:ascii="黑体" w:hAnsi="黑体" w:eastAsia="黑体" w:cs="黑体"/>
          <w:sz w:val="32"/>
          <w:szCs w:val="32"/>
        </w:rPr>
      </w:pPr>
      <w:bookmarkStart w:id="14" w:name="_Toc6572_WPSOffice_Level2"/>
      <w:bookmarkStart w:id="15" w:name="_Toc24474_WPSOffice_Level2"/>
      <w:bookmarkStart w:id="16" w:name="_Toc24059_WPSOffice_Level2"/>
      <w:bookmarkStart w:id="17" w:name="_Toc4833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14:paraId="51D5CF5F">
      <w:pPr>
        <w:ind w:firstLine="640" w:firstLineChars="200"/>
        <w:rPr>
          <w:rFonts w:hint="eastAsia" w:ascii="仿宋_GB2312" w:hAnsi="ˎ̥" w:eastAsia="仿宋_GB2312"/>
          <w:color w:val="auto"/>
          <w:sz w:val="32"/>
          <w:szCs w:val="32"/>
        </w:rPr>
      </w:pPr>
      <w:bookmarkStart w:id="19" w:name="_Toc25738_WPSOffice_Level2"/>
      <w:bookmarkStart w:id="20" w:name="_Toc24421_WPSOffice_Level2"/>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三亚市海棠区</w:t>
      </w:r>
      <w:r>
        <w:rPr>
          <w:rFonts w:hint="eastAsia" w:ascii="仿宋_GB2312" w:hAnsi="ˎ̥" w:eastAsia="仿宋_GB2312"/>
          <w:color w:val="000000"/>
          <w:sz w:val="32"/>
          <w:szCs w:val="32"/>
          <w:lang w:val="en-US" w:eastAsia="zh-CN"/>
        </w:rPr>
        <w:t>人才基基地</w:t>
      </w:r>
      <w:r>
        <w:rPr>
          <w:rFonts w:hint="eastAsia" w:ascii="仿宋_GB2312" w:hAnsi="ˎ̥" w:eastAsia="仿宋_GB2312"/>
          <w:color w:val="auto"/>
          <w:sz w:val="32"/>
          <w:szCs w:val="32"/>
          <w:lang w:val="en-US" w:eastAsia="zh-CN"/>
        </w:rPr>
        <w:t>幼儿园</w:t>
      </w:r>
      <w:r>
        <w:rPr>
          <w:rFonts w:hint="eastAsia" w:ascii="仿宋_GB2312" w:hAnsi="ˎ̥" w:eastAsia="仿宋_GB2312"/>
          <w:color w:val="auto"/>
          <w:sz w:val="32"/>
          <w:szCs w:val="32"/>
          <w:lang w:eastAsia="zh-CN"/>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lang w:eastAsia="zh-CN"/>
        </w:rPr>
        <w:t>年度</w:t>
      </w:r>
      <w:r>
        <w:rPr>
          <w:rFonts w:hint="eastAsia" w:ascii="仿宋_GB2312" w:hAnsi="ˎ̥" w:eastAsia="仿宋_GB2312"/>
          <w:color w:val="auto"/>
          <w:sz w:val="32"/>
          <w:szCs w:val="32"/>
          <w:lang w:val="en-US" w:eastAsia="zh-CN"/>
        </w:rPr>
        <w:t>部门决</w:t>
      </w:r>
      <w:r>
        <w:rPr>
          <w:rFonts w:hint="eastAsia" w:ascii="仿宋_GB2312" w:hAnsi="ˎ̥" w:eastAsia="仿宋_GB2312"/>
          <w:color w:val="auto"/>
          <w:sz w:val="32"/>
          <w:szCs w:val="32"/>
        </w:rPr>
        <w:t>算编制范围的单位包括：</w:t>
      </w:r>
    </w:p>
    <w:p w14:paraId="616AC0E9">
      <w:pPr>
        <w:ind w:firstLine="640" w:firstLineChars="200"/>
        <w:rPr>
          <w:rFonts w:hint="default" w:ascii="楷体" w:hAnsi="楷体" w:eastAsia="楷体" w:cs="楷体"/>
          <w:color w:val="auto"/>
          <w:sz w:val="32"/>
          <w:szCs w:val="32"/>
          <w:lang w:val="en-US" w:eastAsia="zh-CN"/>
        </w:rPr>
      </w:pPr>
      <w:r>
        <w:rPr>
          <w:rFonts w:hint="eastAsia" w:ascii="方正楷体_GBK" w:hAnsi="方正楷体_GBK" w:eastAsia="方正楷体_GBK" w:cs="方正楷体_GBK"/>
          <w:sz w:val="32"/>
          <w:szCs w:val="32"/>
        </w:rPr>
        <w:t>（一）</w:t>
      </w:r>
      <w:r>
        <w:rPr>
          <w:rFonts w:hint="eastAsia" w:ascii="楷体" w:hAnsi="楷体" w:eastAsia="楷体" w:cs="楷体"/>
          <w:color w:val="auto"/>
          <w:sz w:val="32"/>
          <w:szCs w:val="32"/>
          <w:lang w:val="en-US" w:eastAsia="zh-CN"/>
        </w:rPr>
        <w:t>三亚市海棠区人才基地幼儿园本级</w:t>
      </w:r>
    </w:p>
    <w:bookmarkEnd w:id="19"/>
    <w:bookmarkEnd w:id="20"/>
    <w:p w14:paraId="7360D4B5">
      <w:pPr>
        <w:spacing w:line="240" w:lineRule="auto"/>
        <w:ind w:firstLine="640" w:firstLineChars="200"/>
        <w:rPr>
          <w:rFonts w:hint="eastAsia" w:ascii="仿宋_GB2312" w:hAnsi="ˎ̥" w:eastAsia="仿宋_GB2312"/>
          <w:color w:val="auto"/>
          <w:sz w:val="32"/>
          <w:szCs w:val="32"/>
          <w:lang w:eastAsia="zh-CN"/>
        </w:rPr>
      </w:pPr>
      <w:bookmarkStart w:id="21" w:name="_Toc19721_WPSOffice_Level2"/>
      <w:bookmarkStart w:id="22" w:name="_Toc4442_WPSOffice_Level2"/>
      <w:r>
        <w:rPr>
          <w:rFonts w:hint="eastAsia" w:ascii="方正楷体_GBK" w:hAnsi="方正楷体_GBK" w:eastAsia="方正楷体_GBK" w:cs="方正楷体_GBK"/>
          <w:sz w:val="32"/>
          <w:szCs w:val="32"/>
        </w:rPr>
        <w:t>（二）</w:t>
      </w:r>
      <w:r>
        <w:rPr>
          <w:rFonts w:hint="eastAsia" w:ascii="楷体" w:hAnsi="楷体" w:eastAsia="楷体" w:cs="楷体"/>
          <w:color w:val="auto"/>
          <w:sz w:val="32"/>
          <w:szCs w:val="32"/>
          <w:lang w:val="en-US" w:eastAsia="zh-CN"/>
        </w:rPr>
        <w:t>三亚市海棠区人才基地幼儿园无内设机构</w:t>
      </w:r>
      <w:r>
        <w:rPr>
          <w:rFonts w:hint="eastAsia" w:ascii="仿宋_GB2312" w:hAnsi="ˎ̥" w:eastAsia="仿宋_GB2312"/>
          <w:color w:val="auto"/>
          <w:sz w:val="32"/>
          <w:szCs w:val="32"/>
          <w:lang w:eastAsia="zh-CN"/>
        </w:rPr>
        <w:t>。</w:t>
      </w:r>
      <w:bookmarkEnd w:id="21"/>
      <w:bookmarkEnd w:id="22"/>
      <w:bookmarkStart w:id="23" w:name="_Toc15521_WPSOffice_Level1"/>
      <w:bookmarkStart w:id="24" w:name="_Toc6234_WPSOffice_Level1"/>
      <w:bookmarkStart w:id="25" w:name="_Toc30451_WPSOffice_Level1"/>
      <w:bookmarkStart w:id="26" w:name="_Toc28253_WPSOffice_Level1"/>
      <w:bookmarkStart w:id="27" w:name="_Toc8164_WPSOffice_Level1"/>
      <w:bookmarkStart w:id="28" w:name="_Toc30690_WPSOffice_Level1"/>
      <w:bookmarkStart w:id="29" w:name="_Toc32472_WPSOffice_Level2"/>
      <w:bookmarkStart w:id="30" w:name="_Toc11518_WPSOffice_Level2"/>
      <w:bookmarkStart w:id="31" w:name="_Toc6211_WPSOffice_Level2"/>
      <w:bookmarkStart w:id="32" w:name="_Toc8867_WPSOffice_Level2"/>
      <w:bookmarkStart w:id="33" w:name="_Toc4029_WPSOffice_Level2"/>
      <w:bookmarkStart w:id="34" w:name="_Toc32695_WPSOffice_Level2"/>
    </w:p>
    <w:p w14:paraId="1A7D1292">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3"/>
      <w:bookmarkEnd w:id="24"/>
      <w:bookmarkEnd w:id="25"/>
      <w:bookmarkEnd w:id="26"/>
      <w:bookmarkEnd w:id="27"/>
      <w:bookmarkEnd w:id="28"/>
    </w:p>
    <w:p w14:paraId="62CC4E2D">
      <w:pPr>
        <w:spacing w:line="578" w:lineRule="exact"/>
        <w:jc w:val="center"/>
        <w:rPr>
          <w:rFonts w:hint="eastAsia" w:ascii="黑体" w:hAnsi="ˎ̥" w:eastAsia="黑体"/>
          <w:sz w:val="32"/>
          <w:szCs w:val="32"/>
        </w:rPr>
      </w:pPr>
    </w:p>
    <w:p w14:paraId="4609FEC3">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9"/>
      <w:bookmarkEnd w:id="30"/>
      <w:bookmarkEnd w:id="31"/>
      <w:bookmarkEnd w:id="32"/>
      <w:bookmarkEnd w:id="33"/>
      <w:bookmarkEnd w:id="34"/>
    </w:p>
    <w:p w14:paraId="646AEC68">
      <w:pPr>
        <w:spacing w:line="578" w:lineRule="exact"/>
        <w:ind w:firstLine="645"/>
        <w:rPr>
          <w:rFonts w:hint="eastAsia" w:ascii="黑体" w:hAnsi="黑体" w:eastAsia="黑体" w:cs="黑体"/>
          <w:sz w:val="32"/>
          <w:szCs w:val="32"/>
        </w:rPr>
      </w:pPr>
      <w:bookmarkStart w:id="35" w:name="_Toc26621_WPSOffice_Level2"/>
      <w:bookmarkStart w:id="36" w:name="_Toc25608_WPSOffice_Level2"/>
      <w:bookmarkStart w:id="37" w:name="_Toc28622_WPSOffice_Level2"/>
      <w:bookmarkStart w:id="38" w:name="_Toc23139_WPSOffice_Level2"/>
      <w:bookmarkStart w:id="39" w:name="_Toc14349_WPSOffice_Level2"/>
      <w:bookmarkStart w:id="40" w:name="_Toc30334_WPSOffice_Level2"/>
      <w:r>
        <w:rPr>
          <w:rFonts w:hint="eastAsia" w:ascii="黑体" w:hAnsi="黑体" w:eastAsia="黑体" w:cs="黑体"/>
          <w:sz w:val="32"/>
          <w:szCs w:val="32"/>
        </w:rPr>
        <w:t>二、收入决算公开表</w:t>
      </w:r>
      <w:bookmarkEnd w:id="35"/>
      <w:bookmarkEnd w:id="36"/>
      <w:bookmarkEnd w:id="37"/>
      <w:bookmarkEnd w:id="38"/>
      <w:bookmarkEnd w:id="39"/>
      <w:bookmarkEnd w:id="40"/>
      <w:bookmarkStart w:id="41" w:name="_Toc5489_WPSOffice_Level2"/>
      <w:bookmarkStart w:id="42" w:name="_Toc13854_WPSOffice_Level2"/>
      <w:bookmarkStart w:id="43" w:name="_Toc3262_WPSOffice_Level2"/>
      <w:bookmarkStart w:id="44" w:name="_Toc17626_WPSOffice_Level2"/>
      <w:bookmarkStart w:id="45" w:name="_Toc17858_WPSOffice_Level2"/>
      <w:bookmarkStart w:id="46" w:name="_Toc14658_WPSOffice_Level2"/>
    </w:p>
    <w:p w14:paraId="2D43FEA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41"/>
      <w:bookmarkEnd w:id="42"/>
      <w:bookmarkEnd w:id="43"/>
      <w:bookmarkEnd w:id="44"/>
      <w:bookmarkEnd w:id="45"/>
      <w:bookmarkEnd w:id="46"/>
      <w:bookmarkStart w:id="47" w:name="_Toc23493_WPSOffice_Level2"/>
      <w:bookmarkStart w:id="48" w:name="_Toc23591_WPSOffice_Level2"/>
      <w:bookmarkStart w:id="49" w:name="_Toc21415_WPSOffice_Level2"/>
      <w:bookmarkStart w:id="50" w:name="_Toc13701_WPSOffice_Level2"/>
      <w:bookmarkStart w:id="51" w:name="_Toc4265_WPSOffice_Level2"/>
      <w:bookmarkStart w:id="52" w:name="_Toc7988_WPSOffice_Level2"/>
    </w:p>
    <w:p w14:paraId="466CE0B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7"/>
      <w:bookmarkEnd w:id="48"/>
      <w:bookmarkEnd w:id="49"/>
      <w:bookmarkEnd w:id="50"/>
      <w:bookmarkEnd w:id="51"/>
      <w:bookmarkEnd w:id="52"/>
    </w:p>
    <w:p w14:paraId="1CA1AAB7">
      <w:pPr>
        <w:spacing w:line="578" w:lineRule="exact"/>
        <w:ind w:firstLine="645"/>
        <w:rPr>
          <w:rFonts w:hint="eastAsia" w:ascii="黑体" w:hAnsi="黑体" w:eastAsia="黑体" w:cs="黑体"/>
          <w:sz w:val="32"/>
          <w:szCs w:val="32"/>
        </w:rPr>
      </w:pPr>
      <w:bookmarkStart w:id="53" w:name="_Toc7879_WPSOffice_Level2"/>
      <w:bookmarkStart w:id="54" w:name="_Toc25166_WPSOffice_Level2"/>
      <w:bookmarkStart w:id="55" w:name="_Toc22783_WPSOffice_Level2"/>
      <w:bookmarkStart w:id="56" w:name="_Toc23829_WPSOffice_Level2"/>
      <w:bookmarkStart w:id="57" w:name="_Toc13516_WPSOffice_Level2"/>
      <w:bookmarkStart w:id="58" w:name="_Toc2158_WPSOffice_Level2"/>
      <w:r>
        <w:rPr>
          <w:rFonts w:hint="eastAsia" w:ascii="黑体" w:hAnsi="黑体" w:eastAsia="黑体" w:cs="黑体"/>
          <w:sz w:val="32"/>
          <w:szCs w:val="32"/>
        </w:rPr>
        <w:t>五、一般公共预算财政拨款收入支出决算</w:t>
      </w:r>
      <w:bookmarkEnd w:id="53"/>
      <w:bookmarkEnd w:id="54"/>
      <w:bookmarkEnd w:id="55"/>
      <w:bookmarkEnd w:id="56"/>
      <w:r>
        <w:rPr>
          <w:rFonts w:hint="eastAsia" w:ascii="黑体" w:hAnsi="黑体" w:eastAsia="黑体" w:cs="黑体"/>
          <w:sz w:val="32"/>
          <w:szCs w:val="32"/>
        </w:rPr>
        <w:t>公开表</w:t>
      </w:r>
      <w:bookmarkEnd w:id="57"/>
      <w:bookmarkEnd w:id="58"/>
      <w:bookmarkStart w:id="59" w:name="_Toc5343_WPSOffice_Level2"/>
      <w:bookmarkStart w:id="60" w:name="_Toc17283_WPSOffice_Level2"/>
      <w:bookmarkStart w:id="61" w:name="_Toc25362_WPSOffice_Level2"/>
      <w:bookmarkStart w:id="62" w:name="_Toc8373_WPSOffice_Level2"/>
      <w:bookmarkStart w:id="63" w:name="_Toc2632_WPSOffice_Level2"/>
      <w:bookmarkStart w:id="64" w:name="_Toc17833_WPSOffice_Level2"/>
    </w:p>
    <w:p w14:paraId="163493D2">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9"/>
      <w:bookmarkEnd w:id="60"/>
      <w:bookmarkEnd w:id="61"/>
      <w:bookmarkEnd w:id="62"/>
      <w:bookmarkEnd w:id="63"/>
      <w:bookmarkEnd w:id="64"/>
      <w:r>
        <w:rPr>
          <w:rFonts w:hint="eastAsia" w:ascii="黑体" w:hAnsi="黑体" w:eastAsia="黑体" w:cs="黑体"/>
          <w:sz w:val="32"/>
          <w:szCs w:val="32"/>
        </w:rPr>
        <w:t>公开表</w:t>
      </w:r>
    </w:p>
    <w:p w14:paraId="11250B0D">
      <w:pPr>
        <w:spacing w:line="578" w:lineRule="exact"/>
        <w:ind w:left="1118" w:leftChars="304" w:hanging="480" w:hangingChars="150"/>
        <w:rPr>
          <w:rFonts w:hint="eastAsia" w:ascii="黑体" w:hAnsi="黑体" w:eastAsia="黑体" w:cs="黑体"/>
          <w:sz w:val="32"/>
          <w:szCs w:val="32"/>
        </w:rPr>
      </w:pPr>
      <w:bookmarkStart w:id="65" w:name="_Toc11799_WPSOffice_Level2"/>
      <w:bookmarkStart w:id="66" w:name="_Toc21310_WPSOffice_Level2"/>
      <w:bookmarkStart w:id="67" w:name="_Toc13345_WPSOffice_Level2"/>
      <w:bookmarkStart w:id="68" w:name="_Toc6020_WPSOffice_Level2"/>
      <w:bookmarkStart w:id="69" w:name="_Toc1533_WPSOffice_Level2"/>
      <w:bookmarkStart w:id="70" w:name="_Toc5594_WPSOffice_Level2"/>
      <w:r>
        <w:rPr>
          <w:rFonts w:hint="eastAsia" w:ascii="黑体" w:hAnsi="黑体" w:eastAsia="黑体" w:cs="黑体"/>
          <w:sz w:val="32"/>
          <w:szCs w:val="32"/>
        </w:rPr>
        <w:t>七、政府性基金预算财政拨款收入支出决算</w:t>
      </w:r>
      <w:bookmarkEnd w:id="65"/>
      <w:bookmarkEnd w:id="66"/>
      <w:bookmarkEnd w:id="67"/>
      <w:bookmarkEnd w:id="68"/>
      <w:bookmarkEnd w:id="69"/>
      <w:bookmarkEnd w:id="70"/>
      <w:r>
        <w:rPr>
          <w:rFonts w:hint="eastAsia" w:ascii="黑体" w:hAnsi="黑体" w:eastAsia="黑体" w:cs="黑体"/>
          <w:sz w:val="32"/>
          <w:szCs w:val="32"/>
        </w:rPr>
        <w:t>公开表</w:t>
      </w:r>
    </w:p>
    <w:p w14:paraId="33B6C1DC">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6225979D">
      <w:pPr>
        <w:spacing w:line="578" w:lineRule="exact"/>
        <w:ind w:firstLine="640"/>
        <w:rPr>
          <w:rFonts w:hint="eastAsia" w:ascii="黑体" w:hAnsi="黑体" w:eastAsia="黑体" w:cs="黑体"/>
          <w:sz w:val="32"/>
          <w:szCs w:val="32"/>
        </w:rPr>
      </w:pPr>
      <w:bookmarkStart w:id="71" w:name="_Toc19961_WPSOffice_Level2"/>
      <w:bookmarkStart w:id="72" w:name="_Toc29886_WPSOffice_Level2"/>
      <w:bookmarkStart w:id="73" w:name="_Toc1820_WPSOffice_Level2"/>
      <w:bookmarkStart w:id="74" w:name="_Toc9377_WPSOffice_Level2"/>
      <w:r>
        <w:rPr>
          <w:rFonts w:hint="eastAsia" w:ascii="黑体" w:hAnsi="黑体" w:eastAsia="黑体" w:cs="黑体"/>
          <w:sz w:val="32"/>
          <w:szCs w:val="32"/>
        </w:rPr>
        <w:t>九、财政拨款“三公”经费支出决算</w:t>
      </w:r>
      <w:bookmarkEnd w:id="71"/>
      <w:bookmarkEnd w:id="72"/>
      <w:bookmarkEnd w:id="73"/>
      <w:bookmarkEnd w:id="74"/>
      <w:r>
        <w:rPr>
          <w:rFonts w:hint="eastAsia" w:ascii="黑体" w:hAnsi="黑体" w:eastAsia="黑体" w:cs="黑体"/>
          <w:sz w:val="32"/>
          <w:szCs w:val="32"/>
        </w:rPr>
        <w:t>公开表</w:t>
      </w:r>
    </w:p>
    <w:p w14:paraId="752E8721">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5B482E07">
      <w:pPr>
        <w:spacing w:line="578" w:lineRule="exact"/>
        <w:rPr>
          <w:rFonts w:hint="eastAsia" w:ascii="黑体" w:hAnsi="黑体" w:eastAsia="黑体" w:cs="黑体"/>
          <w:sz w:val="32"/>
          <w:szCs w:val="32"/>
        </w:rPr>
      </w:pPr>
    </w:p>
    <w:p w14:paraId="6DD39874">
      <w:pPr>
        <w:spacing w:line="578" w:lineRule="exact"/>
        <w:jc w:val="center"/>
        <w:rPr>
          <w:rFonts w:hint="eastAsia" w:ascii="黑体" w:hAnsi="ˎ̥" w:eastAsia="黑体"/>
          <w:sz w:val="32"/>
          <w:szCs w:val="32"/>
        </w:rPr>
      </w:pPr>
      <w:bookmarkStart w:id="75" w:name="_Toc27590_WPSOffice_Level1"/>
      <w:bookmarkStart w:id="76" w:name="_Toc4402_WPSOffice_Level1"/>
      <w:bookmarkStart w:id="77" w:name="_Toc29683_WPSOffice_Level1"/>
      <w:bookmarkStart w:id="78" w:name="_Toc28629_WPSOffice_Level1"/>
      <w:bookmarkStart w:id="79" w:name="_Toc31264_WPSOffice_Level1"/>
      <w:bookmarkStart w:id="80" w:name="_Toc16686_WPSOffice_Level1"/>
    </w:p>
    <w:p w14:paraId="625901A6">
      <w:pPr>
        <w:spacing w:line="578" w:lineRule="exact"/>
        <w:jc w:val="center"/>
        <w:rPr>
          <w:rFonts w:hint="eastAsia" w:ascii="黑体" w:hAnsi="ˎ̥" w:eastAsia="黑体"/>
          <w:sz w:val="32"/>
          <w:szCs w:val="32"/>
        </w:rPr>
      </w:pPr>
    </w:p>
    <w:p w14:paraId="059A8F6A">
      <w:pPr>
        <w:spacing w:line="578" w:lineRule="exact"/>
        <w:jc w:val="center"/>
        <w:rPr>
          <w:rFonts w:hint="eastAsia" w:ascii="黑体" w:hAnsi="ˎ̥" w:eastAsia="黑体"/>
          <w:sz w:val="32"/>
          <w:szCs w:val="32"/>
        </w:rPr>
      </w:pPr>
    </w:p>
    <w:p w14:paraId="6E5B45A5">
      <w:pPr>
        <w:spacing w:line="578" w:lineRule="exact"/>
        <w:jc w:val="center"/>
        <w:rPr>
          <w:rFonts w:hint="eastAsia" w:ascii="黑体" w:hAnsi="ˎ̥" w:eastAsia="黑体"/>
          <w:sz w:val="32"/>
          <w:szCs w:val="32"/>
        </w:rPr>
      </w:pPr>
    </w:p>
    <w:p w14:paraId="0C0C6F57">
      <w:pPr>
        <w:spacing w:line="578" w:lineRule="exact"/>
        <w:jc w:val="center"/>
        <w:rPr>
          <w:rFonts w:hint="eastAsia" w:ascii="黑体" w:hAnsi="ˎ̥" w:eastAsia="黑体"/>
          <w:sz w:val="32"/>
          <w:szCs w:val="32"/>
        </w:rPr>
      </w:pPr>
    </w:p>
    <w:p w14:paraId="04EB026D">
      <w:pPr>
        <w:spacing w:line="578" w:lineRule="exact"/>
        <w:jc w:val="center"/>
        <w:rPr>
          <w:rFonts w:hint="eastAsia" w:ascii="黑体" w:hAnsi="ˎ̥" w:eastAsia="黑体"/>
          <w:sz w:val="32"/>
          <w:szCs w:val="32"/>
        </w:rPr>
      </w:pPr>
    </w:p>
    <w:p w14:paraId="3B8ED956">
      <w:pPr>
        <w:spacing w:line="578" w:lineRule="exact"/>
        <w:jc w:val="center"/>
        <w:rPr>
          <w:rFonts w:hint="eastAsia" w:ascii="黑体" w:hAnsi="ˎ̥" w:eastAsia="黑体"/>
          <w:sz w:val="32"/>
          <w:szCs w:val="32"/>
        </w:rPr>
      </w:pPr>
    </w:p>
    <w:p w14:paraId="65D792FF">
      <w:pPr>
        <w:spacing w:line="578" w:lineRule="exact"/>
        <w:jc w:val="center"/>
        <w:rPr>
          <w:rFonts w:hint="eastAsia" w:ascii="黑体" w:hAnsi="ˎ̥" w:eastAsia="黑体"/>
          <w:sz w:val="32"/>
          <w:szCs w:val="32"/>
        </w:rPr>
      </w:pPr>
    </w:p>
    <w:p w14:paraId="7F63026B">
      <w:pPr>
        <w:spacing w:line="578" w:lineRule="exact"/>
        <w:jc w:val="center"/>
        <w:rPr>
          <w:rFonts w:hint="eastAsia" w:ascii="黑体" w:hAnsi="ˎ̥" w:eastAsia="黑体"/>
          <w:sz w:val="32"/>
          <w:szCs w:val="32"/>
        </w:rPr>
      </w:pPr>
    </w:p>
    <w:p w14:paraId="31BF6332">
      <w:pPr>
        <w:spacing w:line="578" w:lineRule="exact"/>
        <w:ind w:firstLine="1600" w:firstLineChars="500"/>
        <w:jc w:val="both"/>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5"/>
      <w:bookmarkEnd w:id="76"/>
      <w:bookmarkEnd w:id="77"/>
      <w:bookmarkEnd w:id="78"/>
      <w:bookmarkEnd w:id="79"/>
      <w:bookmarkEnd w:id="80"/>
    </w:p>
    <w:p w14:paraId="0108672B">
      <w:pPr>
        <w:spacing w:line="578" w:lineRule="exact"/>
        <w:jc w:val="center"/>
        <w:rPr>
          <w:rFonts w:hint="eastAsia" w:ascii="黑体" w:hAnsi="ˎ̥" w:eastAsia="黑体"/>
          <w:sz w:val="32"/>
          <w:szCs w:val="32"/>
        </w:rPr>
      </w:pPr>
    </w:p>
    <w:p w14:paraId="1051B5A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color w:val="FF0000"/>
          <w:sz w:val="32"/>
          <w:szCs w:val="32"/>
          <w:lang w:val="en-US" w:eastAsia="zh-CN"/>
        </w:rPr>
        <w:t>189.38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70.95</w:t>
      </w:r>
      <w:r>
        <w:rPr>
          <w:rFonts w:hint="eastAsia" w:ascii="仿宋_GB2312" w:hAnsi="ˎ̥" w:eastAsia="仿宋_GB2312"/>
          <w:sz w:val="32"/>
          <w:szCs w:val="32"/>
        </w:rPr>
        <w:t>%。主要原因：</w:t>
      </w:r>
      <w:r>
        <w:rPr>
          <w:rFonts w:hint="eastAsia" w:ascii="仿宋_GB2312" w:hAnsi="黑体" w:eastAsia="仿宋_GB2312"/>
          <w:color w:val="000000"/>
          <w:sz w:val="32"/>
          <w:szCs w:val="32"/>
        </w:rPr>
        <w:t>是</w:t>
      </w:r>
      <w:r>
        <w:rPr>
          <w:rFonts w:hint="eastAsia" w:ascii="仿宋_GB2312" w:hAnsi="黑体" w:eastAsia="仿宋_GB2312"/>
          <w:color w:val="000000"/>
          <w:sz w:val="32"/>
          <w:szCs w:val="32"/>
          <w:lang w:val="en-US" w:eastAsia="zh-CN"/>
        </w:rPr>
        <w:t>我园2024年教职工人数以及幼儿人数不断增加</w:t>
      </w:r>
      <w:r>
        <w:rPr>
          <w:rFonts w:hint="eastAsia" w:ascii="仿宋_GB2312" w:hAnsi="ˎ̥" w:eastAsia="仿宋_GB2312"/>
          <w:sz w:val="32"/>
          <w:szCs w:val="32"/>
        </w:rPr>
        <w:t>。</w:t>
      </w:r>
      <w:r>
        <w:rPr>
          <w:rFonts w:hint="eastAsia" w:ascii="仿宋_GB2312" w:hAnsi="ˎ̥" w:eastAsia="仿宋_GB2312"/>
          <w:sz w:val="32"/>
          <w:szCs w:val="32"/>
          <w:lang w:val="en-US" w:eastAsia="zh-CN"/>
        </w:rPr>
        <w:t>故收入和支出也随之增加。</w:t>
      </w:r>
    </w:p>
    <w:p w14:paraId="05B8AFD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596A4F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w:t>
      </w:r>
    </w:p>
    <w:p w14:paraId="3AB6C1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w:t>
      </w:r>
      <w:r>
        <w:rPr>
          <w:rFonts w:hint="eastAsia" w:ascii="仿宋_GB2312" w:hAnsi="ˎ̥" w:eastAsia="仿宋_GB2312"/>
          <w:color w:val="FF0000"/>
          <w:sz w:val="32"/>
          <w:szCs w:val="32"/>
          <w:lang w:val="en-US" w:eastAsia="zh-CN"/>
        </w:rPr>
        <w:t>189.38</w:t>
      </w:r>
      <w:r>
        <w:rPr>
          <w:rFonts w:hint="eastAsia" w:ascii="仿宋_GB2312" w:hAnsi="ˎ̥" w:eastAsia="仿宋_GB2312"/>
          <w:sz w:val="32"/>
          <w:szCs w:val="32"/>
        </w:rPr>
        <w:t>万元，主要原因是</w:t>
      </w:r>
      <w:r>
        <w:rPr>
          <w:rFonts w:hint="eastAsia" w:ascii="仿宋_GB2312" w:hAnsi="黑体" w:eastAsia="仿宋_GB2312"/>
          <w:color w:val="000000"/>
          <w:sz w:val="32"/>
          <w:szCs w:val="32"/>
          <w:lang w:val="en-US" w:eastAsia="zh-CN"/>
        </w:rPr>
        <w:t>我园2024年教职工人数以及幼儿人数不断增加，</w:t>
      </w:r>
      <w:r>
        <w:rPr>
          <w:rFonts w:hint="eastAsia" w:ascii="仿宋_GB2312" w:hAnsi="ˎ̥" w:eastAsia="仿宋_GB2312"/>
          <w:sz w:val="32"/>
          <w:szCs w:val="32"/>
          <w:lang w:val="en-US" w:eastAsia="zh-CN"/>
        </w:rPr>
        <w:t>故收入也随之增加</w:t>
      </w:r>
      <w:r>
        <w:rPr>
          <w:rFonts w:hint="eastAsia" w:ascii="仿宋_GB2312" w:hAnsi="ˎ̥" w:eastAsia="仿宋_GB2312"/>
          <w:sz w:val="32"/>
          <w:szCs w:val="32"/>
        </w:rPr>
        <w:t>。</w:t>
      </w:r>
    </w:p>
    <w:p w14:paraId="5B2819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2023年预算数准确，无剩余经费可结转</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不变</w:t>
      </w:r>
      <w:r>
        <w:rPr>
          <w:rFonts w:hint="eastAsia" w:ascii="仿宋_GB2312" w:hAnsi="ˎ̥" w:eastAsia="仿宋_GB2312"/>
          <w:sz w:val="32"/>
          <w:szCs w:val="32"/>
        </w:rPr>
        <w:t>。</w:t>
      </w:r>
    </w:p>
    <w:p w14:paraId="74FAD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14:paraId="788E8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w:t>
      </w:r>
    </w:p>
    <w:p w14:paraId="382684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2023年预算数准确，无剩余经费可结余分配</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不变</w:t>
      </w:r>
      <w:r>
        <w:rPr>
          <w:rFonts w:hint="eastAsia" w:ascii="仿宋_GB2312" w:hAnsi="ˎ̥" w:eastAsia="仿宋_GB2312"/>
          <w:sz w:val="32"/>
          <w:szCs w:val="32"/>
        </w:rPr>
        <w:t>。</w:t>
      </w:r>
    </w:p>
    <w:p w14:paraId="5ABFB0D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2023年预算数准确，无剩余经费可结余分配</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不变</w:t>
      </w:r>
      <w:r>
        <w:rPr>
          <w:rFonts w:hint="eastAsia" w:ascii="仿宋_GB2312" w:hAnsi="ˎ̥" w:eastAsia="仿宋_GB2312"/>
          <w:sz w:val="32"/>
          <w:szCs w:val="32"/>
        </w:rPr>
        <w:t>。</w:t>
      </w:r>
    </w:p>
    <w:p w14:paraId="3B02073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5FF693E6">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14:paraId="29410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39.24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85.99</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417.05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91.40</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6EA146F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14:paraId="3CD7D43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189.38</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70.95</w:t>
      </w:r>
      <w:r>
        <w:rPr>
          <w:rFonts w:hint="eastAsia" w:ascii="仿宋_GB2312" w:hAnsi="ˎ̥" w:eastAsia="仿宋_GB2312"/>
          <w:sz w:val="32"/>
          <w:szCs w:val="32"/>
        </w:rPr>
        <w:t>%，主要原因：</w:t>
      </w:r>
      <w:r>
        <w:rPr>
          <w:rFonts w:hint="eastAsia" w:ascii="仿宋_GB2312" w:hAnsi="黑体" w:eastAsia="仿宋_GB2312"/>
          <w:color w:val="000000"/>
          <w:sz w:val="32"/>
          <w:szCs w:val="32"/>
          <w:lang w:val="en-US" w:eastAsia="zh-CN"/>
        </w:rPr>
        <w:t>我园2024年教职工人数以及幼儿人数不断增加，</w:t>
      </w:r>
      <w:r>
        <w:rPr>
          <w:rFonts w:hint="eastAsia" w:ascii="仿宋_GB2312" w:hAnsi="ˎ̥" w:eastAsia="仿宋_GB2312"/>
          <w:sz w:val="32"/>
          <w:szCs w:val="32"/>
          <w:lang w:val="en-US" w:eastAsia="zh-CN"/>
        </w:rPr>
        <w:t>故收入也随之增加</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189.38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70.95</w:t>
      </w:r>
      <w:r>
        <w:rPr>
          <w:rFonts w:hint="eastAsia" w:ascii="仿宋_GB2312" w:hAnsi="ˎ̥" w:eastAsia="仿宋_GB2312"/>
          <w:sz w:val="32"/>
          <w:szCs w:val="32"/>
        </w:rPr>
        <w:t>%，主要原因：</w:t>
      </w:r>
      <w:r>
        <w:rPr>
          <w:rFonts w:hint="eastAsia" w:ascii="仿宋_GB2312" w:hAnsi="黑体" w:eastAsia="仿宋_GB2312"/>
          <w:color w:val="000000"/>
          <w:sz w:val="32"/>
          <w:szCs w:val="32"/>
          <w:lang w:val="en-US" w:eastAsia="zh-CN"/>
        </w:rPr>
        <w:t>我园2024年教职工人数以及幼儿人数不断增加，</w:t>
      </w:r>
      <w:r>
        <w:rPr>
          <w:rFonts w:hint="eastAsia" w:ascii="仿宋_GB2312" w:hAnsi="ˎ̥" w:eastAsia="仿宋_GB2312"/>
          <w:sz w:val="32"/>
          <w:szCs w:val="32"/>
          <w:lang w:val="en-US" w:eastAsia="zh-CN"/>
        </w:rPr>
        <w:t>故支出也随之增加</w:t>
      </w:r>
      <w:r>
        <w:rPr>
          <w:rFonts w:hint="eastAsia" w:ascii="仿宋_GB2312" w:hAnsi="ˎ̥" w:eastAsia="仿宋_GB2312"/>
          <w:sz w:val="32"/>
          <w:szCs w:val="32"/>
        </w:rPr>
        <w:t>。。</w:t>
      </w:r>
    </w:p>
    <w:p w14:paraId="2F2814C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2023年预算数准确，无剩余经费可结余分配</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不变</w:t>
      </w:r>
      <w:r>
        <w:rPr>
          <w:rFonts w:hint="eastAsia" w:ascii="仿宋_GB2312" w:hAnsi="ˎ̥" w:eastAsia="仿宋_GB2312"/>
          <w:sz w:val="32"/>
          <w:szCs w:val="32"/>
        </w:rPr>
        <w:t>。</w:t>
      </w:r>
    </w:p>
    <w:p w14:paraId="7835726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2023年预算数准确，无剩余经费可结余分配</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不变</w:t>
      </w:r>
      <w:r>
        <w:rPr>
          <w:rFonts w:hint="eastAsia" w:ascii="仿宋_GB2312" w:hAnsi="ˎ̥" w:eastAsia="仿宋_GB2312"/>
          <w:sz w:val="32"/>
          <w:szCs w:val="32"/>
        </w:rPr>
        <w:t>。</w:t>
      </w:r>
    </w:p>
    <w:p w14:paraId="7BE8C2ED">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14:paraId="556163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1" w:name="_Toc19665_WPSOffice_Level2"/>
      <w:bookmarkStart w:id="82" w:name="_Toc13694_WPSOffice_Level2"/>
      <w:bookmarkStart w:id="83" w:name="_Toc21737_WPSOffice_Level2"/>
      <w:bookmarkStart w:id="84" w:name="_Toc23005_WPSOffice_Level2"/>
      <w:bookmarkStart w:id="85" w:name="_Toc9989_WPSOffice_Level2"/>
      <w:bookmarkStart w:id="86" w:name="_Toc17398_WPSOffice_Level2"/>
      <w:r>
        <w:rPr>
          <w:rFonts w:hint="eastAsia" w:ascii="楷体" w:hAnsi="楷体" w:eastAsia="楷体" w:cs="楷体"/>
          <w:sz w:val="32"/>
          <w:szCs w:val="32"/>
        </w:rPr>
        <w:t>（一）一般公共预算财政拨款支出决算总体情况</w:t>
      </w:r>
      <w:bookmarkEnd w:id="81"/>
      <w:bookmarkEnd w:id="82"/>
      <w:bookmarkEnd w:id="83"/>
      <w:bookmarkEnd w:id="84"/>
      <w:bookmarkEnd w:id="85"/>
      <w:bookmarkEnd w:id="86"/>
    </w:p>
    <w:p w14:paraId="0B0CF27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color w:val="FF0000"/>
          <w:sz w:val="32"/>
          <w:szCs w:val="32"/>
          <w:lang w:val="en-US" w:eastAsia="zh-CN"/>
        </w:rPr>
        <w:t>189.38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70.95</w:t>
      </w:r>
      <w:r>
        <w:rPr>
          <w:rFonts w:hint="eastAsia" w:ascii="仿宋_GB2312" w:hAnsi="ˎ̥" w:eastAsia="仿宋_GB2312"/>
          <w:sz w:val="32"/>
          <w:szCs w:val="32"/>
        </w:rPr>
        <w:t>%，主要</w:t>
      </w:r>
      <w:r>
        <w:rPr>
          <w:rFonts w:hint="eastAsia" w:ascii="仿宋_GB2312" w:hAnsi="ˎ̥" w:eastAsia="仿宋_GB2312"/>
          <w:sz w:val="32"/>
          <w:szCs w:val="32"/>
          <w:lang w:val="en-US" w:eastAsia="zh-CN"/>
        </w:rPr>
        <w:t>原因</w:t>
      </w:r>
      <w:r>
        <w:rPr>
          <w:rFonts w:hint="eastAsia" w:ascii="仿宋_GB2312" w:hAnsi="ˎ̥" w:eastAsia="仿宋_GB2312"/>
          <w:sz w:val="32"/>
          <w:szCs w:val="32"/>
        </w:rPr>
        <w:t>是</w:t>
      </w:r>
      <w:r>
        <w:rPr>
          <w:rFonts w:hint="eastAsia" w:ascii="仿宋_GB2312" w:hAnsi="黑体" w:eastAsia="仿宋_GB2312"/>
          <w:color w:val="000000"/>
          <w:sz w:val="32"/>
          <w:szCs w:val="32"/>
          <w:lang w:val="en-US" w:eastAsia="zh-CN"/>
        </w:rPr>
        <w:t>我园2024年教职工人数以及幼儿人数不断增加，</w:t>
      </w:r>
      <w:r>
        <w:rPr>
          <w:rFonts w:hint="eastAsia" w:ascii="仿宋_GB2312" w:hAnsi="ˎ̥" w:eastAsia="仿宋_GB2312"/>
          <w:sz w:val="32"/>
          <w:szCs w:val="32"/>
          <w:lang w:val="en-US" w:eastAsia="zh-CN"/>
        </w:rPr>
        <w:t>故所需经费也随之增加</w:t>
      </w:r>
      <w:r>
        <w:rPr>
          <w:rFonts w:hint="eastAsia" w:ascii="仿宋_GB2312" w:hAnsi="ˎ̥" w:eastAsia="仿宋_GB2312"/>
          <w:sz w:val="32"/>
          <w:szCs w:val="32"/>
        </w:rPr>
        <w:t>。</w:t>
      </w:r>
    </w:p>
    <w:p w14:paraId="02CF4A3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7" w:name="_Toc18793_WPSOffice_Level2"/>
      <w:bookmarkStart w:id="88" w:name="_Toc2711_WPSOffice_Level2"/>
      <w:bookmarkStart w:id="89" w:name="_Toc19075_WPSOffice_Level2"/>
      <w:bookmarkStart w:id="90" w:name="_Toc23864_WPSOffice_Level2"/>
      <w:bookmarkStart w:id="91" w:name="_Toc19535_WPSOffice_Level2"/>
      <w:bookmarkStart w:id="92" w:name="_Toc27767_WPSOffice_Level2"/>
      <w:r>
        <w:rPr>
          <w:rFonts w:hint="eastAsia" w:ascii="楷体" w:hAnsi="楷体" w:eastAsia="楷体" w:cs="楷体"/>
          <w:sz w:val="32"/>
          <w:szCs w:val="32"/>
        </w:rPr>
        <w:t>（二）一般公共预算财政拨款支出决算结构情况</w:t>
      </w:r>
      <w:bookmarkEnd w:id="87"/>
      <w:bookmarkEnd w:id="88"/>
      <w:bookmarkEnd w:id="89"/>
      <w:bookmarkEnd w:id="90"/>
      <w:bookmarkEnd w:id="91"/>
      <w:bookmarkEnd w:id="92"/>
    </w:p>
    <w:p w14:paraId="2C812C34">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万元，主要用于以下方面：</w:t>
      </w:r>
      <w:r>
        <w:rPr>
          <w:rFonts w:hint="eastAsia" w:ascii="仿宋_GB2312" w:hAnsi="ˎ̥" w:eastAsia="仿宋_GB2312"/>
          <w:color w:val="auto"/>
          <w:sz w:val="32"/>
          <w:szCs w:val="32"/>
        </w:rPr>
        <w:t>主要用于以下方面：</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444.67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97.45</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5.07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w:t>
      </w:r>
      <w:r>
        <w:rPr>
          <w:rFonts w:hint="eastAsia" w:ascii="仿宋_GB2312" w:hAnsi="ˎ̥" w:eastAsia="仿宋_GB2312"/>
          <w:color w:val="auto"/>
          <w:sz w:val="32"/>
          <w:szCs w:val="32"/>
        </w:rPr>
        <w:t>%；卫生健康支出</w:t>
      </w:r>
      <w:r>
        <w:rPr>
          <w:rFonts w:hint="eastAsia" w:ascii="仿宋_GB2312" w:hAnsi="ˎ̥" w:eastAsia="仿宋_GB2312"/>
          <w:color w:val="auto"/>
          <w:sz w:val="32"/>
          <w:szCs w:val="32"/>
          <w:lang w:val="en-US" w:eastAsia="zh-CN"/>
        </w:rPr>
        <w:t>3.80万元,</w:t>
      </w:r>
      <w:r>
        <w:rPr>
          <w:rFonts w:hint="eastAsia" w:ascii="仿宋_GB2312" w:hAnsi="ˎ̥" w:eastAsia="仿宋_GB2312"/>
          <w:color w:val="auto"/>
          <w:sz w:val="32"/>
          <w:szCs w:val="32"/>
        </w:rPr>
        <w:t>占</w:t>
      </w:r>
      <w:r>
        <w:rPr>
          <w:rFonts w:hint="eastAsia" w:ascii="仿宋_GB2312" w:hAnsi="ˎ̥" w:eastAsia="仿宋_GB2312"/>
          <w:color w:val="auto"/>
          <w:sz w:val="32"/>
          <w:szCs w:val="32"/>
          <w:lang w:val="en-US" w:eastAsia="zh-CN"/>
        </w:rPr>
        <w:t>0.83</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2.75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0.60</w:t>
      </w:r>
      <w:r>
        <w:rPr>
          <w:rFonts w:hint="eastAsia" w:ascii="仿宋_GB2312" w:hAnsi="ˎ̥" w:eastAsia="仿宋_GB2312"/>
          <w:color w:val="auto"/>
          <w:sz w:val="32"/>
          <w:szCs w:val="32"/>
        </w:rPr>
        <w:t>%。</w:t>
      </w:r>
    </w:p>
    <w:p w14:paraId="51B556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3" w:name="_Toc21701_WPSOffice_Level2"/>
      <w:bookmarkStart w:id="94" w:name="_Toc25136_WPSOffice_Level2"/>
      <w:bookmarkStart w:id="95" w:name="_Toc29364_WPSOffice_Level2"/>
      <w:bookmarkStart w:id="96" w:name="_Toc15415_WPSOffice_Level2"/>
      <w:bookmarkStart w:id="97" w:name="_Toc9502_WPSOffice_Level2"/>
      <w:bookmarkStart w:id="98" w:name="_Toc22318_WPSOffice_Level2"/>
      <w:r>
        <w:rPr>
          <w:rFonts w:hint="eastAsia" w:ascii="楷体" w:hAnsi="楷体" w:eastAsia="楷体" w:cs="楷体"/>
          <w:sz w:val="32"/>
          <w:szCs w:val="32"/>
        </w:rPr>
        <w:t>（三）一般公共预算财政拨款支出决算具体情况</w:t>
      </w:r>
      <w:bookmarkEnd w:id="93"/>
      <w:bookmarkEnd w:id="94"/>
      <w:bookmarkEnd w:id="95"/>
      <w:bookmarkEnd w:id="96"/>
      <w:bookmarkEnd w:id="97"/>
      <w:bookmarkEnd w:id="98"/>
    </w:p>
    <w:p w14:paraId="04217A6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456.29</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456.29</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%。其中：</w:t>
      </w:r>
    </w:p>
    <w:p w14:paraId="5641D272">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1.</w:t>
      </w:r>
      <w:r>
        <w:rPr>
          <w:rFonts w:hint="eastAsia" w:ascii="仿宋_GB2312" w:hAnsi="ˎ̥" w:eastAsia="仿宋_GB2312"/>
          <w:b/>
          <w:color w:val="auto"/>
          <w:sz w:val="32"/>
          <w:szCs w:val="32"/>
          <w:lang w:val="en-US" w:eastAsia="zh-CN"/>
        </w:rPr>
        <w:t>教育支出</w:t>
      </w:r>
      <w:r>
        <w:rPr>
          <w:rFonts w:hint="eastAsia" w:ascii="仿宋_GB2312" w:hAnsi="ˎ̥" w:eastAsia="仿宋_GB2312"/>
          <w:b/>
          <w:color w:val="auto"/>
          <w:sz w:val="32"/>
          <w:szCs w:val="32"/>
        </w:rPr>
        <w:t>（类）</w:t>
      </w:r>
      <w:r>
        <w:rPr>
          <w:rFonts w:hint="eastAsia" w:ascii="仿宋_GB2312" w:hAnsi="ˎ̥" w:eastAsia="仿宋_GB2312"/>
          <w:b/>
          <w:color w:val="auto"/>
          <w:sz w:val="32"/>
          <w:szCs w:val="32"/>
          <w:lang w:val="en-US" w:eastAsia="zh-CN"/>
        </w:rPr>
        <w:t>普通教育</w:t>
      </w:r>
      <w:r>
        <w:rPr>
          <w:rFonts w:hint="eastAsia" w:ascii="仿宋_GB2312" w:hAnsi="ˎ̥" w:eastAsia="仿宋_GB2312"/>
          <w:b/>
          <w:color w:val="auto"/>
          <w:sz w:val="32"/>
          <w:szCs w:val="32"/>
        </w:rPr>
        <w:t>（款）</w:t>
      </w:r>
      <w:r>
        <w:rPr>
          <w:rFonts w:hint="eastAsia" w:ascii="仿宋_GB2312" w:hAnsi="ˎ̥" w:eastAsia="仿宋_GB2312"/>
          <w:b/>
          <w:color w:val="auto"/>
          <w:sz w:val="32"/>
          <w:szCs w:val="32"/>
          <w:lang w:val="en-US" w:eastAsia="zh-CN"/>
        </w:rPr>
        <w:t>学前教育</w:t>
      </w:r>
      <w:r>
        <w:rPr>
          <w:rFonts w:hint="eastAsia" w:ascii="仿宋_GB2312" w:hAnsi="ˎ̥" w:eastAsia="仿宋_GB2312"/>
          <w:b/>
          <w:color w:val="auto"/>
          <w:sz w:val="32"/>
          <w:szCs w:val="32"/>
        </w:rPr>
        <w:t>（项）</w:t>
      </w:r>
    </w:p>
    <w:p w14:paraId="5A69F4FC">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444.67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444.67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default" w:ascii="仿宋_GB2312" w:hAnsi="微软雅黑" w:eastAsia="仿宋_GB2312" w:cs="仿宋_GB2312"/>
          <w:i w:val="0"/>
          <w:iCs w:val="0"/>
          <w:caps w:val="0"/>
          <w:color w:val="auto"/>
          <w:spacing w:val="0"/>
          <w:sz w:val="31"/>
          <w:szCs w:val="31"/>
          <w:shd w:val="clear" w:color="auto" w:fill="FFFFFF"/>
          <w:vertAlign w:val="baseline"/>
        </w:rPr>
        <w:t>决算数</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占</w:t>
      </w:r>
      <w:r>
        <w:rPr>
          <w:rFonts w:hint="default" w:ascii="仿宋_GB2312" w:hAnsi="微软雅黑" w:eastAsia="仿宋_GB2312" w:cs="仿宋_GB2312"/>
          <w:i w:val="0"/>
          <w:iCs w:val="0"/>
          <w:caps w:val="0"/>
          <w:color w:val="auto"/>
          <w:spacing w:val="0"/>
          <w:sz w:val="31"/>
          <w:szCs w:val="31"/>
          <w:shd w:val="clear" w:color="auto" w:fill="FFFFFF"/>
          <w:vertAlign w:val="baseline"/>
        </w:rPr>
        <w:t>预算数的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p>
    <w:p w14:paraId="4313BE90">
      <w:pPr>
        <w:numPr>
          <w:ilvl w:val="0"/>
          <w:numId w:val="3"/>
        </w:numPr>
        <w:spacing w:line="578" w:lineRule="exact"/>
        <w:ind w:firstLine="622" w:firstLineChars="200"/>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pPr>
      <w:r>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t>社会保障和就业支出（类）行政事业单位养老支出（款）机关事业单位基本养老保险缴费支出（项）。</w:t>
      </w:r>
    </w:p>
    <w:p w14:paraId="74166D0C">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3.35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3.35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default" w:ascii="仿宋_GB2312" w:hAnsi="微软雅黑" w:eastAsia="仿宋_GB2312" w:cs="仿宋_GB2312"/>
          <w:i w:val="0"/>
          <w:iCs w:val="0"/>
          <w:caps w:val="0"/>
          <w:color w:val="auto"/>
          <w:spacing w:val="0"/>
          <w:sz w:val="31"/>
          <w:szCs w:val="31"/>
          <w:shd w:val="clear" w:color="auto" w:fill="FFFFFF"/>
          <w:vertAlign w:val="baseline"/>
        </w:rPr>
        <w:t>决算数</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占</w:t>
      </w:r>
      <w:r>
        <w:rPr>
          <w:rFonts w:hint="default" w:ascii="仿宋_GB2312" w:hAnsi="微软雅黑" w:eastAsia="仿宋_GB2312" w:cs="仿宋_GB2312"/>
          <w:i w:val="0"/>
          <w:iCs w:val="0"/>
          <w:caps w:val="0"/>
          <w:color w:val="auto"/>
          <w:spacing w:val="0"/>
          <w:sz w:val="31"/>
          <w:szCs w:val="31"/>
          <w:shd w:val="clear" w:color="auto" w:fill="FFFFFF"/>
          <w:vertAlign w:val="baseline"/>
        </w:rPr>
        <w:t>预算数的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p>
    <w:p w14:paraId="2DBABB4C">
      <w:pPr>
        <w:numPr>
          <w:ilvl w:val="0"/>
          <w:numId w:val="3"/>
        </w:numPr>
        <w:spacing w:line="578" w:lineRule="exact"/>
        <w:ind w:firstLine="622" w:firstLineChars="200"/>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pPr>
      <w:r>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t>社会保障和就业支出（类）行政事业单位养老支出（款）机关事业单位职业年金缴费支出（项）</w:t>
      </w:r>
    </w:p>
    <w:p w14:paraId="31959299">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1.27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1.27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default" w:ascii="仿宋_GB2312" w:hAnsi="微软雅黑" w:eastAsia="仿宋_GB2312" w:cs="仿宋_GB2312"/>
          <w:i w:val="0"/>
          <w:iCs w:val="0"/>
          <w:caps w:val="0"/>
          <w:color w:val="auto"/>
          <w:spacing w:val="0"/>
          <w:sz w:val="31"/>
          <w:szCs w:val="31"/>
          <w:shd w:val="clear" w:color="auto" w:fill="FFFFFF"/>
          <w:vertAlign w:val="baseline"/>
        </w:rPr>
        <w:t>决算数</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占</w:t>
      </w:r>
      <w:r>
        <w:rPr>
          <w:rFonts w:hint="default" w:ascii="仿宋_GB2312" w:hAnsi="微软雅黑" w:eastAsia="仿宋_GB2312" w:cs="仿宋_GB2312"/>
          <w:i w:val="0"/>
          <w:iCs w:val="0"/>
          <w:caps w:val="0"/>
          <w:color w:val="auto"/>
          <w:spacing w:val="0"/>
          <w:sz w:val="31"/>
          <w:szCs w:val="31"/>
          <w:shd w:val="clear" w:color="auto" w:fill="FFFFFF"/>
          <w:vertAlign w:val="baseline"/>
        </w:rPr>
        <w:t>预算数的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p>
    <w:p w14:paraId="7B429CD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jc w:val="both"/>
        <w:textAlignment w:val="baseline"/>
        <w:rPr>
          <w:rFonts w:ascii="微软雅黑" w:hAnsi="微软雅黑" w:eastAsia="微软雅黑" w:cs="微软雅黑"/>
          <w:i w:val="0"/>
          <w:iCs w:val="0"/>
          <w:caps w:val="0"/>
          <w:color w:val="auto"/>
          <w:spacing w:val="0"/>
          <w:sz w:val="21"/>
          <w:szCs w:val="21"/>
        </w:rPr>
      </w:pPr>
      <w:r>
        <w:rPr>
          <w:rStyle w:val="10"/>
          <w:rFonts w:ascii="仿宋_GB2312" w:hAnsi="微软雅黑" w:eastAsia="仿宋_GB2312" w:cs="仿宋_GB2312"/>
          <w:b/>
          <w:bCs/>
          <w:i w:val="0"/>
          <w:iCs w:val="0"/>
          <w:caps w:val="0"/>
          <w:color w:val="auto"/>
          <w:spacing w:val="0"/>
          <w:sz w:val="31"/>
          <w:szCs w:val="31"/>
          <w:shd w:val="clear" w:color="auto" w:fill="FFFFFF"/>
          <w:vertAlign w:val="baseline"/>
        </w:rPr>
        <w:t>4</w:t>
      </w:r>
      <w:r>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t>.卫生健康支出（类）行政事业单位医疗（款）事业单位医疗（项）。</w:t>
      </w:r>
    </w:p>
    <w:p w14:paraId="70A37EB5">
      <w:pPr>
        <w:spacing w:line="578" w:lineRule="exact"/>
        <w:ind w:firstLine="620" w:firstLineChars="200"/>
        <w:rPr>
          <w:rFonts w:hint="default" w:ascii="仿宋_GB2312" w:hAnsi="微软雅黑" w:eastAsia="仿宋_GB2312" w:cs="仿宋_GB2312"/>
          <w:i w:val="0"/>
          <w:iCs w:val="0"/>
          <w:caps w:val="0"/>
          <w:color w:val="auto"/>
          <w:spacing w:val="0"/>
          <w:sz w:val="31"/>
          <w:szCs w:val="31"/>
          <w:shd w:val="clear" w:color="auto" w:fill="FFFFFF"/>
          <w:vertAlign w:val="baseline"/>
        </w:rPr>
      </w:pPr>
      <w:r>
        <w:rPr>
          <w:rFonts w:hint="default" w:ascii="仿宋_GB2312" w:hAnsi="微软雅黑" w:eastAsia="仿宋_GB2312" w:cs="仿宋_GB2312"/>
          <w:i w:val="0"/>
          <w:iCs w:val="0"/>
          <w:caps w:val="0"/>
          <w:color w:val="auto"/>
          <w:spacing w:val="0"/>
          <w:sz w:val="31"/>
          <w:szCs w:val="31"/>
          <w:shd w:val="clear" w:color="auto" w:fill="FFFFFF"/>
          <w:vertAlign w:val="baseline"/>
        </w:rPr>
        <w:t>年初预算为</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1.33</w:t>
      </w:r>
      <w:r>
        <w:rPr>
          <w:rFonts w:hint="default" w:ascii="仿宋_GB2312" w:hAnsi="微软雅黑" w:eastAsia="仿宋_GB2312" w:cs="仿宋_GB2312"/>
          <w:i w:val="0"/>
          <w:iCs w:val="0"/>
          <w:caps w:val="0"/>
          <w:color w:val="auto"/>
          <w:spacing w:val="0"/>
          <w:sz w:val="31"/>
          <w:szCs w:val="31"/>
          <w:shd w:val="clear" w:color="auto" w:fill="FFFFFF"/>
          <w:vertAlign w:val="baseline"/>
        </w:rPr>
        <w:t>万元，支出决算为</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1.33</w:t>
      </w:r>
      <w:r>
        <w:rPr>
          <w:rFonts w:hint="default" w:ascii="仿宋_GB2312" w:hAnsi="微软雅黑" w:eastAsia="仿宋_GB2312" w:cs="仿宋_GB2312"/>
          <w:i w:val="0"/>
          <w:iCs w:val="0"/>
          <w:caps w:val="0"/>
          <w:color w:val="auto"/>
          <w:spacing w:val="0"/>
          <w:sz w:val="31"/>
          <w:szCs w:val="31"/>
          <w:shd w:val="clear" w:color="auto" w:fill="FFFFFF"/>
          <w:vertAlign w:val="baseline"/>
        </w:rPr>
        <w:t>万元，完成年初预算的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r>
        <w:rPr>
          <w:rFonts w:hint="default" w:ascii="仿宋_GB2312" w:hAnsi="微软雅黑" w:eastAsia="仿宋_GB2312" w:cs="仿宋_GB2312"/>
          <w:i w:val="0"/>
          <w:iCs w:val="0"/>
          <w:caps w:val="0"/>
          <w:color w:val="auto"/>
          <w:spacing w:val="0"/>
          <w:sz w:val="31"/>
          <w:szCs w:val="31"/>
          <w:shd w:val="clear" w:color="auto" w:fill="FFFFFF"/>
          <w:vertAlign w:val="baseline"/>
        </w:rPr>
        <w:t>%。决算数</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占</w:t>
      </w:r>
      <w:r>
        <w:rPr>
          <w:rFonts w:hint="default" w:ascii="仿宋_GB2312" w:hAnsi="微软雅黑" w:eastAsia="仿宋_GB2312" w:cs="仿宋_GB2312"/>
          <w:i w:val="0"/>
          <w:iCs w:val="0"/>
          <w:caps w:val="0"/>
          <w:color w:val="auto"/>
          <w:spacing w:val="0"/>
          <w:sz w:val="31"/>
          <w:szCs w:val="31"/>
          <w:shd w:val="clear" w:color="auto" w:fill="FFFFFF"/>
          <w:vertAlign w:val="baseline"/>
        </w:rPr>
        <w:t>预算数的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p>
    <w:p w14:paraId="2AA71F4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0" w:right="0" w:firstLine="645"/>
        <w:jc w:val="both"/>
        <w:textAlignment w:val="baseline"/>
        <w:rPr>
          <w:rFonts w:ascii="微软雅黑" w:hAnsi="微软雅黑" w:eastAsia="微软雅黑" w:cs="微软雅黑"/>
          <w:i w:val="0"/>
          <w:iCs w:val="0"/>
          <w:caps w:val="0"/>
          <w:color w:val="auto"/>
          <w:spacing w:val="0"/>
          <w:sz w:val="21"/>
          <w:szCs w:val="21"/>
        </w:rPr>
      </w:pPr>
      <w:r>
        <w:rPr>
          <w:rStyle w:val="10"/>
          <w:rFonts w:ascii="仿宋_GB2312" w:hAnsi="微软雅黑" w:eastAsia="仿宋_GB2312" w:cs="仿宋_GB2312"/>
          <w:b/>
          <w:bCs/>
          <w:i w:val="0"/>
          <w:iCs w:val="0"/>
          <w:caps w:val="0"/>
          <w:color w:val="auto"/>
          <w:spacing w:val="0"/>
          <w:sz w:val="31"/>
          <w:szCs w:val="31"/>
          <w:shd w:val="clear" w:color="auto" w:fill="FFFFFF"/>
          <w:vertAlign w:val="baseline"/>
        </w:rPr>
        <w:t>5.</w:t>
      </w:r>
      <w:r>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t>卫生健康支出（类）行政事业单位医疗（款）公务员医疗补助（项）。</w:t>
      </w:r>
    </w:p>
    <w:p w14:paraId="0055821C">
      <w:pPr>
        <w:spacing w:line="578" w:lineRule="exact"/>
        <w:ind w:firstLine="620" w:firstLineChars="200"/>
        <w:rPr>
          <w:rFonts w:hint="eastAsia" w:ascii="仿宋_GB2312" w:hAnsi="ˎ̥" w:eastAsia="仿宋_GB2312"/>
          <w:color w:val="auto"/>
          <w:sz w:val="32"/>
          <w:szCs w:val="32"/>
        </w:rPr>
      </w:pPr>
      <w:r>
        <w:rPr>
          <w:rFonts w:hint="default" w:ascii="仿宋_GB2312" w:hAnsi="微软雅黑" w:eastAsia="仿宋_GB2312" w:cs="仿宋_GB2312"/>
          <w:i w:val="0"/>
          <w:iCs w:val="0"/>
          <w:caps w:val="0"/>
          <w:color w:val="auto"/>
          <w:spacing w:val="0"/>
          <w:sz w:val="31"/>
          <w:szCs w:val="31"/>
          <w:shd w:val="clear" w:color="auto" w:fill="FFFFFF"/>
          <w:vertAlign w:val="baseline"/>
        </w:rPr>
        <w:t>年初预算为</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2.47</w:t>
      </w:r>
      <w:r>
        <w:rPr>
          <w:rFonts w:hint="default" w:ascii="仿宋_GB2312" w:hAnsi="微软雅黑" w:eastAsia="仿宋_GB2312" w:cs="仿宋_GB2312"/>
          <w:i w:val="0"/>
          <w:iCs w:val="0"/>
          <w:caps w:val="0"/>
          <w:color w:val="auto"/>
          <w:spacing w:val="0"/>
          <w:sz w:val="31"/>
          <w:szCs w:val="31"/>
          <w:shd w:val="clear" w:color="auto" w:fill="FFFFFF"/>
          <w:vertAlign w:val="baseline"/>
        </w:rPr>
        <w:t>万元，支出决算为</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2.47</w:t>
      </w:r>
      <w:r>
        <w:rPr>
          <w:rFonts w:hint="default" w:ascii="仿宋_GB2312" w:hAnsi="微软雅黑" w:eastAsia="仿宋_GB2312" w:cs="仿宋_GB2312"/>
          <w:i w:val="0"/>
          <w:iCs w:val="0"/>
          <w:caps w:val="0"/>
          <w:color w:val="auto"/>
          <w:spacing w:val="0"/>
          <w:sz w:val="31"/>
          <w:szCs w:val="31"/>
          <w:shd w:val="clear" w:color="auto" w:fill="FFFFFF"/>
          <w:vertAlign w:val="baseline"/>
        </w:rPr>
        <w:t>万元，完成年初预算的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r>
        <w:rPr>
          <w:rFonts w:hint="default" w:ascii="仿宋_GB2312" w:hAnsi="微软雅黑" w:eastAsia="仿宋_GB2312" w:cs="仿宋_GB2312"/>
          <w:i w:val="0"/>
          <w:iCs w:val="0"/>
          <w:caps w:val="0"/>
          <w:color w:val="auto"/>
          <w:spacing w:val="0"/>
          <w:sz w:val="31"/>
          <w:szCs w:val="31"/>
          <w:shd w:val="clear" w:color="auto" w:fill="FFFFFF"/>
          <w:vertAlign w:val="baseline"/>
        </w:rPr>
        <w:t>%。决算数</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占</w:t>
      </w:r>
      <w:r>
        <w:rPr>
          <w:rFonts w:hint="default" w:ascii="仿宋_GB2312" w:hAnsi="微软雅黑" w:eastAsia="仿宋_GB2312" w:cs="仿宋_GB2312"/>
          <w:i w:val="0"/>
          <w:iCs w:val="0"/>
          <w:caps w:val="0"/>
          <w:color w:val="auto"/>
          <w:spacing w:val="0"/>
          <w:sz w:val="31"/>
          <w:szCs w:val="31"/>
          <w:shd w:val="clear" w:color="auto" w:fill="FFFFFF"/>
          <w:vertAlign w:val="baseline"/>
        </w:rPr>
        <w:t>预算数的</w:t>
      </w:r>
      <w:r>
        <w:rPr>
          <w:rFonts w:hint="eastAsia" w:ascii="仿宋_GB2312" w:hAnsi="微软雅黑" w:eastAsia="仿宋_GB2312" w:cs="仿宋_GB2312"/>
          <w:i w:val="0"/>
          <w:iCs w:val="0"/>
          <w:caps w:val="0"/>
          <w:color w:val="auto"/>
          <w:spacing w:val="0"/>
          <w:sz w:val="31"/>
          <w:szCs w:val="31"/>
          <w:shd w:val="clear" w:color="auto" w:fill="FFFFFF"/>
          <w:vertAlign w:val="baseline"/>
          <w:lang w:val="en-US" w:eastAsia="zh-CN"/>
        </w:rPr>
        <w:t>100%。</w:t>
      </w:r>
    </w:p>
    <w:p w14:paraId="7CE5DC63">
      <w:pPr>
        <w:pStyle w:val="6"/>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left="617" w:leftChars="294" w:right="0" w:firstLine="0" w:firstLineChars="0"/>
        <w:jc w:val="left"/>
        <w:textAlignment w:val="baseline"/>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pPr>
      <w:r>
        <w:rPr>
          <w:rStyle w:val="10"/>
          <w:rFonts w:hint="default" w:ascii="仿宋_GB2312" w:hAnsi="微软雅黑" w:eastAsia="仿宋_GB2312" w:cs="仿宋_GB2312"/>
          <w:b/>
          <w:bCs/>
          <w:i w:val="0"/>
          <w:iCs w:val="0"/>
          <w:caps w:val="0"/>
          <w:color w:val="auto"/>
          <w:spacing w:val="0"/>
          <w:sz w:val="31"/>
          <w:szCs w:val="31"/>
          <w:shd w:val="clear" w:color="auto" w:fill="FFFFFF"/>
          <w:vertAlign w:val="baseline"/>
        </w:rPr>
        <w:t>住房保障支出（类）住房改革支出（款）住房公积金（项）。</w:t>
      </w: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年初预算为</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2.75</w:t>
      </w: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万元，支出决算为</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2.75</w:t>
      </w: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万元，完成年初预</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算</w:t>
      </w:r>
    </w:p>
    <w:p w14:paraId="534D4AFE">
      <w:pPr>
        <w:pStyle w:val="6"/>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30" w:lineRule="atLeast"/>
        <w:ind w:right="0" w:rightChars="0"/>
        <w:jc w:val="left"/>
        <w:textAlignment w:val="baseline"/>
        <w:rPr>
          <w:rStyle w:val="10"/>
          <w:rFonts w:hint="eastAsia" w:ascii="仿宋_GB2312" w:hAnsi="微软雅黑" w:eastAsia="仿宋_GB2312" w:cs="仿宋_GB2312"/>
          <w:b/>
          <w:bCs/>
          <w:i w:val="0"/>
          <w:iCs w:val="0"/>
          <w:caps w:val="0"/>
          <w:color w:val="auto"/>
          <w:spacing w:val="0"/>
          <w:sz w:val="31"/>
          <w:szCs w:val="31"/>
          <w:shd w:val="clear" w:color="auto" w:fill="FFFFFF"/>
          <w:vertAlign w:val="baseline"/>
        </w:rPr>
      </w:pP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的</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100</w:t>
      </w: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%。决算数</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占</w:t>
      </w:r>
      <w:r>
        <w:rPr>
          <w:rFonts w:hint="default"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预算数的</w:t>
      </w:r>
      <w:r>
        <w:rPr>
          <w:rFonts w:hint="eastAsia" w:ascii="仿宋_GB2312" w:hAnsi="微软雅黑" w:eastAsia="仿宋_GB2312" w:cs="仿宋_GB2312"/>
          <w:i w:val="0"/>
          <w:iCs w:val="0"/>
          <w:caps w:val="0"/>
          <w:color w:val="auto"/>
          <w:spacing w:val="0"/>
          <w:kern w:val="2"/>
          <w:sz w:val="31"/>
          <w:szCs w:val="31"/>
          <w:shd w:val="clear" w:color="auto" w:fill="FFFFFF"/>
          <w:vertAlign w:val="baseline"/>
          <w:lang w:val="en-US" w:eastAsia="zh-CN" w:bidi="ar-SA"/>
        </w:rPr>
        <w:t>100%。</w:t>
      </w:r>
    </w:p>
    <w:p w14:paraId="6EAB98CA">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14:paraId="588683D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39.24</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37.88</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1.36</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14:paraId="7241B08A">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14:paraId="643B855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14:paraId="0E502A06">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w:t>
      </w:r>
      <w:r>
        <w:rPr>
          <w:rFonts w:hint="eastAsia" w:ascii="仿宋_GB2312" w:hAnsi="ˎ̥" w:eastAsia="仿宋_GB2312"/>
          <w:sz w:val="32"/>
          <w:szCs w:val="32"/>
          <w:lang w:val="en-US" w:eastAsia="zh-CN"/>
        </w:rPr>
        <w:t>无比例</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r>
        <w:rPr>
          <w:rFonts w:hint="eastAsia" w:ascii="仿宋_GB2312" w:hAnsi="ˎ̥" w:eastAsia="仿宋_GB2312"/>
          <w:color w:val="auto"/>
          <w:sz w:val="32"/>
          <w:szCs w:val="32"/>
        </w:rPr>
        <w:t>。</w:t>
      </w:r>
    </w:p>
    <w:p w14:paraId="06BD91A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14:paraId="5BAB193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2AA579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14:paraId="1EE42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14:paraId="71CEE7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101E92BC">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14:paraId="1600908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14:paraId="5E6A223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r>
        <w:rPr>
          <w:rFonts w:hint="eastAsia" w:ascii="仿宋_GB2312" w:hAnsi="ˎ̥" w:eastAsia="仿宋_GB2312"/>
          <w:color w:val="auto"/>
          <w:sz w:val="32"/>
          <w:szCs w:val="32"/>
        </w:rPr>
        <w:t>。</w:t>
      </w:r>
    </w:p>
    <w:p w14:paraId="7F0C568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14:paraId="3CFDB13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eastAsia" w:ascii="仿宋_GB2312" w:hAnsi="ˎ̥" w:eastAsia="仿宋_GB2312"/>
          <w:sz w:val="32"/>
          <w:szCs w:val="32"/>
          <w:lang w:eastAsia="zh-CN"/>
        </w:rPr>
        <w:t>。</w:t>
      </w:r>
    </w:p>
    <w:p w14:paraId="6DA2D67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14:paraId="360F3D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14:paraId="7260568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default" w:ascii="仿宋_GB2312" w:hAnsi="ˎ̥" w:eastAsia="仿宋_GB2312"/>
          <w:color w:val="FF0000"/>
          <w:sz w:val="32"/>
          <w:szCs w:val="32"/>
          <w:lang w:val="en-US"/>
        </w:rPr>
        <w:t>XXXX</w:t>
      </w:r>
      <w:r>
        <w:rPr>
          <w:rFonts w:hint="eastAsia" w:ascii="仿宋_GB2312" w:hAnsi="ˎ̥" w:eastAsia="仿宋_GB2312"/>
          <w:sz w:val="32"/>
          <w:szCs w:val="32"/>
        </w:rPr>
        <w:t>（类）</w:t>
      </w:r>
      <w:r>
        <w:rPr>
          <w:rFonts w:hint="default" w:ascii="仿宋_GB2312" w:hAnsi="ˎ̥" w:eastAsia="仿宋_GB2312"/>
          <w:color w:val="FF0000"/>
          <w:sz w:val="32"/>
          <w:szCs w:val="32"/>
          <w:lang w:val="en-US"/>
        </w:rPr>
        <w:t>XXXX</w:t>
      </w:r>
      <w:r>
        <w:rPr>
          <w:rFonts w:hint="eastAsia" w:ascii="仿宋_GB2312" w:hAnsi="ˎ̥" w:eastAsia="仿宋_GB2312"/>
          <w:sz w:val="32"/>
          <w:szCs w:val="32"/>
        </w:rPr>
        <w:t>（款）</w:t>
      </w:r>
      <w:r>
        <w:rPr>
          <w:rFonts w:hint="default" w:ascii="仿宋_GB2312" w:hAnsi="ˎ̥" w:eastAsia="仿宋_GB2312"/>
          <w:color w:val="FF0000"/>
          <w:sz w:val="32"/>
          <w:szCs w:val="32"/>
          <w:lang w:val="en-US"/>
        </w:rPr>
        <w:t>XXXX</w:t>
      </w:r>
      <w:r>
        <w:rPr>
          <w:rFonts w:hint="eastAsia" w:ascii="仿宋_GB2312" w:hAnsi="ˎ̥" w:eastAsia="仿宋_GB2312"/>
          <w:sz w:val="32"/>
          <w:szCs w:val="32"/>
        </w:rPr>
        <w:t>（项）。</w:t>
      </w:r>
    </w:p>
    <w:p w14:paraId="1B28ACB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%。主要原因：主要原因是</w:t>
      </w:r>
      <w:r>
        <w:rPr>
          <w:rFonts w:hint="eastAsia" w:ascii="仿宋_GB2312" w:hAnsi="ˎ̥" w:eastAsia="仿宋_GB2312"/>
          <w:color w:val="auto"/>
          <w:sz w:val="32"/>
          <w:szCs w:val="32"/>
          <w:lang w:val="en-US" w:eastAsia="zh-CN"/>
        </w:rPr>
        <w:t>本单位无此项</w:t>
      </w:r>
      <w:r>
        <w:rPr>
          <w:rFonts w:hint="eastAsia" w:ascii="仿宋_GB2312" w:hAnsi="ˎ̥" w:eastAsia="仿宋_GB2312"/>
          <w:color w:val="auto"/>
          <w:sz w:val="32"/>
          <w:szCs w:val="32"/>
        </w:rPr>
        <w:t>。</w:t>
      </w:r>
    </w:p>
    <w:p w14:paraId="5834E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14:paraId="18F9E7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14:paraId="1367A270">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p>
    <w:p w14:paraId="0787B19B">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14:paraId="7B26A5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14:paraId="398AB8F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14:paraId="732BBD5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r>
        <w:rPr>
          <w:rFonts w:hint="eastAsia" w:ascii="仿宋_GB2312" w:hAnsi="ˎ̥" w:eastAsia="仿宋_GB2312"/>
          <w:sz w:val="32"/>
          <w:szCs w:val="32"/>
        </w:rPr>
        <w:t>。</w:t>
      </w:r>
    </w:p>
    <w:p w14:paraId="7772B67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0BB159C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14:paraId="2F0F80CE">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p>
    <w:p w14:paraId="314933E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default" w:ascii="仿宋_GB2312" w:hAnsi="ˎ̥" w:eastAsia="仿宋_GB2312"/>
          <w:color w:val="FF0000"/>
          <w:sz w:val="32"/>
          <w:szCs w:val="32"/>
          <w:lang w:val="en-US"/>
        </w:rPr>
        <w:t>X</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p>
    <w:p w14:paraId="4815CAD6">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14:paraId="0444BB1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eastAsia="zh-CN"/>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r>
        <w:rPr>
          <w:rFonts w:hint="eastAsia" w:ascii="仿宋_GB2312" w:hAnsi="ˎ̥" w:eastAsia="仿宋_GB2312"/>
          <w:sz w:val="32"/>
          <w:szCs w:val="32"/>
          <w:lang w:eastAsia="zh-CN"/>
        </w:rPr>
        <w:t>。</w:t>
      </w:r>
    </w:p>
    <w:p w14:paraId="4AC126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r>
        <w:rPr>
          <w:rFonts w:hint="eastAsia" w:ascii="仿宋_GB2312" w:hAnsi="ˎ̥" w:eastAsia="仿宋_GB2312"/>
          <w:sz w:val="32"/>
          <w:szCs w:val="32"/>
          <w:lang w:val="en-US" w:eastAsia="zh-CN"/>
        </w:rPr>
        <w:t>0</w:t>
      </w:r>
      <w:r>
        <w:rPr>
          <w:rFonts w:hint="eastAsia" w:ascii="仿宋_GB2312" w:hAnsi="ˎ̥" w:eastAsia="仿宋_GB2312"/>
          <w:sz w:val="32"/>
          <w:szCs w:val="32"/>
        </w:rPr>
        <w:t>。</w:t>
      </w:r>
    </w:p>
    <w:p w14:paraId="0374301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color w:val="auto"/>
          <w:sz w:val="32"/>
          <w:szCs w:val="32"/>
          <w:lang w:val="en-US" w:eastAsia="zh-CN"/>
        </w:rPr>
        <w:t>本单位无此项。</w:t>
      </w:r>
    </w:p>
    <w:p w14:paraId="3B8181B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14:paraId="16F958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14:paraId="460371A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无此项内容</w:t>
      </w:r>
    </w:p>
    <w:p w14:paraId="1752048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14:paraId="787D709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lang w:val="en-US" w:eastAsia="zh-CN"/>
        </w:rPr>
        <w:t>无此项内容</w:t>
      </w:r>
    </w:p>
    <w:p w14:paraId="08AEFB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14:paraId="79CA55C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无此项内容</w:t>
      </w:r>
    </w:p>
    <w:p w14:paraId="52EA427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14:paraId="3E526AD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楷体" w:hAnsi="楷体" w:eastAsia="楷体" w:cs="楷体"/>
          <w:bCs/>
          <w:sz w:val="32"/>
          <w:szCs w:val="32"/>
          <w:lang w:val="en-US" w:eastAsia="zh-CN"/>
        </w:rPr>
      </w:pPr>
      <w:r>
        <w:rPr>
          <w:rFonts w:hint="eastAsia" w:ascii="楷体" w:hAnsi="楷体" w:eastAsia="楷体" w:cs="楷体"/>
          <w:bCs/>
          <w:sz w:val="32"/>
          <w:szCs w:val="32"/>
          <w:lang w:val="en-US" w:eastAsia="zh-CN"/>
        </w:rPr>
        <w:t>无此项内容</w:t>
      </w:r>
    </w:p>
    <w:p w14:paraId="7FDC302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14:paraId="42D67D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9" w:name="_Toc5978_WPSOffice_Level2"/>
      <w:bookmarkStart w:id="100" w:name="_Toc23598_WPSOffice_Level2"/>
      <w:bookmarkStart w:id="101" w:name="_Toc15262_WPSOffice_Level2"/>
      <w:bookmarkStart w:id="102" w:name="_Toc18325_WPSOffice_Level2"/>
      <w:bookmarkStart w:id="103" w:name="_Toc15565_WPSOffice_Level2"/>
      <w:bookmarkStart w:id="104" w:name="_Toc32639_WPSOffice_Level2"/>
      <w:r>
        <w:rPr>
          <w:rFonts w:hint="eastAsia" w:ascii="楷体" w:hAnsi="楷体" w:eastAsia="楷体" w:cs="楷体"/>
          <w:bCs/>
          <w:sz w:val="32"/>
          <w:szCs w:val="32"/>
        </w:rPr>
        <w:t>（一）机关运行经费支出情况</w:t>
      </w:r>
      <w:bookmarkEnd w:id="99"/>
      <w:bookmarkEnd w:id="100"/>
      <w:bookmarkEnd w:id="101"/>
      <w:bookmarkEnd w:id="102"/>
      <w:bookmarkEnd w:id="103"/>
      <w:bookmarkEnd w:id="104"/>
    </w:p>
    <w:p w14:paraId="7D75D828">
      <w:pPr>
        <w:spacing w:line="578" w:lineRule="exact"/>
        <w:ind w:firstLine="640" w:firstLineChars="200"/>
        <w:rPr>
          <w:rFonts w:hint="eastAsia" w:ascii="仿宋_GB2312" w:hAnsi="ˎ̥" w:eastAsia="仿宋_GB2312"/>
          <w:color w:val="auto"/>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auto"/>
          <w:sz w:val="32"/>
          <w:szCs w:val="32"/>
          <w:lang w:val="en-US" w:eastAsia="zh-CN"/>
        </w:rPr>
        <w:t>三亚市海棠区人才基地幼儿园</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ascii="仿宋_GB2312" w:hAnsi="宋体" w:eastAsia="仿宋_GB2312" w:cs="仿宋_GB2312"/>
          <w:i w:val="0"/>
          <w:iCs w:val="0"/>
          <w:caps w:val="0"/>
          <w:color w:val="auto"/>
          <w:spacing w:val="0"/>
          <w:sz w:val="31"/>
          <w:szCs w:val="31"/>
          <w:shd w:val="clear" w:color="auto" w:fill="FFFFFF"/>
        </w:rPr>
        <w:t>事业单位没有机关运行经费支出。</w:t>
      </w:r>
    </w:p>
    <w:p w14:paraId="32FB8A2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5" w:name="_Toc13084_WPSOffice_Level2"/>
      <w:bookmarkStart w:id="106" w:name="_Toc30383_WPSOffice_Level2"/>
      <w:bookmarkStart w:id="107" w:name="_Toc32689_WPSOffice_Level2"/>
      <w:bookmarkStart w:id="108" w:name="_Toc23966_WPSOffice_Level2"/>
      <w:bookmarkStart w:id="109" w:name="_Toc3131_WPSOffice_Level2"/>
      <w:bookmarkStart w:id="110" w:name="_Toc25333_WPSOffice_Level2"/>
      <w:r>
        <w:rPr>
          <w:rFonts w:hint="eastAsia" w:ascii="楷体" w:hAnsi="楷体" w:eastAsia="楷体" w:cs="楷体"/>
          <w:bCs/>
          <w:sz w:val="32"/>
          <w:szCs w:val="32"/>
        </w:rPr>
        <w:t>（二）政府采购支出情况</w:t>
      </w:r>
      <w:bookmarkEnd w:id="105"/>
      <w:bookmarkEnd w:id="106"/>
      <w:bookmarkEnd w:id="107"/>
      <w:bookmarkEnd w:id="108"/>
      <w:bookmarkEnd w:id="109"/>
      <w:bookmarkEnd w:id="110"/>
    </w:p>
    <w:p w14:paraId="25335D48">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auto"/>
          <w:sz w:val="32"/>
          <w:szCs w:val="32"/>
          <w:lang w:val="en-US" w:eastAsia="zh-CN"/>
        </w:rPr>
        <w:t>三亚市海棠区人才基地幼儿园</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14:paraId="3061DC4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11" w:name="_Toc6016_WPSOffice_Level2"/>
      <w:bookmarkStart w:id="112" w:name="_Toc15129_WPSOffice_Level2"/>
      <w:bookmarkStart w:id="113" w:name="_Toc29584_WPSOffice_Level2"/>
      <w:bookmarkStart w:id="114" w:name="_Toc19989_WPSOffice_Level2"/>
      <w:bookmarkStart w:id="115" w:name="_Toc10902_WPSOffice_Level2"/>
      <w:bookmarkStart w:id="116" w:name="_Toc527_WPSOffice_Level2"/>
      <w:r>
        <w:rPr>
          <w:rFonts w:hint="eastAsia" w:ascii="楷体" w:hAnsi="楷体" w:eastAsia="楷体" w:cs="楷体"/>
          <w:bCs/>
          <w:sz w:val="32"/>
          <w:szCs w:val="32"/>
        </w:rPr>
        <w:t>（三）国有资产占用情况</w:t>
      </w:r>
      <w:bookmarkEnd w:id="111"/>
      <w:bookmarkEnd w:id="112"/>
      <w:bookmarkEnd w:id="113"/>
      <w:bookmarkEnd w:id="114"/>
      <w:bookmarkEnd w:id="115"/>
      <w:bookmarkEnd w:id="116"/>
    </w:p>
    <w:p w14:paraId="4FC4FEB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14:paraId="1E9C756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14:paraId="0B1A3A0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14:paraId="20F5AB1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7" w:name="_Toc17580_WPSOffice_Level1"/>
      <w:bookmarkStart w:id="118" w:name="_Toc8808_WPSOffice_Level1"/>
      <w:bookmarkStart w:id="119" w:name="_Toc8874_WPSOffice_Level1"/>
      <w:bookmarkStart w:id="120" w:name="_Toc4398_WPSOffice_Level1"/>
      <w:bookmarkStart w:id="121" w:name="_Toc11039_WPSOffice_Level1"/>
      <w:bookmarkStart w:id="122" w:name="_Toc15425_WPSOffice_Level1"/>
    </w:p>
    <w:p w14:paraId="7D7EA2A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7"/>
      <w:bookmarkEnd w:id="118"/>
      <w:bookmarkEnd w:id="119"/>
      <w:bookmarkEnd w:id="120"/>
      <w:bookmarkEnd w:id="121"/>
      <w:bookmarkEnd w:id="122"/>
    </w:p>
    <w:p w14:paraId="20DF7197">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0B2D6DD">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7CB011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615F44C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2DDD1A1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1C1D4A3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2FC801B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742CA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8F678F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32391E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63B3F8D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023674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72D514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314EB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1ACBFEC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101C4972">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58E9525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7DE82BE3">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14:paraId="7B40D618">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14:paraId="419A08C7">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E08A">
    <w:pPr>
      <w:pStyle w:val="4"/>
      <w:framePr w:wrap="around" w:vAnchor="text" w:hAnchor="margin" w:xAlign="center" w:y="1"/>
      <w:rPr>
        <w:rStyle w:val="11"/>
      </w:rPr>
    </w:pPr>
    <w:r>
      <w:fldChar w:fldCharType="begin"/>
    </w:r>
    <w:r>
      <w:rPr>
        <w:rStyle w:val="11"/>
      </w:rPr>
      <w:instrText xml:space="preserve">PAGE  </w:instrText>
    </w:r>
    <w:r>
      <w:fldChar w:fldCharType="separate"/>
    </w:r>
    <w:r>
      <w:rPr>
        <w:rStyle w:val="11"/>
      </w:rPr>
      <w:t>18</w:t>
    </w:r>
    <w:r>
      <w:fldChar w:fldCharType="end"/>
    </w:r>
  </w:p>
  <w:p w14:paraId="1BD1ED8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6F60F">
    <w:pPr>
      <w:pStyle w:val="4"/>
      <w:framePr w:wrap="around" w:vAnchor="text" w:hAnchor="margin" w:xAlign="center" w:y="1"/>
      <w:rPr>
        <w:rStyle w:val="11"/>
      </w:rPr>
    </w:pPr>
    <w:r>
      <w:fldChar w:fldCharType="begin"/>
    </w:r>
    <w:r>
      <w:rPr>
        <w:rStyle w:val="11"/>
      </w:rPr>
      <w:instrText xml:space="preserve">PAGE  </w:instrText>
    </w:r>
    <w:r>
      <w:fldChar w:fldCharType="separate"/>
    </w:r>
    <w:r>
      <w:fldChar w:fldCharType="end"/>
    </w:r>
  </w:p>
  <w:p w14:paraId="07FD915D">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DA35F328"/>
    <w:multiLevelType w:val="singleLevel"/>
    <w:tmpl w:val="DA35F328"/>
    <w:lvl w:ilvl="0" w:tentative="0">
      <w:start w:val="1"/>
      <w:numFmt w:val="chineseCounting"/>
      <w:suff w:val="nothing"/>
      <w:lvlText w:val="%1、"/>
      <w:lvlJc w:val="left"/>
      <w:rPr>
        <w:rFonts w:hint="eastAsia"/>
      </w:rPr>
    </w:lvl>
  </w:abstractNum>
  <w:abstractNum w:abstractNumId="2">
    <w:nsid w:val="E4C66D1B"/>
    <w:multiLevelType w:val="singleLevel"/>
    <w:tmpl w:val="E4C66D1B"/>
    <w:lvl w:ilvl="0" w:tentative="0">
      <w:start w:val="6"/>
      <w:numFmt w:val="decimal"/>
      <w:lvlText w:val="%1."/>
      <w:lvlJc w:val="left"/>
      <w:pPr>
        <w:tabs>
          <w:tab w:val="left" w:pos="312"/>
        </w:tabs>
      </w:pPr>
    </w:lvl>
  </w:abstractNum>
  <w:abstractNum w:abstractNumId="3">
    <w:nsid w:val="FF501E8D"/>
    <w:multiLevelType w:val="singleLevel"/>
    <w:tmpl w:val="FF501E8D"/>
    <w:lvl w:ilvl="0" w:tentative="0">
      <w:start w:val="2"/>
      <w:numFmt w:val="decimal"/>
      <w:lvlText w:val="%1."/>
      <w:lvlJc w:val="left"/>
      <w:pPr>
        <w:tabs>
          <w:tab w:val="left" w:pos="312"/>
        </w:tabs>
      </w:pPr>
    </w:lvl>
  </w:abstractNum>
  <w:abstractNum w:abstractNumId="4">
    <w:nsid w:val="72109F8D"/>
    <w:multiLevelType w:val="singleLevel"/>
    <w:tmpl w:val="72109F8D"/>
    <w:lvl w:ilvl="0" w:tentative="0">
      <w:start w:val="7"/>
      <w:numFmt w:val="chineseCounting"/>
      <w:suff w:val="nothing"/>
      <w:lvlText w:val="%1、"/>
      <w:lvlJc w:val="left"/>
      <w:rPr>
        <w:rFonts w:hint="eastAsia"/>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2481577"/>
    <w:rsid w:val="136F98C7"/>
    <w:rsid w:val="17427E68"/>
    <w:rsid w:val="1755065F"/>
    <w:rsid w:val="1A0F5604"/>
    <w:rsid w:val="1AFC29C9"/>
    <w:rsid w:val="1CA52F2E"/>
    <w:rsid w:val="1E3630B9"/>
    <w:rsid w:val="210F7BFF"/>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C132F5C"/>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ind w:left="0" w:right="0"/>
      <w:jc w:val="left"/>
    </w:pPr>
    <w:rPr>
      <w:kern w:val="0"/>
      <w:sz w:val="24"/>
      <w:lang w:val="en-US" w:eastAsia="zh-CN" w:bidi="ar"/>
    </w:rPr>
  </w:style>
  <w:style w:type="paragraph" w:styleId="7">
    <w:name w:val="annotation subject"/>
    <w:basedOn w:val="2"/>
    <w:next w:val="2"/>
    <w:link w:val="16"/>
    <w:qFormat/>
    <w:uiPriority w:val="0"/>
    <w:rPr>
      <w:b/>
      <w:bCs/>
    </w:rPr>
  </w:style>
  <w:style w:type="character" w:styleId="10">
    <w:name w:val="Strong"/>
    <w:basedOn w:val="9"/>
    <w:qFormat/>
    <w:uiPriority w:val="0"/>
    <w:rPr>
      <w:b/>
    </w:rPr>
  </w:style>
  <w:style w:type="character" w:styleId="11">
    <w:name w:val="page number"/>
    <w:qFormat/>
    <w:uiPriority w:val="0"/>
  </w:style>
  <w:style w:type="character" w:styleId="12">
    <w:name w:val="annotation reference"/>
    <w:qFormat/>
    <w:uiPriority w:val="0"/>
    <w:rPr>
      <w:sz w:val="21"/>
      <w:szCs w:val="21"/>
    </w:rPr>
  </w:style>
  <w:style w:type="character" w:customStyle="1" w:styleId="13">
    <w:name w:val="批注文字 Char"/>
    <w:link w:val="2"/>
    <w:qFormat/>
    <w:uiPriority w:val="0"/>
    <w:rPr>
      <w:kern w:val="2"/>
      <w:sz w:val="21"/>
      <w:szCs w:val="24"/>
    </w:rPr>
  </w:style>
  <w:style w:type="character" w:customStyle="1" w:styleId="14">
    <w:name w:val="批注框文本 Char"/>
    <w:link w:val="3"/>
    <w:qFormat/>
    <w:uiPriority w:val="0"/>
    <w:rPr>
      <w:kern w:val="2"/>
      <w:sz w:val="18"/>
      <w:szCs w:val="18"/>
    </w:rPr>
  </w:style>
  <w:style w:type="character" w:customStyle="1" w:styleId="15">
    <w:name w:val="页眉 Char"/>
    <w:link w:val="5"/>
    <w:qFormat/>
    <w:uiPriority w:val="0"/>
    <w:rPr>
      <w:kern w:val="2"/>
      <w:sz w:val="18"/>
      <w:szCs w:val="18"/>
    </w:rPr>
  </w:style>
  <w:style w:type="character" w:customStyle="1" w:styleId="16">
    <w:name w:val="批注主题 Char"/>
    <w:link w:val="7"/>
    <w:qFormat/>
    <w:uiPriority w:val="0"/>
    <w:rPr>
      <w:b/>
      <w:bCs/>
      <w:kern w:val="2"/>
      <w:sz w:val="21"/>
      <w:szCs w:val="24"/>
    </w:rPr>
  </w:style>
  <w:style w:type="paragraph" w:customStyle="1" w:styleId="17">
    <w:name w:val="WPSOffice手动目录 1"/>
    <w:qFormat/>
    <w:uiPriority w:val="0"/>
    <w:rPr>
      <w:rFonts w:ascii="Times New Roman" w:hAnsi="Times New Roman" w:eastAsia="宋体" w:cs="Times New Roman"/>
      <w:lang w:val="en-US" w:eastAsia="zh-CN" w:bidi="ar-SA"/>
    </w:rPr>
  </w:style>
  <w:style w:type="paragraph" w:customStyle="1" w:styleId="18">
    <w:name w:val="WPSOffice手动目录 2"/>
    <w:qFormat/>
    <w:uiPriority w:val="0"/>
    <w:pPr>
      <w:ind w:leftChars="200"/>
    </w:pPr>
    <w:rPr>
      <w:rFonts w:ascii="Times New Roman" w:hAnsi="Times New Roman" w:eastAsia="宋体" w:cs="Times New Roman"/>
      <w:lang w:val="en-US" w:eastAsia="zh-CN" w:bidi="ar-SA"/>
    </w:rPr>
  </w:style>
  <w:style w:type="paragraph" w:customStyle="1" w:styleId="19">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298</Words>
  <Characters>310</Characters>
  <Lines>67</Lines>
  <Paragraphs>18</Paragraphs>
  <TotalTime>24</TotalTime>
  <ScaleCrop>false</ScaleCrop>
  <LinksUpToDate>false</LinksUpToDate>
  <CharactersWithSpaces>338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洋洋</cp:lastModifiedBy>
  <cp:lastPrinted>2023-08-03T00:58:00Z</cp:lastPrinted>
  <dcterms:modified xsi:type="dcterms:W3CDTF">2025-10-09T03:12:13Z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03AE7F14E2DC4BACB053764200FF950D_13</vt:lpwstr>
  </property>
  <property fmtid="{D5CDD505-2E9C-101B-9397-08002B2CF9AE}" pid="4" name="KSOTemplateDocerSaveRecord">
    <vt:lpwstr>eyJoZGlkIjoiZDBjODZiMjNhOTMzNThmMTQyMjYwMDk1MzhmYmQ2OTIiLCJ1c2VySWQiOiIzODI1ODU1NzMifQ==</vt:lpwstr>
  </property>
</Properties>
</file>