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2B2D3A">
      <w:pPr>
        <w:spacing w:line="578" w:lineRule="exact"/>
        <w:jc w:val="center"/>
        <w:rPr>
          <w:rFonts w:hint="eastAsia" w:ascii="黑体" w:hAnsi="ˎ̥" w:eastAsia="黑体"/>
          <w:b/>
          <w:sz w:val="32"/>
          <w:szCs w:val="32"/>
        </w:rPr>
      </w:pPr>
      <w:r>
        <w:rPr>
          <w:rFonts w:hint="eastAsia" w:asciiTheme="majorEastAsia" w:hAnsiTheme="majorEastAsia" w:eastAsiaTheme="majorEastAsia" w:cstheme="majorEastAsia"/>
          <w:b/>
          <w:bCs/>
          <w:sz w:val="44"/>
          <w:szCs w:val="44"/>
        </w:rPr>
        <w:t>三亚市海棠区青田第一幼儿园2024年度部门决算公开报告</w:t>
      </w:r>
      <w:bookmarkStart w:id="119" w:name="_GoBack"/>
      <w:bookmarkEnd w:id="119"/>
    </w:p>
    <w:p w14:paraId="6A8F1018">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14:paraId="6A2F743B">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14:paraId="29CBFE7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0908980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3B013F23">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14:paraId="6E57563D">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14:paraId="65C4017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14:paraId="4BD7D57F">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0C54764D">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51FC70A3">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7A0C8420">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14:paraId="0F3513AE">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14:paraId="14C271AC">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14:paraId="341B0484">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14:paraId="4A5010BD">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14:paraId="23F091F4">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14:paraId="11226842">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14:paraId="1704E608">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14:paraId="4EC8D6DA">
      <w:pPr>
        <w:spacing w:line="578" w:lineRule="exact"/>
        <w:jc w:val="both"/>
        <w:rPr>
          <w:rFonts w:hint="eastAsia" w:ascii="黑体" w:hAnsi="ˎ̥" w:eastAsia="黑体"/>
          <w:sz w:val="32"/>
          <w:szCs w:val="32"/>
        </w:rPr>
      </w:pPr>
      <w:bookmarkStart w:id="2" w:name="_Toc1704_WPSOffice_Level1"/>
      <w:bookmarkStart w:id="3" w:name="_Toc10720_WPSOffice_Level1"/>
      <w:bookmarkStart w:id="4" w:name="_Toc32433_WPSOffice_Level1"/>
      <w:bookmarkStart w:id="5" w:name="_Toc10049_WPSOffice_Level1"/>
      <w:bookmarkStart w:id="6" w:name="_Toc23465_WPSOffice_Level1"/>
      <w:bookmarkStart w:id="7" w:name="_Toc22941_WPSOffice_Level1"/>
      <w:bookmarkStart w:id="8" w:name="_Toc24238_WPSOffice_Level2"/>
      <w:bookmarkStart w:id="9" w:name="_Toc26580_WPSOffice_Level2"/>
      <w:bookmarkStart w:id="10" w:name="_Toc14159_WPSOffice_Level2"/>
      <w:bookmarkStart w:id="11" w:name="_Toc20205_WPSOffice_Level2"/>
      <w:bookmarkStart w:id="12" w:name="_Toc32622_WPSOffice_Level2"/>
      <w:bookmarkStart w:id="13" w:name="_Toc20274_WPSOffice_Level2"/>
    </w:p>
    <w:p w14:paraId="13495E08">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14:paraId="59DE4DDD">
      <w:pPr>
        <w:spacing w:line="578" w:lineRule="exact"/>
        <w:ind w:firstLine="640" w:firstLineChars="200"/>
        <w:rPr>
          <w:rFonts w:hint="eastAsia" w:ascii="楷体" w:hAnsi="楷体" w:eastAsia="楷体" w:cs="楷体"/>
          <w:sz w:val="32"/>
          <w:szCs w:val="32"/>
        </w:rPr>
      </w:pPr>
    </w:p>
    <w:bookmarkEnd w:id="8"/>
    <w:p w14:paraId="4A3D8885">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单位职责</w:t>
      </w:r>
      <w:bookmarkEnd w:id="9"/>
      <w:bookmarkEnd w:id="10"/>
      <w:bookmarkEnd w:id="11"/>
      <w:bookmarkEnd w:id="12"/>
      <w:bookmarkEnd w:id="13"/>
    </w:p>
    <w:p w14:paraId="324DCE4C">
      <w:pPr>
        <w:snapToGrid w:val="0"/>
        <w:spacing w:line="520" w:lineRule="exact"/>
        <w:ind w:firstLine="640" w:firstLineChars="200"/>
        <w:rPr>
          <w:rFonts w:hint="eastAsia" w:ascii="仿宋_GB2312" w:hAnsi="仿宋" w:eastAsia="仿宋_GB2312"/>
          <w:color w:val="FF0000"/>
          <w:sz w:val="32"/>
          <w:szCs w:val="32"/>
        </w:rPr>
      </w:pPr>
      <w:r>
        <w:rPr>
          <w:rFonts w:hint="eastAsia" w:ascii="仿宋_GB2312" w:hAnsi="仿宋" w:eastAsia="仿宋_GB2312"/>
          <w:color w:val="FF0000"/>
          <w:sz w:val="32"/>
          <w:szCs w:val="32"/>
        </w:rPr>
        <w:t>1．主要职能。</w:t>
      </w:r>
    </w:p>
    <w:p w14:paraId="67F685F4">
      <w:pPr>
        <w:snapToGrid w:val="0"/>
        <w:spacing w:line="520" w:lineRule="exact"/>
        <w:ind w:firstLine="640" w:firstLineChars="200"/>
        <w:rPr>
          <w:rFonts w:hint="default" w:ascii="黑体" w:hAnsi="黑体" w:eastAsia="黑体" w:cs="黑体"/>
          <w:color w:val="FF0000"/>
          <w:sz w:val="32"/>
          <w:szCs w:val="32"/>
          <w:lang w:val="en-US" w:eastAsia="zh-CN"/>
        </w:rPr>
      </w:pPr>
      <w:r>
        <w:rPr>
          <w:rFonts w:hint="eastAsia" w:ascii="仿宋_GB2312" w:hAnsi="ˎ̥" w:eastAsia="仿宋_GB2312" w:cs="Times New Roman"/>
          <w:color w:val="FF0000"/>
          <w:sz w:val="32"/>
          <w:szCs w:val="32"/>
          <w:lang w:val="en-US" w:eastAsia="zh-CN"/>
        </w:rPr>
        <w:t>负责对幼儿实施体、智、德、美等方面全面发展的教育，实行保育和教育相结合，促进其身心健康发展；为家长参与、学习幼儿教育提供便利条件。</w:t>
      </w:r>
    </w:p>
    <w:p w14:paraId="435C3103">
      <w:pPr>
        <w:numPr>
          <w:ilvl w:val="0"/>
          <w:numId w:val="0"/>
        </w:numPr>
        <w:spacing w:line="578" w:lineRule="exact"/>
        <w:rPr>
          <w:rFonts w:hint="eastAsia" w:ascii="黑体" w:hAnsi="黑体" w:eastAsia="黑体" w:cs="黑体"/>
          <w:sz w:val="32"/>
          <w:szCs w:val="32"/>
        </w:rPr>
      </w:pPr>
    </w:p>
    <w:p w14:paraId="0680DACE">
      <w:pPr>
        <w:spacing w:line="578" w:lineRule="exact"/>
        <w:ind w:firstLine="640" w:firstLineChars="200"/>
        <w:rPr>
          <w:rFonts w:hint="eastAsia" w:ascii="黑体" w:hAnsi="黑体" w:eastAsia="黑体" w:cs="黑体"/>
          <w:sz w:val="32"/>
          <w:szCs w:val="32"/>
        </w:rPr>
      </w:pPr>
      <w:bookmarkStart w:id="14" w:name="_Toc4833_WPSOffice_Level2"/>
      <w:bookmarkStart w:id="15" w:name="_Toc6572_WPSOffice_Level2"/>
      <w:bookmarkStart w:id="16" w:name="_Toc17796_WPSOffice_Level2"/>
      <w:bookmarkStart w:id="17" w:name="_Toc24474_WPSOffice_Level2"/>
      <w:bookmarkStart w:id="18" w:name="_Toc24059_WPSOffice_Level2"/>
      <w:r>
        <w:rPr>
          <w:rFonts w:hint="eastAsia" w:ascii="黑体" w:hAnsi="黑体" w:eastAsia="黑体" w:cs="黑体"/>
          <w:sz w:val="32"/>
          <w:szCs w:val="32"/>
        </w:rPr>
        <w:t>二、机构设置</w:t>
      </w:r>
      <w:bookmarkEnd w:id="14"/>
      <w:bookmarkEnd w:id="15"/>
      <w:bookmarkEnd w:id="16"/>
      <w:bookmarkEnd w:id="17"/>
      <w:bookmarkEnd w:id="18"/>
    </w:p>
    <w:p w14:paraId="241816AD">
      <w:pPr>
        <w:spacing w:line="240" w:lineRule="auto"/>
        <w:ind w:firstLine="640" w:firstLineChars="200"/>
        <w:jc w:val="left"/>
        <w:rPr>
          <w:rFonts w:hint="eastAsia" w:ascii="黑体" w:hAnsi="ˎ̥" w:eastAsia="黑体"/>
          <w:sz w:val="32"/>
          <w:szCs w:val="32"/>
        </w:rPr>
      </w:pPr>
      <w:bookmarkStart w:id="19" w:name="_Toc30690_WPSOffice_Level1"/>
      <w:bookmarkStart w:id="20" w:name="_Toc15521_WPSOffice_Level1"/>
      <w:bookmarkStart w:id="21" w:name="_Toc28253_WPSOffice_Level1"/>
      <w:bookmarkStart w:id="22" w:name="_Toc6234_WPSOffice_Level1"/>
      <w:bookmarkStart w:id="23" w:name="_Toc8164_WPSOffice_Level1"/>
      <w:bookmarkStart w:id="24" w:name="_Toc30451_WPSOffice_Level1"/>
      <w:bookmarkStart w:id="25" w:name="_Toc8867_WPSOffice_Level2"/>
      <w:bookmarkStart w:id="26" w:name="_Toc32472_WPSOffice_Level2"/>
      <w:bookmarkStart w:id="27" w:name="_Toc32695_WPSOffice_Level2"/>
      <w:bookmarkStart w:id="28" w:name="_Toc4029_WPSOffice_Level2"/>
      <w:bookmarkStart w:id="29" w:name="_Toc11518_WPSOffice_Level2"/>
      <w:bookmarkStart w:id="30" w:name="_Toc6211_WPSOffice_Level2"/>
      <w:r>
        <w:rPr>
          <w:rFonts w:hint="eastAsia" w:ascii="仿宋_GB2312" w:hAnsi="ˎ̥" w:eastAsia="仿宋_GB2312"/>
          <w:color w:val="FF0000"/>
          <w:sz w:val="32"/>
          <w:szCs w:val="32"/>
          <w:lang w:val="en-US" w:eastAsia="zh-CN"/>
        </w:rPr>
        <w:t>三亚市海棠区青田第一幼儿园无内设机构</w:t>
      </w:r>
      <w:r>
        <w:rPr>
          <w:rFonts w:hint="eastAsia" w:ascii="仿宋_GB2312" w:hAnsi="ˎ̥" w:eastAsia="仿宋_GB2312"/>
          <w:color w:val="FF0000"/>
          <w:sz w:val="32"/>
          <w:szCs w:val="32"/>
          <w:lang w:eastAsia="zh-CN"/>
        </w:rPr>
        <w:t>。</w:t>
      </w:r>
    </w:p>
    <w:p w14:paraId="5ABA64D5">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19"/>
      <w:bookmarkEnd w:id="20"/>
      <w:bookmarkEnd w:id="21"/>
      <w:bookmarkEnd w:id="22"/>
      <w:bookmarkEnd w:id="23"/>
      <w:bookmarkEnd w:id="24"/>
    </w:p>
    <w:p w14:paraId="1A7D1292">
      <w:pPr>
        <w:spacing w:line="578" w:lineRule="exact"/>
        <w:ind w:firstLine="645"/>
        <w:rPr>
          <w:rFonts w:hint="eastAsia" w:ascii="黑体" w:hAnsi="黑体" w:eastAsia="黑体" w:cs="黑体"/>
          <w:sz w:val="32"/>
          <w:szCs w:val="32"/>
        </w:rPr>
      </w:pPr>
    </w:p>
    <w:p w14:paraId="4609FEC3">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14:paraId="646AEC68">
      <w:pPr>
        <w:spacing w:line="578" w:lineRule="exact"/>
        <w:ind w:firstLine="645"/>
        <w:rPr>
          <w:rFonts w:hint="eastAsia" w:ascii="黑体" w:hAnsi="黑体" w:eastAsia="黑体" w:cs="黑体"/>
          <w:sz w:val="32"/>
          <w:szCs w:val="32"/>
        </w:rPr>
      </w:pPr>
      <w:bookmarkStart w:id="31" w:name="_Toc25608_WPSOffice_Level2"/>
      <w:bookmarkStart w:id="32" w:name="_Toc30334_WPSOffice_Level2"/>
      <w:bookmarkStart w:id="33" w:name="_Toc23139_WPSOffice_Level2"/>
      <w:bookmarkStart w:id="34" w:name="_Toc14349_WPSOffice_Level2"/>
      <w:bookmarkStart w:id="35" w:name="_Toc28622_WPSOffice_Level2"/>
      <w:bookmarkStart w:id="36" w:name="_Toc26621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3262_WPSOffice_Level2"/>
      <w:bookmarkStart w:id="38" w:name="_Toc13854_WPSOffice_Level2"/>
      <w:bookmarkStart w:id="39" w:name="_Toc14658_WPSOffice_Level2"/>
      <w:bookmarkStart w:id="40" w:name="_Toc5489_WPSOffice_Level2"/>
      <w:bookmarkStart w:id="41" w:name="_Toc17858_WPSOffice_Level2"/>
      <w:bookmarkStart w:id="42" w:name="_Toc17626_WPSOffice_Level2"/>
    </w:p>
    <w:p w14:paraId="2D43FEAF">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13701_WPSOffice_Level2"/>
      <w:bookmarkStart w:id="44" w:name="_Toc7988_WPSOffice_Level2"/>
      <w:bookmarkStart w:id="45" w:name="_Toc4265_WPSOffice_Level2"/>
      <w:bookmarkStart w:id="46" w:name="_Toc23591_WPSOffice_Level2"/>
      <w:bookmarkStart w:id="47" w:name="_Toc21415_WPSOffice_Level2"/>
      <w:bookmarkStart w:id="48" w:name="_Toc23493_WPSOffice_Level2"/>
    </w:p>
    <w:p w14:paraId="466CE0B2">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14:paraId="1CA1AAB7">
      <w:pPr>
        <w:spacing w:line="578" w:lineRule="exact"/>
        <w:ind w:firstLine="645"/>
        <w:rPr>
          <w:rFonts w:hint="eastAsia" w:ascii="黑体" w:hAnsi="黑体" w:eastAsia="黑体" w:cs="黑体"/>
          <w:sz w:val="32"/>
          <w:szCs w:val="32"/>
        </w:rPr>
      </w:pPr>
      <w:bookmarkStart w:id="49" w:name="_Toc23829_WPSOffice_Level2"/>
      <w:bookmarkStart w:id="50" w:name="_Toc7879_WPSOffice_Level2"/>
      <w:bookmarkStart w:id="51" w:name="_Toc22783_WPSOffice_Level2"/>
      <w:bookmarkStart w:id="52" w:name="_Toc25166_WPSOffice_Level2"/>
      <w:bookmarkStart w:id="53" w:name="_Toc13516_WPSOffice_Level2"/>
      <w:bookmarkStart w:id="54" w:name="_Toc2158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5343_WPSOffice_Level2"/>
      <w:bookmarkStart w:id="56" w:name="_Toc25362_WPSOffice_Level2"/>
      <w:bookmarkStart w:id="57" w:name="_Toc2632_WPSOffice_Level2"/>
      <w:bookmarkStart w:id="58" w:name="_Toc17283_WPSOffice_Level2"/>
      <w:bookmarkStart w:id="59" w:name="_Toc17833_WPSOffice_Level2"/>
      <w:bookmarkStart w:id="60" w:name="_Toc8373_WPSOffice_Level2"/>
    </w:p>
    <w:p w14:paraId="163493D2">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14:paraId="11250B0D">
      <w:pPr>
        <w:spacing w:line="578" w:lineRule="exact"/>
        <w:ind w:left="1118" w:leftChars="304" w:hanging="480" w:hangingChars="150"/>
        <w:rPr>
          <w:rFonts w:hint="eastAsia" w:ascii="黑体" w:hAnsi="黑体" w:eastAsia="黑体" w:cs="黑体"/>
          <w:sz w:val="32"/>
          <w:szCs w:val="32"/>
        </w:rPr>
      </w:pPr>
      <w:bookmarkStart w:id="61" w:name="_Toc6020_WPSOffice_Level2"/>
      <w:bookmarkStart w:id="62" w:name="_Toc21310_WPSOffice_Level2"/>
      <w:bookmarkStart w:id="63" w:name="_Toc11799_WPSOffice_Level2"/>
      <w:bookmarkStart w:id="64" w:name="_Toc5594_WPSOffice_Level2"/>
      <w:bookmarkStart w:id="65" w:name="_Toc13345_WPSOffice_Level2"/>
      <w:bookmarkStart w:id="66" w:name="_Toc1533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14:paraId="33B6C1DC">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14:paraId="6225979D">
      <w:pPr>
        <w:spacing w:line="578" w:lineRule="exact"/>
        <w:ind w:firstLine="640"/>
        <w:rPr>
          <w:rFonts w:hint="eastAsia" w:ascii="黑体" w:hAnsi="黑体" w:eastAsia="黑体" w:cs="黑体"/>
          <w:sz w:val="32"/>
          <w:szCs w:val="32"/>
        </w:rPr>
      </w:pPr>
      <w:bookmarkStart w:id="67" w:name="_Toc29886_WPSOffice_Level2"/>
      <w:bookmarkStart w:id="68" w:name="_Toc9377_WPSOffice_Level2"/>
      <w:bookmarkStart w:id="69" w:name="_Toc19961_WPSOffice_Level2"/>
      <w:bookmarkStart w:id="70" w:name="_Toc1820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14:paraId="752E8721">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14:paraId="5B482E07">
      <w:pPr>
        <w:spacing w:line="578" w:lineRule="exact"/>
        <w:rPr>
          <w:rFonts w:hint="eastAsia" w:ascii="黑体" w:hAnsi="黑体" w:eastAsia="黑体" w:cs="黑体"/>
          <w:sz w:val="32"/>
          <w:szCs w:val="32"/>
        </w:rPr>
      </w:pPr>
    </w:p>
    <w:p w14:paraId="31BF6332">
      <w:pPr>
        <w:spacing w:line="578" w:lineRule="exact"/>
        <w:jc w:val="center"/>
        <w:rPr>
          <w:rFonts w:hint="eastAsia" w:ascii="黑体" w:hAnsi="ˎ̥" w:eastAsia="黑体"/>
          <w:sz w:val="32"/>
          <w:szCs w:val="32"/>
        </w:rPr>
      </w:pPr>
      <w:bookmarkStart w:id="71" w:name="_Toc29683_WPSOffice_Level1"/>
      <w:bookmarkStart w:id="72" w:name="_Toc27590_WPSOffice_Level1"/>
      <w:bookmarkStart w:id="73" w:name="_Toc31264_WPSOffice_Level1"/>
      <w:bookmarkStart w:id="74" w:name="_Toc16686_WPSOffice_Level1"/>
      <w:bookmarkStart w:id="75" w:name="_Toc4402_WPSOffice_Level1"/>
      <w:bookmarkStart w:id="76" w:name="_Toc28629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1"/>
      <w:bookmarkEnd w:id="72"/>
      <w:bookmarkEnd w:id="73"/>
      <w:bookmarkEnd w:id="74"/>
      <w:bookmarkEnd w:id="75"/>
      <w:bookmarkEnd w:id="76"/>
    </w:p>
    <w:p w14:paraId="0108672B">
      <w:pPr>
        <w:spacing w:line="578" w:lineRule="exact"/>
        <w:jc w:val="center"/>
        <w:rPr>
          <w:rFonts w:hint="eastAsia" w:ascii="黑体" w:hAnsi="ˎ̥" w:eastAsia="黑体"/>
          <w:sz w:val="32"/>
          <w:szCs w:val="32"/>
        </w:rPr>
      </w:pPr>
    </w:p>
    <w:p w14:paraId="1051B5A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365.94</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365.94</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w:t>
      </w:r>
      <w:r>
        <w:rPr>
          <w:rFonts w:hint="eastAsia" w:ascii="仿宋_GB2312" w:hAnsi="ˎ̥" w:eastAsia="仿宋_GB2312"/>
          <w:color w:val="FF0000"/>
          <w:sz w:val="32"/>
          <w:szCs w:val="32"/>
          <w:lang w:val="en-US" w:eastAsia="zh-CN"/>
        </w:rPr>
        <w:t>345.11</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1656</w:t>
      </w:r>
      <w:r>
        <w:rPr>
          <w:rFonts w:hint="eastAsia" w:ascii="仿宋_GB2312" w:hAnsi="ˎ̥" w:eastAsia="仿宋_GB2312"/>
          <w:sz w:val="32"/>
          <w:szCs w:val="32"/>
        </w:rPr>
        <w:t>%。主要原因：一是</w:t>
      </w:r>
      <w:r>
        <w:rPr>
          <w:rFonts w:hint="eastAsia" w:ascii="仿宋_GB2312" w:hAnsi="ˎ̥" w:eastAsia="仿宋_GB2312"/>
          <w:sz w:val="32"/>
          <w:szCs w:val="32"/>
          <w:lang w:eastAsia="zh-CN"/>
        </w:rPr>
        <w:t>用于教育支出</w:t>
      </w:r>
      <w:r>
        <w:rPr>
          <w:rFonts w:hint="eastAsia" w:ascii="仿宋_GB2312" w:hAnsi="ˎ̥" w:eastAsia="仿宋_GB2312"/>
          <w:sz w:val="32"/>
          <w:szCs w:val="32"/>
        </w:rPr>
        <w:t>；二是</w:t>
      </w:r>
      <w:r>
        <w:rPr>
          <w:rFonts w:hint="eastAsia" w:ascii="仿宋_GB2312" w:hAnsi="ˎ̥" w:eastAsia="仿宋_GB2312"/>
          <w:sz w:val="32"/>
          <w:szCs w:val="32"/>
          <w:lang w:eastAsia="zh-CN"/>
        </w:rPr>
        <w:t>用于住房保障支出</w:t>
      </w:r>
      <w:r>
        <w:rPr>
          <w:rFonts w:hint="eastAsia" w:ascii="仿宋_GB2312" w:hAnsi="ˎ̥" w:eastAsia="仿宋_GB2312"/>
          <w:sz w:val="32"/>
          <w:szCs w:val="32"/>
        </w:rPr>
        <w:t>。</w:t>
      </w:r>
    </w:p>
    <w:p w14:paraId="05B8AFD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596A4F3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365.94</w:t>
      </w:r>
      <w:r>
        <w:rPr>
          <w:rFonts w:hint="eastAsia" w:ascii="仿宋_GB2312" w:hAnsi="ˎ̥" w:eastAsia="仿宋_GB2312"/>
          <w:sz w:val="32"/>
          <w:szCs w:val="32"/>
        </w:rPr>
        <w:t>万元。</w:t>
      </w:r>
    </w:p>
    <w:p w14:paraId="3AB6C10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color w:val="FF0000"/>
          <w:sz w:val="32"/>
          <w:szCs w:val="32"/>
          <w:lang w:val="en-US" w:eastAsia="zh-CN"/>
        </w:rPr>
        <w:t>345.11</w:t>
      </w:r>
      <w:r>
        <w:rPr>
          <w:rFonts w:hint="eastAsia" w:ascii="仿宋_GB2312" w:hAnsi="ˎ̥" w:eastAsia="仿宋_GB2312"/>
          <w:sz w:val="32"/>
          <w:szCs w:val="32"/>
        </w:rPr>
        <w:t>万元，主要原因</w:t>
      </w:r>
      <w:r>
        <w:rPr>
          <w:rFonts w:hint="eastAsia" w:ascii="仿宋_GB2312" w:hAnsi="ˎ̥" w:eastAsia="仿宋_GB2312"/>
          <w:sz w:val="32"/>
          <w:szCs w:val="32"/>
          <w:lang w:eastAsia="zh-CN"/>
        </w:rPr>
        <w:t>是用于教育支出和住房保障支出</w:t>
      </w:r>
      <w:r>
        <w:rPr>
          <w:rFonts w:hint="eastAsia" w:ascii="仿宋_GB2312" w:hAnsi="ˎ̥" w:eastAsia="仿宋_GB2312"/>
          <w:sz w:val="32"/>
          <w:szCs w:val="32"/>
        </w:rPr>
        <w:t>。</w:t>
      </w:r>
    </w:p>
    <w:p w14:paraId="5B2819E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eastAsia="zh-CN"/>
        </w:rPr>
        <w:t>用于教育支出和住房保障支出</w:t>
      </w:r>
      <w:r>
        <w:rPr>
          <w:rFonts w:hint="eastAsia" w:ascii="仿宋_GB2312" w:hAnsi="ˎ̥" w:eastAsia="仿宋_GB2312"/>
          <w:sz w:val="32"/>
          <w:szCs w:val="32"/>
        </w:rPr>
        <w:t>（简要说明结转结余形成或来源），较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color w:val="FF0000"/>
          <w:sz w:val="32"/>
          <w:szCs w:val="32"/>
          <w:lang w:val="en-US" w:eastAsia="zh-CN"/>
        </w:rPr>
        <w:t>345.11</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1656</w:t>
      </w:r>
      <w:r>
        <w:rPr>
          <w:rFonts w:hint="eastAsia" w:ascii="仿宋_GB2312" w:hAnsi="ˎ̥" w:eastAsia="仿宋_GB2312"/>
          <w:sz w:val="32"/>
          <w:szCs w:val="32"/>
        </w:rPr>
        <w:t>%，主要原因是</w:t>
      </w:r>
      <w:r>
        <w:rPr>
          <w:rFonts w:hint="eastAsia" w:ascii="仿宋_GB2312" w:hAnsi="ˎ̥" w:eastAsia="仿宋_GB2312"/>
          <w:sz w:val="32"/>
          <w:szCs w:val="32"/>
          <w:lang w:eastAsia="zh-CN"/>
        </w:rPr>
        <w:t>用于教育支出和住房保障支出</w:t>
      </w:r>
      <w:r>
        <w:rPr>
          <w:rFonts w:hint="eastAsia" w:ascii="仿宋_GB2312" w:hAnsi="ˎ̥" w:eastAsia="仿宋_GB2312"/>
          <w:sz w:val="32"/>
          <w:szCs w:val="32"/>
        </w:rPr>
        <w:t>。</w:t>
      </w:r>
    </w:p>
    <w:p w14:paraId="74FADFF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788E8B0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365.94</w:t>
      </w:r>
      <w:r>
        <w:rPr>
          <w:rFonts w:hint="eastAsia" w:ascii="仿宋_GB2312" w:hAnsi="ˎ̥" w:eastAsia="仿宋_GB2312"/>
          <w:sz w:val="32"/>
          <w:szCs w:val="32"/>
        </w:rPr>
        <w:t>万元。</w:t>
      </w:r>
    </w:p>
    <w:p w14:paraId="3826849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w:t>
      </w:r>
      <w:r>
        <w:rPr>
          <w:rFonts w:hint="eastAsia" w:ascii="仿宋_GB2312" w:hAnsi="ˎ̥" w:eastAsia="仿宋_GB2312"/>
          <w:color w:val="FF0000"/>
          <w:sz w:val="32"/>
          <w:szCs w:val="32"/>
          <w:lang w:eastAsia="zh-CN"/>
        </w:rPr>
        <w:t>是用于本年基本支出的教育支出</w:t>
      </w:r>
      <w:r>
        <w:rPr>
          <w:rFonts w:hint="eastAsia" w:ascii="仿宋_GB2312" w:hAnsi="ˎ̥" w:eastAsia="仿宋_GB2312"/>
          <w:color w:val="FF0000"/>
          <w:sz w:val="32"/>
          <w:szCs w:val="32"/>
          <w:lang w:val="en-US" w:eastAsia="zh-CN"/>
        </w:rPr>
        <w:t>350.15万元，普通支出350.15万元，学前教育350.15万元，社会保障和就业支出7.86万元，行政事业单位养老支出7.86万元，机关事业单位基本养老保险缴费支出4.22万元，机关事业单位职业年金缴费支出3.65万元，卫生健康支出4.64万元，行政事业单位医疗4.64万元，事业单位医疗1.65万元，公务员医疗补助2.99万元，住房报账支出3.28万元，住房改革支出3.28万元，住房公积金3.28万元</w:t>
      </w:r>
      <w:r>
        <w:rPr>
          <w:rFonts w:hint="eastAsia" w:ascii="仿宋_GB2312" w:hAnsi="ˎ̥" w:eastAsia="仿宋_GB2312"/>
          <w:sz w:val="32"/>
          <w:szCs w:val="32"/>
        </w:rPr>
        <w:t>（资金分配去向），较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color w:val="FF0000"/>
          <w:sz w:val="32"/>
          <w:szCs w:val="32"/>
          <w:lang w:val="en-US" w:eastAsia="zh-CN"/>
        </w:rPr>
        <w:t>345.11</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1656</w:t>
      </w:r>
      <w:r>
        <w:rPr>
          <w:rFonts w:hint="eastAsia" w:ascii="仿宋_GB2312" w:hAnsi="ˎ̥" w:eastAsia="仿宋_GB2312"/>
          <w:sz w:val="32"/>
          <w:szCs w:val="32"/>
        </w:rPr>
        <w:t>%，主要原因是</w:t>
      </w:r>
      <w:r>
        <w:rPr>
          <w:rFonts w:hint="eastAsia" w:ascii="仿宋_GB2312" w:hAnsi="ˎ̥" w:eastAsia="仿宋_GB2312"/>
          <w:color w:val="FF0000"/>
          <w:sz w:val="32"/>
          <w:szCs w:val="32"/>
          <w:lang w:eastAsia="zh-CN"/>
        </w:rPr>
        <w:t>用于教育支出和住房保障支出</w:t>
      </w:r>
      <w:r>
        <w:rPr>
          <w:rFonts w:hint="eastAsia" w:ascii="仿宋_GB2312" w:hAnsi="ˎ̥" w:eastAsia="仿宋_GB2312"/>
          <w:sz w:val="32"/>
          <w:szCs w:val="32"/>
        </w:rPr>
        <w:t>。</w:t>
      </w:r>
    </w:p>
    <w:p w14:paraId="5ABFB0D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w:t>
      </w:r>
      <w:r>
        <w:rPr>
          <w:rFonts w:hint="eastAsia" w:ascii="仿宋_GB2312" w:hAnsi="ˎ̥" w:eastAsia="仿宋_GB2312"/>
          <w:sz w:val="32"/>
          <w:szCs w:val="32"/>
          <w:lang w:eastAsia="zh-CN"/>
        </w:rPr>
        <w:t>是</w:t>
      </w:r>
      <w:r>
        <w:rPr>
          <w:rFonts w:hint="eastAsia" w:ascii="仿宋_GB2312" w:hAnsi="ˎ̥" w:eastAsia="仿宋_GB2312"/>
          <w:color w:val="FF0000"/>
          <w:sz w:val="32"/>
          <w:szCs w:val="32"/>
          <w:lang w:eastAsia="zh-CN"/>
        </w:rPr>
        <w:t>基本支出结转和项目支出结转和结余</w:t>
      </w:r>
      <w:r>
        <w:rPr>
          <w:rFonts w:hint="eastAsia" w:ascii="仿宋_GB2312" w:hAnsi="ˎ̥" w:eastAsia="仿宋_GB2312"/>
          <w:sz w:val="32"/>
          <w:szCs w:val="32"/>
        </w:rPr>
        <w:t>（简要说明结转结余的构成），较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color w:val="FF0000"/>
          <w:sz w:val="32"/>
          <w:szCs w:val="32"/>
          <w:lang w:val="en-US" w:eastAsia="zh-CN"/>
        </w:rPr>
        <w:t>345.11</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1656</w:t>
      </w:r>
      <w:r>
        <w:rPr>
          <w:rFonts w:hint="eastAsia" w:ascii="仿宋_GB2312" w:hAnsi="ˎ̥" w:eastAsia="仿宋_GB2312"/>
          <w:sz w:val="32"/>
          <w:szCs w:val="32"/>
        </w:rPr>
        <w:t>%，主要原因是</w:t>
      </w:r>
      <w:r>
        <w:rPr>
          <w:rFonts w:hint="eastAsia" w:ascii="仿宋_GB2312" w:hAnsi="ˎ̥" w:eastAsia="仿宋_GB2312"/>
          <w:color w:val="FF0000"/>
          <w:sz w:val="32"/>
          <w:szCs w:val="32"/>
          <w:lang w:eastAsia="zh-CN"/>
        </w:rPr>
        <w:t>用于教育支出和住房保障支出</w:t>
      </w:r>
      <w:r>
        <w:rPr>
          <w:rFonts w:hint="eastAsia" w:ascii="仿宋_GB2312" w:hAnsi="ˎ̥" w:eastAsia="仿宋_GB2312"/>
          <w:sz w:val="32"/>
          <w:szCs w:val="32"/>
        </w:rPr>
        <w:t>。</w:t>
      </w:r>
    </w:p>
    <w:p w14:paraId="0F317C3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365.94</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365.94</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%；上级补助收入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%；事业收入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%；附属单位上缴收入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%；其他收入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14:paraId="5FF693E6">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14:paraId="294101D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365.94</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49.59</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13.55</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316.35</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86.45</w:t>
      </w:r>
      <w:r>
        <w:rPr>
          <w:rFonts w:hint="eastAsia" w:ascii="仿宋_GB2312" w:hAnsi="ˎ̥" w:eastAsia="仿宋_GB2312"/>
          <w:sz w:val="32"/>
          <w:szCs w:val="32"/>
        </w:rPr>
        <w:t>%；上缴上级支出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14:paraId="6EA146FC">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14:paraId="3CD7D43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365.94</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365.94</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w:t>
      </w:r>
      <w:r>
        <w:rPr>
          <w:rFonts w:hint="eastAsia" w:ascii="仿宋_GB2312" w:hAnsi="ˎ̥" w:eastAsia="仿宋_GB2312"/>
          <w:color w:val="FF0000"/>
          <w:sz w:val="32"/>
          <w:szCs w:val="32"/>
          <w:lang w:val="en-US" w:eastAsia="zh-CN"/>
        </w:rPr>
        <w:t>345.11</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1656</w:t>
      </w:r>
      <w:r>
        <w:rPr>
          <w:rFonts w:hint="eastAsia" w:ascii="仿宋_GB2312" w:hAnsi="ˎ̥" w:eastAsia="仿宋_GB2312"/>
          <w:sz w:val="32"/>
          <w:szCs w:val="32"/>
        </w:rPr>
        <w:t>%，主要原因：</w:t>
      </w:r>
      <w:r>
        <w:rPr>
          <w:rFonts w:hint="eastAsia" w:ascii="仿宋_GB2312" w:hAnsi="ˎ̥" w:eastAsia="仿宋_GB2312"/>
          <w:color w:val="FF0000"/>
          <w:sz w:val="32"/>
          <w:szCs w:val="32"/>
          <w:lang w:eastAsia="zh-CN"/>
        </w:rPr>
        <w:t>用于教育支出和住房保障支出</w:t>
      </w:r>
      <w:r>
        <w:rPr>
          <w:rFonts w:hint="eastAsia" w:ascii="仿宋_GB2312" w:hAnsi="ˎ̥" w:eastAsia="仿宋_GB2312"/>
          <w:sz w:val="32"/>
          <w:szCs w:val="32"/>
        </w:rPr>
        <w:t>。支出增加</w:t>
      </w:r>
      <w:r>
        <w:rPr>
          <w:rFonts w:hint="eastAsia" w:ascii="仿宋_GB2312" w:hAnsi="ˎ̥" w:eastAsia="仿宋_GB2312"/>
          <w:color w:val="FF0000"/>
          <w:sz w:val="32"/>
          <w:szCs w:val="32"/>
          <w:lang w:val="en-US" w:eastAsia="zh-CN"/>
        </w:rPr>
        <w:t>345.11</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1656</w:t>
      </w:r>
      <w:r>
        <w:rPr>
          <w:rFonts w:hint="eastAsia" w:ascii="仿宋_GB2312" w:hAnsi="ˎ̥" w:eastAsia="仿宋_GB2312"/>
          <w:sz w:val="32"/>
          <w:szCs w:val="32"/>
        </w:rPr>
        <w:t>%，主要原因：一是</w:t>
      </w:r>
      <w:r>
        <w:rPr>
          <w:rFonts w:hint="eastAsia" w:ascii="仿宋_GB2312" w:hAnsi="ˎ̥" w:eastAsia="仿宋_GB2312"/>
          <w:sz w:val="32"/>
          <w:szCs w:val="32"/>
          <w:lang w:eastAsia="zh-CN"/>
        </w:rPr>
        <w:t>教育支出</w:t>
      </w:r>
      <w:r>
        <w:rPr>
          <w:rFonts w:hint="eastAsia" w:ascii="仿宋_GB2312" w:hAnsi="ˎ̥" w:eastAsia="仿宋_GB2312"/>
          <w:sz w:val="32"/>
          <w:szCs w:val="32"/>
        </w:rPr>
        <w:t>；二是</w:t>
      </w:r>
      <w:r>
        <w:rPr>
          <w:rFonts w:hint="eastAsia" w:ascii="仿宋_GB2312" w:hAnsi="ˎ̥" w:eastAsia="仿宋_GB2312"/>
          <w:sz w:val="32"/>
          <w:szCs w:val="32"/>
          <w:lang w:eastAsia="zh-CN"/>
        </w:rPr>
        <w:t>住房保障支出</w:t>
      </w:r>
      <w:r>
        <w:rPr>
          <w:rFonts w:hint="eastAsia" w:ascii="仿宋_GB2312" w:hAnsi="ˎ̥" w:eastAsia="仿宋_GB2312"/>
          <w:sz w:val="32"/>
          <w:szCs w:val="32"/>
        </w:rPr>
        <w:t>。</w:t>
      </w:r>
    </w:p>
    <w:p w14:paraId="2F2814C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万元，主要是（简要说明结转结余形成或来源），较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14:paraId="604B142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eastAsia" w:ascii="仿宋_GB2312" w:hAnsi="ˎ̥" w:eastAsia="仿宋_GB2312"/>
          <w:color w:val="FF0000"/>
          <w:sz w:val="32"/>
          <w:szCs w:val="32"/>
          <w:lang w:val="en-US" w:eastAsia="zh-CN"/>
        </w:rPr>
        <w:t>365.94</w:t>
      </w:r>
      <w:r>
        <w:rPr>
          <w:rFonts w:hint="eastAsia" w:ascii="仿宋_GB2312" w:hAnsi="ˎ̥" w:eastAsia="仿宋_GB2312"/>
          <w:sz w:val="32"/>
          <w:szCs w:val="32"/>
        </w:rPr>
        <w:t>万元，主要是……（简要说明结转结余的</w:t>
      </w:r>
      <w:r>
        <w:rPr>
          <w:rFonts w:ascii="仿宋_GB2312" w:hAnsi="ˎ̥" w:eastAsia="仿宋_GB2312"/>
          <w:sz w:val="32"/>
          <w:szCs w:val="32"/>
        </w:rPr>
        <w:t>构成</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345.11</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1656</w:t>
      </w:r>
      <w:r>
        <w:rPr>
          <w:rFonts w:hint="eastAsia" w:ascii="仿宋_GB2312" w:hAnsi="ˎ̥" w:eastAsia="仿宋_GB2312"/>
          <w:sz w:val="32"/>
          <w:szCs w:val="32"/>
        </w:rPr>
        <w:t>%，主要原因是</w:t>
      </w:r>
      <w:r>
        <w:rPr>
          <w:rFonts w:hint="eastAsia" w:ascii="仿宋_GB2312" w:hAnsi="ˎ̥" w:eastAsia="仿宋_GB2312"/>
          <w:color w:val="FF0000"/>
          <w:sz w:val="32"/>
          <w:szCs w:val="32"/>
          <w:lang w:eastAsia="zh-CN"/>
        </w:rPr>
        <w:t>用于教育支出和住房保障支出</w:t>
      </w:r>
      <w:r>
        <w:rPr>
          <w:rFonts w:hint="eastAsia" w:ascii="仿宋_GB2312" w:hAnsi="ˎ̥" w:eastAsia="仿宋_GB2312"/>
          <w:sz w:val="32"/>
          <w:szCs w:val="32"/>
        </w:rPr>
        <w:t>。</w:t>
      </w:r>
    </w:p>
    <w:p w14:paraId="7BE8C2ED">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14:paraId="5561639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7" w:name="_Toc9989_WPSOffice_Level2"/>
      <w:bookmarkStart w:id="78" w:name="_Toc17398_WPSOffice_Level2"/>
      <w:bookmarkStart w:id="79" w:name="_Toc13694_WPSOffice_Level2"/>
      <w:bookmarkStart w:id="80" w:name="_Toc21737_WPSOffice_Level2"/>
      <w:bookmarkStart w:id="81" w:name="_Toc23005_WPSOffice_Level2"/>
      <w:bookmarkStart w:id="82" w:name="_Toc19665_WPSOffice_Level2"/>
      <w:r>
        <w:rPr>
          <w:rFonts w:hint="eastAsia" w:ascii="楷体" w:hAnsi="楷体" w:eastAsia="楷体" w:cs="楷体"/>
          <w:sz w:val="32"/>
          <w:szCs w:val="32"/>
        </w:rPr>
        <w:t>（一）一般公共预算财政拨款支出决算总体情况</w:t>
      </w:r>
      <w:bookmarkEnd w:id="77"/>
      <w:bookmarkEnd w:id="78"/>
      <w:bookmarkEnd w:id="79"/>
      <w:bookmarkEnd w:id="80"/>
      <w:bookmarkEnd w:id="81"/>
      <w:bookmarkEnd w:id="82"/>
    </w:p>
    <w:p w14:paraId="0B0CF27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365.94</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年度相比，一般公共预算财政拨款支出增加（减少）</w:t>
      </w:r>
      <w:r>
        <w:rPr>
          <w:rFonts w:hint="eastAsia" w:ascii="仿宋_GB2312" w:hAnsi="ˎ̥" w:eastAsia="仿宋_GB2312"/>
          <w:color w:val="FF0000"/>
          <w:sz w:val="32"/>
          <w:szCs w:val="32"/>
          <w:lang w:val="en-US" w:eastAsia="zh-CN"/>
        </w:rPr>
        <w:t>345.11</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1656</w:t>
      </w:r>
      <w:r>
        <w:rPr>
          <w:rFonts w:hint="eastAsia" w:ascii="仿宋_GB2312" w:hAnsi="ˎ̥" w:eastAsia="仿宋_GB2312"/>
          <w:sz w:val="32"/>
          <w:szCs w:val="32"/>
        </w:rPr>
        <w:t>%，主要原因是</w:t>
      </w:r>
      <w:r>
        <w:rPr>
          <w:rFonts w:hint="eastAsia" w:ascii="仿宋_GB2312" w:hAnsi="ˎ̥" w:eastAsia="仿宋_GB2312"/>
          <w:color w:val="FF0000"/>
          <w:sz w:val="32"/>
          <w:szCs w:val="32"/>
          <w:lang w:eastAsia="zh-CN"/>
        </w:rPr>
        <w:t>用于教育支出和住房保障支出</w:t>
      </w:r>
      <w:r>
        <w:rPr>
          <w:rFonts w:hint="eastAsia" w:ascii="仿宋_GB2312" w:hAnsi="ˎ̥" w:eastAsia="仿宋_GB2312"/>
          <w:sz w:val="32"/>
          <w:szCs w:val="32"/>
        </w:rPr>
        <w:t>。</w:t>
      </w:r>
    </w:p>
    <w:p w14:paraId="02CF4A3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3" w:name="_Toc18793_WPSOffice_Level2"/>
      <w:bookmarkStart w:id="84" w:name="_Toc23864_WPSOffice_Level2"/>
      <w:bookmarkStart w:id="85" w:name="_Toc19535_WPSOffice_Level2"/>
      <w:bookmarkStart w:id="86" w:name="_Toc2711_WPSOffice_Level2"/>
      <w:bookmarkStart w:id="87" w:name="_Toc27767_WPSOffice_Level2"/>
      <w:bookmarkStart w:id="88" w:name="_Toc19075_WPSOffice_Level2"/>
      <w:r>
        <w:rPr>
          <w:rFonts w:hint="eastAsia" w:ascii="楷体" w:hAnsi="楷体" w:eastAsia="楷体" w:cs="楷体"/>
          <w:sz w:val="32"/>
          <w:szCs w:val="32"/>
        </w:rPr>
        <w:t>（二）一般公共预算财政拨款支出决算结构情况</w:t>
      </w:r>
      <w:bookmarkEnd w:id="83"/>
      <w:bookmarkEnd w:id="84"/>
      <w:bookmarkEnd w:id="85"/>
      <w:bookmarkEnd w:id="86"/>
      <w:bookmarkEnd w:id="87"/>
      <w:bookmarkEnd w:id="88"/>
    </w:p>
    <w:p w14:paraId="210E169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365.94</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7.86</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2.15</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3.28</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0.9</w:t>
      </w:r>
      <w:r>
        <w:rPr>
          <w:rFonts w:hint="eastAsia" w:ascii="仿宋_GB2312" w:hAnsi="ˎ̥" w:eastAsia="仿宋_GB2312"/>
          <w:sz w:val="32"/>
          <w:szCs w:val="32"/>
        </w:rPr>
        <w:t>%；</w:t>
      </w:r>
    </w:p>
    <w:p w14:paraId="51B5561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9" w:name="_Toc9502_WPSOffice_Level2"/>
      <w:bookmarkStart w:id="90" w:name="_Toc15415_WPSOffice_Level2"/>
      <w:bookmarkStart w:id="91" w:name="_Toc22318_WPSOffice_Level2"/>
      <w:bookmarkStart w:id="92" w:name="_Toc29364_WPSOffice_Level2"/>
      <w:bookmarkStart w:id="93" w:name="_Toc21701_WPSOffice_Level2"/>
      <w:bookmarkStart w:id="94" w:name="_Toc25136_WPSOffice_Level2"/>
      <w:r>
        <w:rPr>
          <w:rFonts w:hint="eastAsia" w:ascii="楷体" w:hAnsi="楷体" w:eastAsia="楷体" w:cs="楷体"/>
          <w:sz w:val="32"/>
          <w:szCs w:val="32"/>
        </w:rPr>
        <w:t>（三）一般公共预算财政拨款支出决算具体情况</w:t>
      </w:r>
      <w:bookmarkEnd w:id="89"/>
      <w:bookmarkEnd w:id="90"/>
      <w:bookmarkEnd w:id="91"/>
      <w:bookmarkEnd w:id="92"/>
      <w:bookmarkEnd w:id="93"/>
      <w:bookmarkEnd w:id="94"/>
    </w:p>
    <w:p w14:paraId="04217A6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color w:val="FF0000"/>
          <w:sz w:val="32"/>
          <w:szCs w:val="32"/>
          <w:lang w:val="en-US" w:eastAsia="zh-CN"/>
        </w:rPr>
        <w:t>365.94</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365.94</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%。其中：</w:t>
      </w:r>
    </w:p>
    <w:p w14:paraId="417CBBF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一般公共服务（类）人大事务（款）行政运行（项）。</w:t>
      </w:r>
    </w:p>
    <w:p w14:paraId="3CA8F8D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%。决算数大于（小于）预算数的主要原因</w:t>
      </w:r>
      <w:r>
        <w:rPr>
          <w:rFonts w:hint="eastAsia" w:ascii="仿宋_GB2312" w:hAnsi="ˎ̥" w:eastAsia="仿宋_GB2312"/>
          <w:sz w:val="32"/>
          <w:szCs w:val="32"/>
          <w:lang w:eastAsia="zh-CN"/>
        </w:rPr>
        <w:t>。</w:t>
      </w:r>
    </w:p>
    <w:p w14:paraId="6EAB98CA">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14:paraId="6C24DF02">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49.59</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47.76</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1.83</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14:paraId="7241B08A">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14:paraId="643B855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14:paraId="0E502A0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14:paraId="06BD91A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14:paraId="5BAB193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14:paraId="2AA5798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14:paraId="184DD07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w:t>
      </w:r>
    </w:p>
    <w:p w14:paraId="101E92BC">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14:paraId="1600908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14:paraId="5E6A223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年度相比，国有资本经营预算财政拨款支出增加（减少）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14:paraId="7F0C568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14:paraId="52F8672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14:paraId="6DA2D67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14:paraId="360F3D5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w:t>
      </w:r>
    </w:p>
    <w:p w14:paraId="7260568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color w:val="FF0000"/>
          <w:sz w:val="32"/>
          <w:szCs w:val="32"/>
          <w:lang w:eastAsia="zh-CN"/>
        </w:rPr>
        <w:t>我园无此款项</w:t>
      </w:r>
      <w:r>
        <w:rPr>
          <w:rFonts w:hint="eastAsia" w:ascii="仿宋_GB2312" w:hAnsi="ˎ̥" w:eastAsia="仿宋_GB2312"/>
          <w:sz w:val="32"/>
          <w:szCs w:val="32"/>
        </w:rPr>
        <w:t>。</w:t>
      </w:r>
    </w:p>
    <w:p w14:paraId="1B28ACB1">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%。决算数大于（小于）预算数的主要原因</w:t>
      </w:r>
      <w:r>
        <w:rPr>
          <w:rFonts w:hint="eastAsia" w:ascii="仿宋_GB2312" w:hAnsi="ˎ̥" w:eastAsia="仿宋_GB2312"/>
          <w:sz w:val="32"/>
          <w:szCs w:val="32"/>
          <w:lang w:eastAsia="zh-CN"/>
        </w:rPr>
        <w:t>。</w:t>
      </w:r>
    </w:p>
    <w:p w14:paraId="5834EC2B">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14:paraId="18F9E7F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14:paraId="1367A270">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sz w:val="32"/>
          <w:szCs w:val="32"/>
        </w:rPr>
        <w:t>。</w:t>
      </w:r>
    </w:p>
    <w:p w14:paraId="0787B19B">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14:paraId="7B26A5C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%。具体情况如下：</w:t>
      </w:r>
    </w:p>
    <w:p w14:paraId="398AB8F6">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万元。全年安排因公出国（境）团组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个，因公出国（境）</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14:paraId="732BBD5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因公出国（境）费支出决算</w:t>
      </w:r>
      <w:r>
        <w:rPr>
          <w:rFonts w:hint="eastAsia" w:ascii="仿宋_GB2312" w:hAnsi="ˎ̥" w:eastAsia="仿宋_GB2312"/>
          <w:sz w:val="32"/>
          <w:szCs w:val="32"/>
          <w:lang w:val="en-US" w:eastAsia="zh-CN"/>
        </w:rPr>
        <w:t>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default"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因公出国（境）费支出增加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color w:val="FF0000"/>
          <w:sz w:val="32"/>
          <w:szCs w:val="32"/>
          <w:lang w:eastAsia="zh-CN"/>
        </w:rPr>
        <w:t>无此款项</w:t>
      </w:r>
      <w:r>
        <w:rPr>
          <w:rFonts w:hint="eastAsia" w:ascii="仿宋_GB2312" w:hAnsi="ˎ̥" w:eastAsia="仿宋_GB2312"/>
          <w:sz w:val="32"/>
          <w:szCs w:val="32"/>
        </w:rPr>
        <w:t>。</w:t>
      </w:r>
    </w:p>
    <w:p w14:paraId="7772B67D">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万元。其中：</w:t>
      </w:r>
    </w:p>
    <w:p w14:paraId="0BB159CD">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万元，全年购置公务用车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辆，年末公务用车保有量</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w:t>
      </w:r>
    </w:p>
    <w:p w14:paraId="2F0F80CE">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14:paraId="314933E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color w:val="FF0000"/>
          <w:sz w:val="32"/>
          <w:szCs w:val="32"/>
          <w:lang w:eastAsia="zh-CN"/>
        </w:rPr>
        <w:t>无此款项</w:t>
      </w:r>
      <w:r>
        <w:rPr>
          <w:rFonts w:hint="eastAsia" w:ascii="仿宋_GB2312" w:hAnsi="ˎ̥" w:eastAsia="仿宋_GB2312"/>
          <w:sz w:val="32"/>
          <w:szCs w:val="32"/>
        </w:rPr>
        <w:t>。</w:t>
      </w:r>
    </w:p>
    <w:p w14:paraId="4815CAD6">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万元，其中：</w:t>
      </w:r>
    </w:p>
    <w:p w14:paraId="0444BB16">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万元，国内公务接待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14:paraId="4AC126C2">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万元，国（境）外公务接待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14:paraId="0374301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公务接待费支出决算数比预算数增加（减少）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公务接待费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default" w:ascii="仿宋_GB2312" w:hAnsi="ˎ̥" w:eastAsia="仿宋_GB2312"/>
          <w:color w:val="FF0000"/>
          <w:sz w:val="32"/>
          <w:szCs w:val="32"/>
          <w:lang w:val="en-US"/>
        </w:rPr>
        <w:t>XXX</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color w:val="FF0000"/>
          <w:sz w:val="32"/>
          <w:szCs w:val="32"/>
          <w:lang w:eastAsia="zh-CN"/>
        </w:rPr>
        <w:t>无此款项</w:t>
      </w:r>
      <w:r>
        <w:rPr>
          <w:rFonts w:hint="eastAsia" w:ascii="仿宋_GB2312" w:hAnsi="ˎ̥" w:eastAsia="仿宋_GB2312"/>
          <w:sz w:val="32"/>
          <w:szCs w:val="32"/>
        </w:rPr>
        <w:t>。</w:t>
      </w:r>
    </w:p>
    <w:p w14:paraId="3B8181B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14:paraId="16F958C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14:paraId="1752048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楷体" w:hAnsi="楷体" w:eastAsia="楷体" w:cs="楷体"/>
          <w:bCs/>
          <w:sz w:val="32"/>
          <w:szCs w:val="32"/>
        </w:rPr>
        <w:t>（二）部门决算中项目绩效自评结果（预算部门、单位可根据实际情况反映重点项目绩效自评结果）</w:t>
      </w:r>
    </w:p>
    <w:p w14:paraId="08AEFB7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（三）部门评价结果（预算部门填写，部门所属单位不需填写）</w:t>
      </w:r>
    </w:p>
    <w:p w14:paraId="01C1BC6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hAnsi="仿宋_GB2312" w:eastAsia="仿宋_GB2312" w:cs="仿宋_GB2312"/>
          <w:kern w:val="0"/>
          <w:sz w:val="32"/>
          <w:szCs w:val="32"/>
          <w:lang w:bidi="ar"/>
        </w:rPr>
        <w:t>部门评价项目数量在3个以内的，至少将1个部门评价报告向社会公开；部门评价项目数量大于3个的，至少将2个部门评价报告向社会公开。</w:t>
      </w:r>
      <w:r>
        <w:rPr>
          <w:rFonts w:hint="eastAsia" w:ascii="仿宋_GB2312" w:eastAsia="仿宋_GB2312"/>
          <w:sz w:val="32"/>
          <w:szCs w:val="32"/>
        </w:rPr>
        <w:t>报告框架可参照《海南省财政厅关于印发&lt;海南省项目支出绩效评价管理实施办法&gt;的通知》（琼财绩〔2020〕594号）填写。</w:t>
      </w:r>
    </w:p>
    <w:p w14:paraId="52EA427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14:paraId="7B0BCD6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反映财政部门组织开展的预算部门（单位）重点项目财政评价情况，如有，可将评价报告附后。</w:t>
      </w:r>
    </w:p>
    <w:p w14:paraId="7FDC302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14:paraId="42D67D3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5" w:name="_Toc18325_WPSOffice_Level2"/>
      <w:bookmarkStart w:id="96" w:name="_Toc32639_WPSOffice_Level2"/>
      <w:bookmarkStart w:id="97" w:name="_Toc5978_WPSOffice_Level2"/>
      <w:bookmarkStart w:id="98" w:name="_Toc15565_WPSOffice_Level2"/>
      <w:bookmarkStart w:id="99" w:name="_Toc15262_WPSOffice_Level2"/>
      <w:bookmarkStart w:id="100" w:name="_Toc23598_WPSOffice_Level2"/>
      <w:r>
        <w:rPr>
          <w:rFonts w:hint="eastAsia" w:ascii="楷体" w:hAnsi="楷体" w:eastAsia="楷体" w:cs="楷体"/>
          <w:bCs/>
          <w:sz w:val="32"/>
          <w:szCs w:val="32"/>
        </w:rPr>
        <w:t>（一）机关运行经费支出情况</w:t>
      </w:r>
      <w:bookmarkEnd w:id="95"/>
      <w:bookmarkEnd w:id="96"/>
      <w:bookmarkEnd w:id="97"/>
      <w:bookmarkEnd w:id="98"/>
      <w:bookmarkEnd w:id="99"/>
      <w:bookmarkEnd w:id="100"/>
    </w:p>
    <w:p w14:paraId="213746BB">
      <w:pPr>
        <w:keepNext w:val="0"/>
        <w:keepLines w:val="0"/>
        <w:pageBreakBefore w:val="0"/>
        <w:widowControl w:val="0"/>
        <w:kinsoku/>
        <w:wordWrap/>
        <w:overflowPunct/>
        <w:topLinePunct w:val="0"/>
        <w:autoSpaceDE/>
        <w:autoSpaceDN/>
        <w:bidi w:val="0"/>
        <w:adjustRightInd/>
        <w:snapToGrid/>
        <w:spacing w:line="578" w:lineRule="exact"/>
        <w:ind w:firstLine="960" w:firstLineChars="300"/>
        <w:textAlignment w:val="auto"/>
        <w:rPr>
          <w:rFonts w:hint="eastAsia" w:ascii="楷体" w:hAnsi="楷体" w:eastAsia="楷体" w:cs="楷体"/>
          <w:bCs/>
          <w:color w:val="FF0000"/>
          <w:sz w:val="32"/>
          <w:szCs w:val="32"/>
          <w:lang w:eastAsia="zh-CN"/>
        </w:rPr>
      </w:pPr>
      <w:r>
        <w:rPr>
          <w:rFonts w:hint="eastAsia" w:ascii="楷体" w:hAnsi="楷体" w:eastAsia="楷体" w:cs="楷体"/>
          <w:bCs/>
          <w:color w:val="FF0000"/>
          <w:sz w:val="32"/>
          <w:szCs w:val="32"/>
          <w:lang w:eastAsia="zh-CN"/>
        </w:rPr>
        <w:t>无</w:t>
      </w:r>
    </w:p>
    <w:p w14:paraId="32FB8A2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1" w:name="_Toc23966_WPSOffice_Level2"/>
      <w:bookmarkStart w:id="102" w:name="_Toc30383_WPSOffice_Level2"/>
      <w:bookmarkStart w:id="103" w:name="_Toc25333_WPSOffice_Level2"/>
      <w:bookmarkStart w:id="104" w:name="_Toc13084_WPSOffice_Level2"/>
      <w:bookmarkStart w:id="105" w:name="_Toc3131_WPSOffice_Level2"/>
      <w:bookmarkStart w:id="106" w:name="_Toc32689_WPSOffice_Level2"/>
      <w:r>
        <w:rPr>
          <w:rFonts w:hint="eastAsia" w:ascii="楷体" w:hAnsi="楷体" w:eastAsia="楷体" w:cs="楷体"/>
          <w:bCs/>
          <w:sz w:val="32"/>
          <w:szCs w:val="32"/>
        </w:rPr>
        <w:t>（二）政府采购支出情况</w:t>
      </w:r>
      <w:bookmarkEnd w:id="101"/>
      <w:bookmarkEnd w:id="102"/>
      <w:bookmarkEnd w:id="103"/>
      <w:bookmarkEnd w:id="104"/>
      <w:bookmarkEnd w:id="105"/>
      <w:bookmarkEnd w:id="106"/>
    </w:p>
    <w:p w14:paraId="54169090">
      <w:pPr>
        <w:keepNext w:val="0"/>
        <w:keepLines w:val="0"/>
        <w:pageBreakBefore w:val="0"/>
        <w:widowControl w:val="0"/>
        <w:kinsoku/>
        <w:wordWrap/>
        <w:overflowPunct/>
        <w:topLinePunct w:val="0"/>
        <w:autoSpaceDE/>
        <w:autoSpaceDN/>
        <w:bidi w:val="0"/>
        <w:adjustRightInd/>
        <w:snapToGrid/>
        <w:spacing w:line="578" w:lineRule="exact"/>
        <w:ind w:firstLine="960" w:firstLineChars="300"/>
        <w:textAlignment w:val="auto"/>
        <w:rPr>
          <w:rFonts w:hint="eastAsia" w:ascii="仿宋_GB2312" w:hAnsi="ˎ̥" w:eastAsia="仿宋_GB2312"/>
          <w:color w:val="FF0000"/>
          <w:sz w:val="32"/>
          <w:szCs w:val="32"/>
          <w:lang w:val="en-US" w:eastAsia="zh-CN"/>
        </w:rPr>
      </w:pPr>
      <w:bookmarkStart w:id="107" w:name="_Toc527_WPSOffice_Level2"/>
      <w:bookmarkStart w:id="108" w:name="_Toc10902_WPSOffice_Level2"/>
      <w:bookmarkStart w:id="109" w:name="_Toc19989_WPSOffice_Level2"/>
      <w:bookmarkStart w:id="110" w:name="_Toc15129_WPSOffice_Level2"/>
      <w:bookmarkStart w:id="111" w:name="_Toc6016_WPSOffice_Level2"/>
      <w:bookmarkStart w:id="112" w:name="_Toc29584_WPSOffice_Level2"/>
      <w:r>
        <w:rPr>
          <w:rFonts w:hint="eastAsia" w:ascii="仿宋_GB2312" w:hAnsi="ˎ̥" w:eastAsia="仿宋_GB2312"/>
          <w:color w:val="FF0000"/>
          <w:sz w:val="32"/>
          <w:szCs w:val="32"/>
          <w:lang w:val="en-US" w:eastAsia="zh-CN"/>
        </w:rPr>
        <w:t>无</w:t>
      </w:r>
    </w:p>
    <w:p w14:paraId="3061DC4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（三）国有资产占用情况</w:t>
      </w:r>
      <w:bookmarkEnd w:id="107"/>
      <w:bookmarkEnd w:id="108"/>
      <w:bookmarkEnd w:id="109"/>
      <w:bookmarkEnd w:id="110"/>
      <w:bookmarkEnd w:id="111"/>
      <w:bookmarkEnd w:id="112"/>
    </w:p>
    <w:p w14:paraId="20F5AB17">
      <w:pPr>
        <w:keepNext w:val="0"/>
        <w:keepLines w:val="0"/>
        <w:pageBreakBefore w:val="0"/>
        <w:widowControl w:val="0"/>
        <w:kinsoku/>
        <w:wordWrap/>
        <w:overflowPunct/>
        <w:topLinePunct w:val="0"/>
        <w:autoSpaceDE/>
        <w:autoSpaceDN/>
        <w:bidi w:val="0"/>
        <w:adjustRightInd/>
        <w:snapToGrid/>
        <w:spacing w:line="578" w:lineRule="exact"/>
        <w:ind w:firstLine="960" w:firstLineChars="300"/>
        <w:jc w:val="both"/>
        <w:textAlignment w:val="auto"/>
        <w:rPr>
          <w:rFonts w:hint="eastAsia" w:ascii="华文楷体" w:hAnsi="华文楷体" w:eastAsia="华文楷体" w:cs="华文楷体"/>
          <w:color w:val="FF0000"/>
          <w:sz w:val="32"/>
          <w:szCs w:val="32"/>
          <w:lang w:eastAsia="zh-CN"/>
        </w:rPr>
      </w:pPr>
      <w:bookmarkStart w:id="113" w:name="_Toc15425_WPSOffice_Level1"/>
      <w:bookmarkStart w:id="114" w:name="_Toc17580_WPSOffice_Level1"/>
      <w:bookmarkStart w:id="115" w:name="_Toc8874_WPSOffice_Level1"/>
      <w:bookmarkStart w:id="116" w:name="_Toc11039_WPSOffice_Level1"/>
      <w:bookmarkStart w:id="117" w:name="_Toc8808_WPSOffice_Level1"/>
      <w:bookmarkStart w:id="118" w:name="_Toc4398_WPSOffice_Level1"/>
      <w:r>
        <w:rPr>
          <w:rFonts w:hint="eastAsia" w:ascii="华文楷体" w:hAnsi="华文楷体" w:eastAsia="华文楷体" w:cs="华文楷体"/>
          <w:color w:val="FF0000"/>
          <w:sz w:val="32"/>
          <w:szCs w:val="32"/>
          <w:lang w:eastAsia="zh-CN"/>
        </w:rPr>
        <w:t>无</w:t>
      </w:r>
    </w:p>
    <w:p w14:paraId="7D7EA2AD">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14:paraId="20DF7197">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70B2D6DD">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14:paraId="7CB0110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14:paraId="615F44C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14:paraId="2DDD1A1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14:paraId="1C1D4A3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14:paraId="2FC801B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14:paraId="742CA95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14:paraId="28F678F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14:paraId="532391E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14:paraId="63B3F8D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0236745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14:paraId="72D5145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14:paraId="7314EBA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14:paraId="1ACBFEC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101C4972">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58E9525B">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14:paraId="419A08C7">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9E08A">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14:paraId="1BD1ED8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6F60F">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14:paraId="07FD915D">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6943CF59"/>
    <w:multiLevelType w:val="singleLevel"/>
    <w:tmpl w:val="6943CF59"/>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47F1538"/>
    <w:rsid w:val="09201287"/>
    <w:rsid w:val="0BDE7E70"/>
    <w:rsid w:val="0FC80124"/>
    <w:rsid w:val="136F98C7"/>
    <w:rsid w:val="17427E68"/>
    <w:rsid w:val="1755065F"/>
    <w:rsid w:val="1AFC29C9"/>
    <w:rsid w:val="1CA52F2E"/>
    <w:rsid w:val="1E3630B9"/>
    <w:rsid w:val="26EEC2B5"/>
    <w:rsid w:val="29472309"/>
    <w:rsid w:val="2A2D379F"/>
    <w:rsid w:val="2B406E77"/>
    <w:rsid w:val="2C2A0C43"/>
    <w:rsid w:val="2D1E73A5"/>
    <w:rsid w:val="31E91748"/>
    <w:rsid w:val="32717154"/>
    <w:rsid w:val="34B63260"/>
    <w:rsid w:val="37FDA7E2"/>
    <w:rsid w:val="3A314D88"/>
    <w:rsid w:val="3A746883"/>
    <w:rsid w:val="3CA15DE9"/>
    <w:rsid w:val="3FE61EE5"/>
    <w:rsid w:val="406508EE"/>
    <w:rsid w:val="408D6263"/>
    <w:rsid w:val="41B40CEE"/>
    <w:rsid w:val="48317291"/>
    <w:rsid w:val="485F7024"/>
    <w:rsid w:val="48E70666"/>
    <w:rsid w:val="4C6877E5"/>
    <w:rsid w:val="4D6A468D"/>
    <w:rsid w:val="4EA86137"/>
    <w:rsid w:val="4FFB5366"/>
    <w:rsid w:val="56CA7FD0"/>
    <w:rsid w:val="57FA38D1"/>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5113</Words>
  <Characters>5595</Characters>
  <Lines>67</Lines>
  <Paragraphs>18</Paragraphs>
  <TotalTime>3</TotalTime>
  <ScaleCrop>false</ScaleCrop>
  <LinksUpToDate>false</LinksUpToDate>
  <CharactersWithSpaces>5656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吉海玲</cp:lastModifiedBy>
  <cp:lastPrinted>2023-08-03T00:58:00Z</cp:lastPrinted>
  <dcterms:modified xsi:type="dcterms:W3CDTF">2025-10-10T03:28:57Z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03AE7F14E2DC4BACB053764200FF950D_13</vt:lpwstr>
  </property>
  <property fmtid="{D5CDD505-2E9C-101B-9397-08002B2CF9AE}" pid="4" name="KSOTemplateDocerSaveRecord">
    <vt:lpwstr>eyJoZGlkIjoiNDIxNjYwNWIzNTczZTU4NmFmZjlmYzE2YTc2YzM0YTkiLCJ1c2VySWQiOiIxNDAzMTQyMzEzIn0=</vt:lpwstr>
  </property>
</Properties>
</file>