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三亚市海棠区中心幼儿园2024年度部门决算公开报告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10720_WPSOffice_Level1"/>
      <w:bookmarkStart w:id="4" w:name="_Toc1704_WPSOffice_Level1"/>
      <w:bookmarkStart w:id="5" w:name="_Toc22941_WPSOffice_Level1"/>
      <w:bookmarkStart w:id="6" w:name="_Toc32433_WPSOffice_Level1"/>
      <w:bookmarkStart w:id="7" w:name="_Toc23465_WPSOffice_Level1"/>
      <w:bookmarkStart w:id="8" w:name="_Toc24238_WPSOffice_Level2"/>
      <w:bookmarkStart w:id="9" w:name="_Toc20205_WPSOffice_Level2"/>
      <w:bookmarkStart w:id="10" w:name="_Toc20274_WPSOffice_Level2"/>
      <w:bookmarkStart w:id="11" w:name="_Toc26580_WPSOffice_Level2"/>
      <w:bookmarkStart w:id="12" w:name="_Toc14159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numPr>
          <w:ilvl w:val="0"/>
          <w:numId w:val="0"/>
        </w:num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lang w:val="en-US" w:eastAsia="zh-CN"/>
        </w:rPr>
        <w:t>负责对幼儿实施体、智、德、美等方面全面发展的教育，实行保育和教育相结合，促进其身心健康发展；为家长参与、学习幼儿教育提供便利条件。</w:t>
      </w:r>
    </w:p>
    <w:p>
      <w:pPr>
        <w:numPr>
          <w:ilvl w:val="0"/>
          <w:numId w:val="0"/>
        </w:numPr>
        <w:spacing w:line="578" w:lineRule="exact"/>
        <w:rPr>
          <w:rFonts w:hint="eastAsia" w:ascii="黑体" w:hAnsi="黑体" w:eastAsia="黑体" w:cs="黑体"/>
          <w:sz w:val="32"/>
          <w:szCs w:val="32"/>
        </w:rPr>
      </w:pPr>
    </w:p>
    <w:p>
      <w:pPr>
        <w:numPr>
          <w:ilvl w:val="0"/>
          <w:numId w:val="2"/>
        </w:numPr>
        <w:spacing w:line="578" w:lineRule="exact"/>
        <w:ind w:left="0" w:leftChars="0" w:firstLine="640" w:firstLineChars="200"/>
        <w:rPr>
          <w:rFonts w:hint="eastAsia" w:ascii="黑体" w:hAnsi="黑体" w:eastAsia="黑体" w:cs="黑体"/>
          <w:sz w:val="32"/>
          <w:szCs w:val="32"/>
        </w:rPr>
      </w:pPr>
      <w:bookmarkStart w:id="14" w:name="_Toc17796_WPSOffice_Level2"/>
      <w:bookmarkStart w:id="15" w:name="_Toc6572_WPSOffice_Level2"/>
      <w:bookmarkStart w:id="16" w:name="_Toc4833_WPSOffice_Level2"/>
      <w:bookmarkStart w:id="17" w:name="_Toc24474_WPSOffice_Level2"/>
      <w:bookmarkStart w:id="18" w:name="_Toc24059_WPSOffice_Level2"/>
      <w:r>
        <w:rPr>
          <w:rFonts w:hint="eastAsia" w:ascii="黑体" w:hAnsi="黑体" w:eastAsia="黑体" w:cs="黑体"/>
          <w:sz w:val="32"/>
          <w:szCs w:val="32"/>
        </w:rPr>
        <w:t>机构设置</w:t>
      </w:r>
      <w:bookmarkEnd w:id="14"/>
      <w:bookmarkEnd w:id="15"/>
      <w:bookmarkEnd w:id="16"/>
      <w:bookmarkEnd w:id="17"/>
      <w:bookmarkEnd w:id="18"/>
    </w:p>
    <w:p>
      <w:pPr>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三亚市海棠区中心幼儿园</w:t>
      </w:r>
      <w:r>
        <w:rPr>
          <w:rFonts w:hint="eastAsia" w:ascii="仿宋_GB2312" w:hAnsi="ˎ̥" w:eastAsia="仿宋_GB2312"/>
          <w:sz w:val="32"/>
          <w:szCs w:val="32"/>
          <w:lang w:eastAsia="zh-CN"/>
        </w:rPr>
        <w:t>202</w:t>
      </w:r>
      <w:r>
        <w:rPr>
          <w:rFonts w:hint="default" w:ascii="仿宋_GB2312" w:hAnsi="ˎ̥" w:eastAsia="仿宋_GB2312"/>
          <w:sz w:val="32"/>
          <w:szCs w:val="32"/>
          <w:lang w:val="en-US" w:eastAsia="zh-CN"/>
        </w:rPr>
        <w:t>4</w:t>
      </w:r>
      <w:r>
        <w:rPr>
          <w:rFonts w:hint="eastAsia" w:ascii="仿宋_GB2312" w:hAnsi="ˎ̥" w:eastAsia="仿宋_GB2312"/>
          <w:sz w:val="32"/>
          <w:szCs w:val="32"/>
          <w:lang w:eastAsia="zh-CN"/>
        </w:rPr>
        <w:t>年度</w:t>
      </w:r>
      <w:r>
        <w:rPr>
          <w:rFonts w:hint="eastAsia" w:ascii="仿宋_GB2312" w:hAnsi="ˎ̥" w:eastAsia="仿宋_GB2312"/>
          <w:sz w:val="32"/>
          <w:szCs w:val="32"/>
          <w:lang w:val="en-US" w:eastAsia="zh-CN"/>
        </w:rPr>
        <w:t>单位</w:t>
      </w:r>
      <w:r>
        <w:rPr>
          <w:rFonts w:hint="eastAsia" w:ascii="仿宋_GB2312" w:hAnsi="ˎ̥" w:eastAsia="仿宋_GB2312"/>
          <w:sz w:val="32"/>
          <w:szCs w:val="32"/>
        </w:rPr>
        <w:t>决算编制范围的二级预算单位包括：</w:t>
      </w:r>
    </w:p>
    <w:p>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（一）三亚市海棠区中心幼儿园</w:t>
      </w:r>
    </w:p>
    <w:p>
      <w:pPr>
        <w:ind w:firstLine="640" w:firstLineChars="200"/>
        <w:rPr>
          <w:rFonts w:hint="eastAsia" w:ascii="仿宋_GB2312" w:hAnsi="ˎ̥" w:eastAsia="仿宋_GB2312"/>
          <w:sz w:val="32"/>
          <w:szCs w:val="32"/>
          <w:lang w:eastAsia="zh-CN"/>
        </w:rPr>
      </w:pPr>
      <w:r>
        <w:rPr>
          <w:rFonts w:hint="eastAsia" w:ascii="楷体" w:hAnsi="楷体" w:eastAsia="楷体" w:cs="楷体"/>
          <w:sz w:val="32"/>
          <w:szCs w:val="32"/>
          <w:lang w:val="en-US" w:eastAsia="zh-CN"/>
        </w:rPr>
        <w:t>三亚市海棠区中心幼儿园无内设机构</w:t>
      </w:r>
      <w:r>
        <w:rPr>
          <w:rFonts w:hint="eastAsia" w:ascii="仿宋_GB2312" w:hAnsi="ˎ̥" w:eastAsia="仿宋_GB2312"/>
          <w:sz w:val="32"/>
          <w:szCs w:val="32"/>
          <w:lang w:eastAsia="zh-CN"/>
        </w:rPr>
        <w:t>。</w:t>
      </w:r>
    </w:p>
    <w:p>
      <w:pPr>
        <w:spacing w:line="578" w:lineRule="exact"/>
        <w:jc w:val="both"/>
        <w:rPr>
          <w:rFonts w:hint="eastAsia" w:ascii="黑体" w:hAnsi="ˎ̥" w:eastAsia="黑体"/>
          <w:sz w:val="32"/>
          <w:szCs w:val="32"/>
        </w:rPr>
      </w:pPr>
      <w:bookmarkStart w:id="19" w:name="_Toc8164_WPSOffice_Level1"/>
      <w:bookmarkStart w:id="20" w:name="_Toc30690_WPSOffice_Level1"/>
      <w:bookmarkStart w:id="21" w:name="_Toc15521_WPSOffice_Level1"/>
      <w:bookmarkStart w:id="22" w:name="_Toc6234_WPSOffice_Level1"/>
      <w:bookmarkStart w:id="23" w:name="_Toc30451_WPSOffice_Level1"/>
      <w:bookmarkStart w:id="24" w:name="_Toc28253_WPSOffice_Level1"/>
      <w:bookmarkStart w:id="25" w:name="_Toc32472_WPSOffice_Level2"/>
      <w:bookmarkStart w:id="26" w:name="_Toc8867_WPSOffice_Level2"/>
      <w:bookmarkStart w:id="27" w:name="_Toc11518_WPSOffice_Level2"/>
      <w:bookmarkStart w:id="28" w:name="_Toc4029_WPSOffice_Level2"/>
      <w:bookmarkStart w:id="29" w:name="_Toc6211_WPSOffice_Level2"/>
      <w:bookmarkStart w:id="30" w:name="_Toc3269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14349_WPSOffice_Level2"/>
      <w:bookmarkStart w:id="32" w:name="_Toc23139_WPSOffice_Level2"/>
      <w:bookmarkStart w:id="33" w:name="_Toc30334_WPSOffice_Level2"/>
      <w:bookmarkStart w:id="34" w:name="_Toc26621_WPSOffice_Level2"/>
      <w:bookmarkStart w:id="35" w:name="_Toc25608_WPSOffice_Level2"/>
      <w:bookmarkStart w:id="36" w:name="_Toc28622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3262_WPSOffice_Level2"/>
      <w:bookmarkStart w:id="39" w:name="_Toc14658_WPSOffice_Level2"/>
      <w:bookmarkStart w:id="40" w:name="_Toc5489_WPSOffice_Level2"/>
      <w:bookmarkStart w:id="41" w:name="_Toc13854_WPSOffice_Level2"/>
      <w:bookmarkStart w:id="42" w:name="_Toc178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13701_WPSOffice_Level2"/>
      <w:bookmarkStart w:id="44" w:name="_Toc4265_WPSOffice_Level2"/>
      <w:bookmarkStart w:id="45" w:name="_Toc21415_WPSOffice_Level2"/>
      <w:bookmarkStart w:id="46" w:name="_Toc7988_WPSOffice_Level2"/>
      <w:bookmarkStart w:id="47" w:name="_Toc23591_WPSOffice_Level2"/>
      <w:bookmarkStart w:id="48"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7879_WPSOffice_Level2"/>
      <w:bookmarkStart w:id="50" w:name="_Toc23829_WPSOffice_Level2"/>
      <w:bookmarkStart w:id="51" w:name="_Toc22783_WPSOffice_Level2"/>
      <w:bookmarkStart w:id="52" w:name="_Toc25166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8373_WPSOffice_Level2"/>
      <w:bookmarkStart w:id="56" w:name="_Toc17283_WPSOffice_Level2"/>
      <w:bookmarkStart w:id="57" w:name="_Toc17833_WPSOffice_Level2"/>
      <w:bookmarkStart w:id="58" w:name="_Toc2632_WPSOffice_Level2"/>
      <w:bookmarkStart w:id="59" w:name="_Toc5343_WPSOffice_Level2"/>
      <w:bookmarkStart w:id="60" w:name="_Toc253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5594_WPSOffice_Level2"/>
      <w:bookmarkStart w:id="62" w:name="_Toc11799_WPSOffice_Level2"/>
      <w:bookmarkStart w:id="63" w:name="_Toc6020_WPSOffice_Level2"/>
      <w:bookmarkStart w:id="64" w:name="_Toc13345_WPSOffice_Level2"/>
      <w:bookmarkStart w:id="65" w:name="_Toc21310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29886_WPSOffice_Level2"/>
      <w:bookmarkStart w:id="68" w:name="_Toc1820_WPSOffice_Level2"/>
      <w:bookmarkStart w:id="69" w:name="_Toc19961_WPSOffice_Level2"/>
      <w:bookmarkStart w:id="70" w:name="_Toc9377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28629_WPSOffice_Level1"/>
      <w:bookmarkStart w:id="72" w:name="_Toc31264_WPSOffice_Level1"/>
      <w:bookmarkStart w:id="73" w:name="_Toc27590_WPSOffice_Level1"/>
      <w:bookmarkStart w:id="74" w:name="_Toc29683_WPSOffice_Level1"/>
      <w:bookmarkStart w:id="75" w:name="_Toc16686_WPSOffice_Level1"/>
      <w:bookmarkStart w:id="76" w:name="_Toc4402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lang w:eastAsia="zh-CN"/>
        </w:rPr>
      </w:pPr>
      <w:r>
        <w:rPr>
          <w:rFonts w:hint="eastAsia" w:ascii="黑体" w:hAnsi="黑体" w:eastAsia="黑体" w:cs="黑体"/>
          <w:bCs/>
          <w:sz w:val="32"/>
          <w:szCs w:val="32"/>
        </w:rPr>
        <w:t>一、收入支出总体情况说明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default" w:ascii="仿宋_GB2312" w:hAnsi="ˎ̥" w:eastAsia="仿宋_GB2312"/>
          <w:color w:val="auto"/>
          <w:sz w:val="32"/>
          <w:szCs w:val="32"/>
          <w:lang w:val="en-US"/>
        </w:rPr>
        <w:t>0.66</w:t>
      </w:r>
      <w:r>
        <w:rPr>
          <w:rFonts w:hint="eastAsia" w:ascii="仿宋_GB2312" w:hAnsi="ˎ̥" w:eastAsia="仿宋_GB2312"/>
          <w:color w:val="auto"/>
          <w:sz w:val="32"/>
          <w:szCs w:val="32"/>
        </w:rPr>
        <w:t>万元，增长</w:t>
      </w:r>
      <w:r>
        <w:rPr>
          <w:rFonts w:hint="default" w:ascii="仿宋_GB2312" w:hAnsi="ˎ̥" w:eastAsia="仿宋_GB2312"/>
          <w:color w:val="auto"/>
          <w:sz w:val="32"/>
          <w:szCs w:val="32"/>
          <w:lang w:val="en-US"/>
        </w:rPr>
        <w:t>0.19</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年初预算不够科学精准</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万元，主要原因是</w:t>
      </w:r>
      <w:r>
        <w:rPr>
          <w:rFonts w:hint="default" w:ascii="仿宋_GB2312" w:hAnsi="ˎ̥" w:eastAsia="仿宋_GB2312"/>
          <w:color w:val="auto"/>
          <w:sz w:val="32"/>
          <w:szCs w:val="32"/>
          <w:lang w:val="en-US"/>
        </w:rPr>
        <w:t>:</w:t>
      </w:r>
      <w:r>
        <w:rPr>
          <w:rFonts w:hint="eastAsia" w:ascii="仿宋_GB2312" w:hAnsi="ˎ̥" w:eastAsia="仿宋_GB2312"/>
          <w:color w:val="auto"/>
          <w:sz w:val="32"/>
          <w:szCs w:val="32"/>
          <w:lang w:val="en-US" w:eastAsia="zh-CN"/>
        </w:rPr>
        <w:t>我园无此款项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年初预算不够科学精准，</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年初预算不够科学精准</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我园无此款项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w:t>
      </w:r>
      <w:r>
        <w:rPr>
          <w:rFonts w:hint="eastAsia" w:ascii="仿宋_GB2312" w:hAnsi="ˎ̥" w:eastAsia="仿宋_GB2312"/>
          <w:sz w:val="32"/>
          <w:szCs w:val="32"/>
        </w:rPr>
        <w:t>要原因是</w:t>
      </w:r>
      <w:r>
        <w:rPr>
          <w:rFonts w:hint="eastAsia" w:ascii="仿宋_GB2312" w:hAnsi="ˎ̥" w:eastAsia="仿宋_GB2312"/>
          <w:sz w:val="32"/>
          <w:szCs w:val="32"/>
          <w:lang w:val="en-US" w:eastAsia="zh-CN"/>
        </w:rPr>
        <w:t>我园无此款项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sz w:val="32"/>
          <w:szCs w:val="32"/>
        </w:rPr>
        <w:t>年末结</w:t>
      </w:r>
      <w:r>
        <w:rPr>
          <w:rFonts w:hint="eastAsia" w:ascii="仿宋_GB2312" w:hAnsi="ˎ̥" w:eastAsia="仿宋_GB2312"/>
          <w:color w:val="auto"/>
          <w:sz w:val="32"/>
          <w:szCs w:val="32"/>
        </w:rPr>
        <w:t>转结余</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年初预算不够科学精准，</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年初预算不够科学精准</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lang w:eastAsia="zh-CN"/>
        </w:rPr>
      </w:pPr>
      <w:r>
        <w:rPr>
          <w:rFonts w:hint="eastAsia" w:ascii="黑体" w:hAnsi="黑体" w:eastAsia="黑体" w:cs="黑体"/>
          <w:bCs/>
          <w:color w:val="auto"/>
          <w:sz w:val="32"/>
          <w:szCs w:val="32"/>
        </w:rPr>
        <w:t>二、收入决算情况说明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28.55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8.34</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313.58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91.66</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0.66</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0.19</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年初预算不够科学精准</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0.66</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0.19</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年初预算不够科学精准</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w:t>
      </w:r>
      <w:r>
        <w:rPr>
          <w:rFonts w:hint="eastAsia" w:ascii="仿宋_GB2312" w:hAnsi="ˎ̥" w:eastAsia="仿宋_GB2312"/>
          <w:color w:val="auto"/>
          <w:sz w:val="32"/>
          <w:szCs w:val="32"/>
          <w:lang w:eastAsia="zh-CN"/>
        </w:rPr>
        <w:t>是我园无此款项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我园无此款项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我园无</w:t>
      </w:r>
      <w:r>
        <w:rPr>
          <w:rFonts w:hint="eastAsia" w:ascii="仿宋_GB2312" w:hAnsi="ˎ̥" w:eastAsia="仿宋_GB2312"/>
          <w:sz w:val="32"/>
          <w:szCs w:val="32"/>
          <w:lang w:eastAsia="zh-CN"/>
        </w:rPr>
        <w:t>此款项，</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auto"/>
          <w:sz w:val="32"/>
          <w:szCs w:val="32"/>
        </w:rPr>
        <w:t>（减少）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我园无此款项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21737_WPSOffice_Level2"/>
      <w:bookmarkStart w:id="78" w:name="_Toc13694_WPSOffice_Level2"/>
      <w:bookmarkStart w:id="79" w:name="_Toc23005_WPSOffice_Level2"/>
      <w:bookmarkStart w:id="80" w:name="_Toc17398_WPSOffice_Level2"/>
      <w:bookmarkStart w:id="81" w:name="_Toc19665_WPSOffice_Level2"/>
      <w:bookmarkStart w:id="82" w:name="_Toc9989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0.66</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0.19</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年初预算不够科学精准</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19535_WPSOffice_Level2"/>
      <w:bookmarkStart w:id="84" w:name="_Toc19075_WPSOffice_Level2"/>
      <w:bookmarkStart w:id="85" w:name="_Toc23864_WPSOffice_Level2"/>
      <w:bookmarkStart w:id="86" w:name="_Toc2711_WPSOffice_Level2"/>
      <w:bookmarkStart w:id="87" w:name="_Toc27767_WPSOffice_Level2"/>
      <w:bookmarkStart w:id="88" w:name="_Toc18793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lang w:eastAsia="zh-CN"/>
        </w:rPr>
        <w:t>教育</w:t>
      </w:r>
      <w:r>
        <w:rPr>
          <w:rFonts w:hint="eastAsia" w:ascii="仿宋_GB2312" w:hAnsi="ˎ̥" w:eastAsia="仿宋_GB2312"/>
          <w:b/>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332.25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97.11</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5.28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1.54</w:t>
      </w:r>
      <w:r>
        <w:rPr>
          <w:rFonts w:hint="eastAsia" w:ascii="仿宋_GB2312" w:hAnsi="ˎ̥" w:eastAsia="仿宋_GB2312"/>
          <w:color w:val="auto"/>
          <w:sz w:val="32"/>
          <w:szCs w:val="32"/>
        </w:rPr>
        <w:t>%；</w:t>
      </w:r>
      <w:r>
        <w:rPr>
          <w:rFonts w:hint="eastAsia" w:ascii="仿宋_GB2312" w:hAnsi="ˎ̥" w:eastAsia="仿宋_GB2312"/>
          <w:b/>
          <w:bCs/>
          <w:color w:val="auto"/>
          <w:sz w:val="32"/>
          <w:szCs w:val="32"/>
          <w:lang w:eastAsia="zh-CN"/>
        </w:rPr>
        <w:t>卫生健康（类）</w:t>
      </w:r>
      <w:r>
        <w:rPr>
          <w:rFonts w:hint="eastAsia" w:ascii="仿宋_GB2312" w:hAnsi="ˎ̥" w:eastAsia="仿宋_GB2312"/>
          <w:color w:val="auto"/>
          <w:sz w:val="32"/>
          <w:szCs w:val="32"/>
          <w:lang w:eastAsia="zh-CN"/>
        </w:rPr>
        <w:t>支出</w:t>
      </w:r>
      <w:r>
        <w:rPr>
          <w:rFonts w:hint="eastAsia" w:ascii="仿宋_GB2312" w:hAnsi="ˎ̥" w:eastAsia="仿宋_GB2312"/>
          <w:color w:val="auto"/>
          <w:sz w:val="32"/>
          <w:szCs w:val="32"/>
          <w:lang w:val="en-US" w:eastAsia="zh-CN"/>
        </w:rPr>
        <w:t>2.67万元，占0.78%；</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1.93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0.56</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15415_WPSOffice_Level2"/>
      <w:bookmarkStart w:id="90" w:name="_Toc29364_WPSOffice_Level2"/>
      <w:bookmarkStart w:id="91" w:name="_Toc25136_WPSOffice_Level2"/>
      <w:bookmarkStart w:id="92" w:name="_Toc21701_WPSOffice_Level2"/>
      <w:bookmarkStart w:id="93" w:name="_Toc9502_WPSOffice_Level2"/>
      <w:bookmarkStart w:id="94" w:name="_Toc22318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342.13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342.13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lang w:eastAsia="zh-CN"/>
        </w:rPr>
        <w:t>教育</w:t>
      </w:r>
      <w:r>
        <w:rPr>
          <w:rFonts w:hint="eastAsia" w:ascii="仿宋_GB2312" w:hAnsi="ˎ̥" w:eastAsia="仿宋_GB2312"/>
          <w:b/>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332.25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97.11</w:t>
      </w:r>
      <w:r>
        <w:rPr>
          <w:rFonts w:hint="eastAsia" w:ascii="仿宋_GB2312" w:hAnsi="ˎ̥" w:eastAsia="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5.28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1.54</w:t>
      </w:r>
      <w:r>
        <w:rPr>
          <w:rFonts w:hint="eastAsia" w:ascii="仿宋_GB2312" w:hAnsi="ˎ̥" w:eastAsia="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auto"/>
          <w:sz w:val="32"/>
          <w:szCs w:val="32"/>
        </w:rPr>
      </w:pPr>
      <w:r>
        <w:rPr>
          <w:rFonts w:hint="eastAsia" w:ascii="仿宋_GB2312" w:hAnsi="ˎ̥" w:eastAsia="仿宋_GB2312"/>
          <w:b/>
          <w:bCs/>
          <w:color w:val="auto"/>
          <w:sz w:val="32"/>
          <w:szCs w:val="32"/>
          <w:lang w:eastAsia="zh-CN"/>
        </w:rPr>
        <w:t>卫生健康（类）</w:t>
      </w:r>
      <w:r>
        <w:rPr>
          <w:rFonts w:hint="eastAsia" w:ascii="仿宋_GB2312" w:hAnsi="ˎ̥" w:eastAsia="仿宋_GB2312"/>
          <w:color w:val="auto"/>
          <w:sz w:val="32"/>
          <w:szCs w:val="32"/>
          <w:lang w:eastAsia="zh-CN"/>
        </w:rPr>
        <w:t>支出</w:t>
      </w:r>
      <w:r>
        <w:rPr>
          <w:rFonts w:hint="eastAsia" w:ascii="仿宋_GB2312" w:hAnsi="ˎ̥" w:eastAsia="仿宋_GB2312"/>
          <w:color w:val="auto"/>
          <w:sz w:val="32"/>
          <w:szCs w:val="32"/>
          <w:lang w:val="en-US" w:eastAsia="zh-CN"/>
        </w:rPr>
        <w:t>2.67万元，占0.78%；</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auto"/>
          <w:sz w:val="32"/>
          <w:szCs w:val="32"/>
        </w:rPr>
      </w:pP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1.93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0.56</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342.13</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342.13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%。决算数</w:t>
      </w:r>
      <w:r>
        <w:rPr>
          <w:rFonts w:hint="eastAsia" w:ascii="仿宋_GB2312" w:hAnsi="ˎ̥" w:eastAsia="仿宋_GB2312"/>
          <w:color w:val="auto"/>
          <w:sz w:val="32"/>
          <w:szCs w:val="32"/>
          <w:lang w:val="en-US" w:eastAsia="zh-CN"/>
        </w:rPr>
        <w:t>与</w:t>
      </w:r>
      <w:r>
        <w:rPr>
          <w:rFonts w:hint="eastAsia" w:ascii="仿宋_GB2312" w:hAnsi="ˎ̥" w:eastAsia="仿宋_GB2312"/>
          <w:color w:val="auto"/>
          <w:sz w:val="32"/>
          <w:szCs w:val="32"/>
        </w:rPr>
        <w:t>预算数</w:t>
      </w:r>
      <w:r>
        <w:rPr>
          <w:rFonts w:hint="eastAsia" w:ascii="仿宋_GB2312" w:hAnsi="ˎ̥" w:eastAsia="仿宋_GB2312"/>
          <w:color w:val="auto"/>
          <w:sz w:val="32"/>
          <w:szCs w:val="32"/>
          <w:lang w:val="en-US" w:eastAsia="zh-CN"/>
        </w:rPr>
        <w:t>持平。</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w:t>
      </w:r>
      <w:r>
        <w:rPr>
          <w:rFonts w:hint="eastAsia" w:ascii="仿宋_GB2312" w:hAnsi="ˎ̥" w:eastAsia="仿宋_GB2312"/>
          <w:color w:val="auto"/>
          <w:sz w:val="32"/>
          <w:szCs w:val="32"/>
        </w:rPr>
        <w:t>款基本支出</w:t>
      </w:r>
      <w:r>
        <w:rPr>
          <w:rFonts w:hint="eastAsia" w:ascii="仿宋_GB2312" w:hAnsi="ˎ̥" w:eastAsia="仿宋_GB2312"/>
          <w:color w:val="auto"/>
          <w:sz w:val="32"/>
          <w:szCs w:val="32"/>
          <w:lang w:val="en-US" w:eastAsia="zh-CN"/>
        </w:rPr>
        <w:t>342.13</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27.71</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0.83</w:t>
      </w:r>
      <w:r>
        <w:rPr>
          <w:rFonts w:hint="eastAsia" w:ascii="仿宋_GB2312" w:hAnsi="ˎ̥" w:eastAsia="仿宋_GB2312"/>
          <w:color w:val="auto"/>
          <w:sz w:val="32"/>
          <w:szCs w:val="32"/>
        </w:rPr>
        <w:t>万元，主要包括：商品和服务支出中的办公费、印刷费、咨询费、手续费、水费、电费、邮电费、取暖</w:t>
      </w:r>
      <w:r>
        <w:rPr>
          <w:rFonts w:hint="eastAsia" w:ascii="仿宋_GB2312" w:hAnsi="ˎ̥" w:eastAsia="仿宋_GB2312"/>
          <w:sz w:val="32"/>
          <w:szCs w:val="32"/>
        </w:rPr>
        <w:t>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color w:val="auto"/>
          <w:sz w:val="32"/>
          <w:szCs w:val="32"/>
        </w:rPr>
        <w:t>度政府性基金预算财政拨款支出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我</w:t>
      </w:r>
      <w:r>
        <w:rPr>
          <w:rFonts w:hint="eastAsia" w:ascii="仿宋_GB2312" w:hAnsi="ˎ̥" w:eastAsia="仿宋_GB2312"/>
          <w:color w:val="auto"/>
          <w:sz w:val="32"/>
          <w:szCs w:val="32"/>
          <w:lang w:val="en-US" w:eastAsia="zh-CN"/>
        </w:rPr>
        <w:t>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%。决算数大于（小于）预算数的主要原因：</w:t>
      </w:r>
      <w:r>
        <w:rPr>
          <w:rFonts w:hint="eastAsia" w:ascii="仿宋_GB2312" w:hAnsi="ˎ̥" w:eastAsia="仿宋_GB2312"/>
          <w:color w:val="auto"/>
          <w:sz w:val="32"/>
          <w:szCs w:val="32"/>
          <w:lang w:eastAsia="zh-CN"/>
        </w:rPr>
        <w:t>我</w:t>
      </w:r>
      <w:r>
        <w:rPr>
          <w:rFonts w:hint="eastAsia" w:ascii="仿宋_GB2312" w:hAnsi="ˎ̥" w:eastAsia="仿宋_GB2312"/>
          <w:color w:val="auto"/>
          <w:sz w:val="32"/>
          <w:szCs w:val="32"/>
          <w:lang w:val="en-US" w:eastAsia="zh-CN"/>
        </w:rPr>
        <w:t>园无此款项</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w:t>
      </w:r>
      <w:r>
        <w:rPr>
          <w:rFonts w:hint="eastAsia" w:ascii="仿宋_GB2312" w:hAnsi="ˎ̥" w:eastAsia="仿宋_GB2312"/>
          <w:sz w:val="32"/>
          <w:szCs w:val="32"/>
        </w:rPr>
        <w:t>要原因是</w:t>
      </w:r>
      <w:r>
        <w:rPr>
          <w:rFonts w:hint="eastAsia" w:ascii="仿宋_GB2312" w:hAnsi="ˎ̥" w:eastAsia="仿宋_GB2312"/>
          <w:sz w:val="32"/>
          <w:szCs w:val="32"/>
          <w:lang w:eastAsia="zh-CN"/>
        </w:rPr>
        <w:t>我</w:t>
      </w:r>
      <w:r>
        <w:rPr>
          <w:rFonts w:hint="eastAsia" w:ascii="仿宋_GB2312" w:hAnsi="ˎ̥" w:eastAsia="仿宋_GB2312"/>
          <w:sz w:val="32"/>
          <w:szCs w:val="32"/>
          <w:lang w:val="en-US" w:eastAsia="zh-CN"/>
        </w:rPr>
        <w:t>园无此款项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sz w:val="32"/>
          <w:szCs w:val="32"/>
        </w:rPr>
        <w:t>（二）</w:t>
      </w:r>
      <w:r>
        <w:rPr>
          <w:rFonts w:hint="eastAsia" w:ascii="楷体" w:hAnsi="楷体" w:eastAsia="楷体" w:cs="楷体"/>
          <w:color w:val="auto"/>
          <w:sz w:val="32"/>
          <w:szCs w:val="32"/>
        </w:rPr>
        <w:t>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我</w:t>
      </w:r>
      <w:r>
        <w:rPr>
          <w:rFonts w:hint="eastAsia" w:ascii="仿宋_GB2312" w:hAnsi="ˎ̥" w:eastAsia="仿宋_GB2312"/>
          <w:color w:val="auto"/>
          <w:sz w:val="32"/>
          <w:szCs w:val="32"/>
          <w:lang w:val="en-US" w:eastAsia="zh-CN"/>
        </w:rPr>
        <w:t>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%。决算数大于（小于）预算数的主要原因：主要原因是</w:t>
      </w:r>
      <w:r>
        <w:rPr>
          <w:rFonts w:hint="eastAsia" w:ascii="仿宋_GB2312" w:hAnsi="ˎ̥" w:eastAsia="仿宋_GB2312"/>
          <w:color w:val="auto"/>
          <w:sz w:val="32"/>
          <w:szCs w:val="32"/>
          <w:lang w:eastAsia="zh-CN"/>
        </w:rPr>
        <w:t>我</w:t>
      </w:r>
      <w:r>
        <w:rPr>
          <w:rFonts w:hint="eastAsia" w:ascii="仿宋_GB2312" w:hAnsi="ˎ̥" w:eastAsia="仿宋_GB2312"/>
          <w:color w:val="auto"/>
          <w:sz w:val="32"/>
          <w:szCs w:val="32"/>
          <w:lang w:val="en-US" w:eastAsia="zh-CN"/>
        </w:rPr>
        <w:t>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我</w:t>
      </w:r>
      <w:r>
        <w:rPr>
          <w:rFonts w:hint="eastAsia" w:ascii="仿宋_GB2312" w:hAnsi="ˎ̥" w:eastAsia="仿宋_GB2312"/>
          <w:color w:val="auto"/>
          <w:sz w:val="32"/>
          <w:szCs w:val="32"/>
          <w:lang w:val="en-US" w:eastAsia="zh-CN"/>
        </w:rPr>
        <w:t>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sz w:val="32"/>
          <w:szCs w:val="32"/>
        </w:rPr>
        <w:t>1.因</w:t>
      </w:r>
      <w:r>
        <w:rPr>
          <w:rFonts w:hint="eastAsia" w:ascii="仿宋_GB2312" w:hAnsi="ˎ̥" w:eastAsia="仿宋_GB2312"/>
          <w:b/>
          <w:color w:val="auto"/>
          <w:sz w:val="32"/>
          <w:szCs w:val="32"/>
        </w:rPr>
        <w:t>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辆，主要用于……，年末公务用车保有量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%，主要原因是主要原因是</w:t>
      </w:r>
      <w:r>
        <w:rPr>
          <w:rFonts w:hint="eastAsia" w:ascii="仿宋_GB2312" w:hAnsi="ˎ̥" w:eastAsia="仿宋_GB2312"/>
          <w:color w:val="auto"/>
          <w:sz w:val="32"/>
          <w:szCs w:val="32"/>
          <w:lang w:eastAsia="zh-CN"/>
        </w:rPr>
        <w:t>我</w:t>
      </w:r>
      <w:r>
        <w:rPr>
          <w:rFonts w:hint="eastAsia" w:ascii="仿宋_GB2312" w:hAnsi="ˎ̥" w:eastAsia="仿宋_GB2312"/>
          <w:color w:val="auto"/>
          <w:sz w:val="32"/>
          <w:szCs w:val="32"/>
          <w:lang w:val="en-US" w:eastAsia="zh-CN"/>
        </w:rPr>
        <w:t>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我</w:t>
      </w:r>
      <w:r>
        <w:rPr>
          <w:rFonts w:hint="eastAsia" w:ascii="仿宋_GB2312" w:hAnsi="ˎ̥" w:eastAsia="仿宋_GB2312"/>
          <w:color w:val="auto"/>
          <w:sz w:val="32"/>
          <w:szCs w:val="32"/>
          <w:lang w:val="en-US" w:eastAsia="zh-CN"/>
        </w:rPr>
        <w:t>园无此款项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无</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部门决算中项目绩效自评结果</w:t>
      </w:r>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楷体" w:hAnsi="楷体" w:eastAsia="楷体" w:cs="楷体"/>
          <w:bCs/>
          <w:color w:val="auto"/>
          <w:sz w:val="32"/>
          <w:szCs w:val="32"/>
        </w:rPr>
        <w:t>（三）部门评价结果</w:t>
      </w:r>
      <w:r>
        <w:rPr>
          <w:rFonts w:hint="eastAsia" w:ascii="仿宋_GB2312" w:eastAsia="仿宋_GB2312"/>
          <w:color w:val="auto"/>
          <w:sz w:val="32"/>
          <w:szCs w:val="32"/>
        </w:rPr>
        <w:t>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32639_WPSOffice_Level2"/>
      <w:bookmarkStart w:id="96" w:name="_Toc15565_WPSOffice_Level2"/>
      <w:bookmarkStart w:id="97" w:name="_Toc18325_WPSOffice_Level2"/>
      <w:bookmarkStart w:id="98" w:name="_Toc23598_WPSOffice_Level2"/>
      <w:bookmarkStart w:id="99" w:name="_Toc5978_WPSOffice_Level2"/>
      <w:bookmarkStart w:id="100" w:name="_Toc15262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三亚市海棠区中心幼儿园</w:t>
      </w:r>
      <w:r>
        <w:rPr>
          <w:rFonts w:hint="eastAsia" w:ascii="仿宋_GB2312" w:hAnsi="ˎ̥" w:eastAsia="仿宋_GB2312"/>
          <w:color w:val="auto"/>
          <w:sz w:val="32"/>
          <w:szCs w:val="32"/>
        </w:rPr>
        <w:t>单位</w:t>
      </w:r>
      <w:r>
        <w:rPr>
          <w:rFonts w:hint="eastAsia" w:ascii="仿宋_GB2312" w:hAnsi="ˎ̥" w:eastAsia="仿宋_GB2312"/>
          <w:color w:val="auto"/>
          <w:sz w:val="32"/>
          <w:szCs w:val="32"/>
          <w:lang w:val="en-US" w:eastAsia="zh-CN"/>
        </w:rPr>
        <w:t>机关</w:t>
      </w:r>
      <w:r>
        <w:rPr>
          <w:rFonts w:hint="eastAsia" w:ascii="仿宋_GB2312" w:hAnsi="ˎ̥" w:eastAsia="仿宋_GB2312"/>
          <w:color w:val="auto"/>
          <w:sz w:val="32"/>
          <w:szCs w:val="32"/>
        </w:rPr>
        <w:t>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 xml:space="preserve">办公设施设备购置经费增加（减少）/资产运行维护支出增加（减少）/信息系统运行维护支出增加（减少）/人员编制数量增加（减少）/落实过紧日子要求压减 </w:t>
      </w:r>
      <w:r>
        <w:rPr>
          <w:rFonts w:hint="eastAsia" w:ascii="仿宋_GB2312" w:hAnsi="ˎ̥" w:eastAsia="仿宋_GB2312"/>
          <w:color w:val="auto"/>
          <w:sz w:val="32"/>
          <w:szCs w:val="32"/>
          <w:lang w:val="en-US" w:eastAsia="zh-CN" w:bidi="ar"/>
        </w:rPr>
        <w:t>0</w:t>
      </w:r>
      <w:r>
        <w:rPr>
          <w:rFonts w:hint="eastAsia" w:ascii="仿宋_GB2312" w:hAnsi="ˎ̥" w:eastAsia="仿宋_GB2312"/>
          <w:color w:val="auto"/>
          <w:sz w:val="32"/>
          <w:szCs w:val="32"/>
          <w:lang w:bidi="ar"/>
        </w:rPr>
        <w:t>支出/……等</w:t>
      </w:r>
      <w:r>
        <w:rPr>
          <w:rFonts w:hint="eastAsia" w:ascii="仿宋_GB2312" w:hAnsi="ˎ̥" w:eastAsia="仿宋_GB2312"/>
          <w:color w:val="auto"/>
          <w:sz w:val="32"/>
          <w:szCs w:val="32"/>
        </w:rPr>
        <w:t>（具体增减原因由</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25333_WPSOffice_Level2"/>
      <w:bookmarkStart w:id="102" w:name="_Toc23966_WPSOffice_Level2"/>
      <w:bookmarkStart w:id="103" w:name="_Toc32689_WPSOffice_Level2"/>
      <w:bookmarkStart w:id="104" w:name="_Toc3131_WPSOffice_Level2"/>
      <w:bookmarkStart w:id="105" w:name="_Toc13084_WPSOffice_Level2"/>
      <w:bookmarkStart w:id="106" w:name="_Toc30383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三亚市海棠区中心幼儿园</w:t>
      </w:r>
      <w:r>
        <w:rPr>
          <w:rFonts w:hint="eastAsia" w:ascii="仿宋_GB2312" w:hAnsi="ˎ̥" w:eastAsia="仿宋_GB2312"/>
          <w:color w:val="auto"/>
          <w:sz w:val="32"/>
          <w:szCs w:val="32"/>
        </w:rPr>
        <w:t>单位政府采购支出总额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sz w:val="32"/>
          <w:szCs w:val="32"/>
        </w:rPr>
        <w:t>万元、政府采</w:t>
      </w:r>
      <w:r>
        <w:rPr>
          <w:rFonts w:hint="eastAsia" w:ascii="仿宋_GB2312" w:hAnsi="ˎ̥" w:eastAsia="仿宋_GB2312"/>
          <w:color w:val="auto"/>
          <w:sz w:val="32"/>
          <w:szCs w:val="32"/>
        </w:rPr>
        <w:t>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7" w:name="_Toc527_WPSOffice_Level2"/>
      <w:bookmarkStart w:id="108" w:name="_Toc29584_WPSOffice_Level2"/>
      <w:bookmarkStart w:id="109" w:name="_Toc15129_WPSOffice_Level2"/>
      <w:bookmarkStart w:id="110" w:name="_Toc6016_WPSOffice_Level2"/>
      <w:bookmarkStart w:id="111" w:name="_Toc19989_WPSOffice_Level2"/>
      <w:bookmarkStart w:id="112" w:name="_Toc10902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辆，其他用车主要是……。</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4398_WPSOffice_Level1"/>
      <w:bookmarkStart w:id="114" w:name="_Toc17580_WPSOffice_Level1"/>
      <w:bookmarkStart w:id="115" w:name="_Toc15425_WPSOffice_Level1"/>
      <w:bookmarkStart w:id="116" w:name="_Toc8874_WPSOffice_Level1"/>
      <w:bookmarkStart w:id="117" w:name="_Toc11039_WPSOffice_Level1"/>
      <w:bookmarkStart w:id="118"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w:t>
      </w:r>
      <w:bookmarkStart w:id="119" w:name="_GoBack"/>
      <w:bookmarkEnd w:id="119"/>
      <w:r>
        <w:rPr>
          <w:rFonts w:hint="eastAsia" w:ascii="仿宋_GB2312" w:hAnsi="ˎ̥" w:eastAsia="仿宋_GB2312"/>
          <w:sz w:val="32"/>
          <w:szCs w:val="32"/>
        </w:rPr>
        <w:t>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2D08259"/>
    <w:multiLevelType w:val="singleLevel"/>
    <w:tmpl w:val="D2D08259"/>
    <w:lvl w:ilvl="0" w:tentative="0">
      <w:start w:val="2"/>
      <w:numFmt w:val="chineseCounting"/>
      <w:suff w:val="nothing"/>
      <w:lvlText w:val="（%1）"/>
      <w:lvlJc w:val="left"/>
      <w:rPr>
        <w:rFonts w:hint="eastAsia"/>
      </w:rPr>
    </w:lvl>
  </w:abstractNum>
  <w:abstractNum w:abstractNumId="2">
    <w:nsid w:val="5AC7B1C9"/>
    <w:multiLevelType w:val="singleLevel"/>
    <w:tmpl w:val="5AC7B1C9"/>
    <w:lvl w:ilvl="0" w:tentative="0">
      <w:start w:val="1"/>
      <w:numFmt w:val="decimal"/>
      <w:lvlText w:val="%1."/>
      <w:lvlJc w:val="left"/>
      <w:pPr>
        <w:tabs>
          <w:tab w:val="left" w:pos="312"/>
        </w:tabs>
      </w:p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abstractNum w:abstractNumId="4">
    <w:nsid w:val="7F952C1A"/>
    <w:multiLevelType w:val="singleLevel"/>
    <w:tmpl w:val="7F952C1A"/>
    <w:lvl w:ilvl="0" w:tentative="0">
      <w:start w:val="1"/>
      <w:numFmt w:val="chineseCounting"/>
      <w:suff w:val="nothing"/>
      <w:lvlText w:val="%1、"/>
      <w:lvlJc w:val="left"/>
      <w:rPr>
        <w:rFonts w:hint="eastAsia"/>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zZjk3MDkzM2ExMDQxZTMxODI4ODc3Mjk0MzkwOG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2CD9956"/>
    <w:rsid w:val="737450E0"/>
    <w:rsid w:val="74054476"/>
    <w:rsid w:val="742F38C4"/>
    <w:rsid w:val="74AB66DC"/>
    <w:rsid w:val="74C4154C"/>
    <w:rsid w:val="75956FFF"/>
    <w:rsid w:val="76197117"/>
    <w:rsid w:val="77AA2D01"/>
    <w:rsid w:val="77EE27F8"/>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7132</Words>
  <Characters>7906</Characters>
  <Lines>67</Lines>
  <Paragraphs>18</Paragraphs>
  <TotalTime>13</TotalTime>
  <ScaleCrop>false</ScaleCrop>
  <LinksUpToDate>false</LinksUpToDate>
  <CharactersWithSpaces>7992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2024-07-25T03:26:00Z</dcterms:created>
  <dc:creator>uos</dc:creator>
  <cp:lastModifiedBy>hp</cp:lastModifiedBy>
  <cp:lastPrinted>2023-08-04T00:58:00Z</cp:lastPrinted>
  <dcterms:modified xsi:type="dcterms:W3CDTF">2025-10-09T06:04:18Z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2CECEBED3168F6D61421E76834031944_43</vt:lpwstr>
  </property>
  <property fmtid="{D5CDD505-2E9C-101B-9397-08002B2CF9AE}" pid="4" name="KSOTemplateDocerSaveRecord">
    <vt:lpwstr>eyJoZGlkIjoiY2VlZThlZDk5ZTQ4MTFjNGY3MjIxNTdiOWMzZmQwMWMiLCJ1c2VySWQiOiIyMzQ5MTc1OTYifQ==</vt:lpwstr>
  </property>
</Properties>
</file>