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三亚市海棠区藤海小学2024年度部门决算公开报告</w:t>
      </w:r>
    </w:p>
    <w:p w14:paraId="1E8F4CF7">
      <w:pPr>
        <w:spacing w:line="578" w:lineRule="exact"/>
        <w:jc w:val="center"/>
        <w:rPr>
          <w:rFonts w:hint="eastAsia" w:asciiTheme="majorEastAsia" w:hAnsiTheme="majorEastAsia" w:eastAsiaTheme="majorEastAsia" w:cstheme="majorEastAsia"/>
          <w:b/>
          <w:bCs/>
          <w:sz w:val="44"/>
          <w:szCs w:val="44"/>
        </w:rPr>
      </w:pPr>
    </w:p>
    <w:p w14:paraId="6C2B2D3A">
      <w:pPr>
        <w:spacing w:line="578" w:lineRule="exact"/>
        <w:jc w:val="center"/>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10049_WPSOffice_Level1"/>
      <w:bookmarkStart w:id="3" w:name="_Toc32433_WPSOffice_Level1"/>
      <w:bookmarkStart w:id="4" w:name="_Toc10720_WPSOffice_Level1"/>
      <w:bookmarkStart w:id="5" w:name="_Toc1704_WPSOffice_Level1"/>
      <w:bookmarkStart w:id="6" w:name="_Toc23465_WPSOffice_Level1"/>
      <w:bookmarkStart w:id="7" w:name="_Toc22941_WPSOffice_Level1"/>
      <w:bookmarkStart w:id="8" w:name="_Toc24238_WPSOffice_Level2"/>
      <w:bookmarkStart w:id="9" w:name="_Toc20274_WPSOffice_Level2"/>
      <w:bookmarkStart w:id="10" w:name="_Toc32622_WPSOffice_Level2"/>
      <w:bookmarkStart w:id="11" w:name="_Toc14159_WPSOffice_Level2"/>
      <w:bookmarkStart w:id="12" w:name="_Toc26580_WPSOffice_Level2"/>
      <w:bookmarkStart w:id="13" w:name="_Toc20205_WPSOffice_Level2"/>
    </w:p>
    <w:p w14:paraId="13495E08">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9DE4DDD">
      <w:pPr>
        <w:spacing w:line="578" w:lineRule="exact"/>
        <w:ind w:firstLine="640" w:firstLineChars="200"/>
        <w:rPr>
          <w:rFonts w:hint="eastAsia" w:ascii="楷体" w:hAnsi="楷体" w:eastAsia="楷体" w:cs="楷体"/>
          <w:sz w:val="32"/>
          <w:szCs w:val="32"/>
        </w:rPr>
      </w:pPr>
    </w:p>
    <w:p w14:paraId="4A3D8885">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633B4C5E">
      <w:pPr>
        <w:ind w:firstLine="600" w:firstLineChars="200"/>
        <w:jc w:val="left"/>
        <w:rPr>
          <w:rFonts w:hint="eastAsia" w:ascii="黑体" w:hAnsi="黑体" w:eastAsia="黑体" w:cs="黑体"/>
          <w:sz w:val="32"/>
          <w:szCs w:val="32"/>
        </w:rPr>
      </w:pPr>
      <w:r>
        <w:rPr>
          <w:rFonts w:hint="eastAsia" w:ascii="仿宋" w:hAnsi="仿宋" w:eastAsia="仿宋" w:cs="Times New Roman"/>
          <w:sz w:val="30"/>
          <w:szCs w:val="30"/>
          <w:u w:val="single" w:color="FFFFFF"/>
          <w14:ligatures w14:val="none"/>
        </w:rPr>
        <w:t>三亚市海棠区</w:t>
      </w:r>
      <w:r>
        <w:rPr>
          <w:rFonts w:hint="eastAsia" w:ascii="仿宋" w:hAnsi="仿宋" w:eastAsia="仿宋" w:cs="Times New Roman"/>
          <w:sz w:val="30"/>
          <w:szCs w:val="30"/>
          <w:u w:val="single" w:color="FFFFFF"/>
          <w:lang w:eastAsia="zh-CN"/>
          <w14:ligatures w14:val="none"/>
        </w:rPr>
        <w:t>藤海</w:t>
      </w:r>
      <w:r>
        <w:rPr>
          <w:rFonts w:hint="eastAsia" w:ascii="仿宋" w:hAnsi="仿宋" w:eastAsia="仿宋" w:cs="Times New Roman"/>
          <w:sz w:val="30"/>
          <w:szCs w:val="30"/>
          <w:u w:val="single" w:color="FFFFFF"/>
          <w14:ligatures w14:val="none"/>
        </w:rPr>
        <w:t>小学是全额拨款事业单位。其主要职责：实施小学义务教育，促进基础教育发展，以抓好教学管理形式形成自身特色为基础，深化教育改革，全面推进素质教育，培养全面发展的合格人才。</w:t>
      </w:r>
    </w:p>
    <w:p w14:paraId="0680DACE">
      <w:pPr>
        <w:spacing w:line="578" w:lineRule="exact"/>
        <w:ind w:firstLine="640" w:firstLineChars="200"/>
        <w:rPr>
          <w:rFonts w:hint="eastAsia" w:ascii="黑体" w:hAnsi="黑体" w:eastAsia="黑体" w:cs="黑体"/>
          <w:sz w:val="32"/>
          <w:szCs w:val="32"/>
        </w:rPr>
      </w:pPr>
      <w:bookmarkStart w:id="14" w:name="_Toc24474_WPSOffice_Level2"/>
      <w:bookmarkStart w:id="15" w:name="_Toc24059_WPSOffice_Level2"/>
      <w:bookmarkStart w:id="16" w:name="_Toc6572_WPSOffice_Level2"/>
      <w:bookmarkStart w:id="17" w:name="_Toc4833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14:paraId="0C276BAD">
      <w:pPr>
        <w:ind w:firstLine="600"/>
        <w:rPr>
          <w:rFonts w:hint="eastAsia" w:ascii="黑体" w:hAnsi="ˎ̥" w:eastAsia="黑体"/>
          <w:sz w:val="32"/>
          <w:szCs w:val="32"/>
        </w:rPr>
      </w:pPr>
      <w:bookmarkStart w:id="19" w:name="_Toc6234_WPSOffice_Level1"/>
      <w:bookmarkStart w:id="20" w:name="_Toc8164_WPSOffice_Level1"/>
      <w:bookmarkStart w:id="21" w:name="_Toc15521_WPSOffice_Level1"/>
      <w:bookmarkStart w:id="22" w:name="_Toc30690_WPSOffice_Level1"/>
      <w:bookmarkStart w:id="23" w:name="_Toc28253_WPSOffice_Level1"/>
      <w:bookmarkStart w:id="24" w:name="_Toc30451_WPSOffice_Level1"/>
      <w:bookmarkStart w:id="25" w:name="_Toc4029_WPSOffice_Level2"/>
      <w:bookmarkStart w:id="26" w:name="_Toc32695_WPSOffice_Level2"/>
      <w:bookmarkStart w:id="27" w:name="_Toc6211_WPSOffice_Level2"/>
      <w:bookmarkStart w:id="28" w:name="_Toc8867_WPSOffice_Level2"/>
      <w:bookmarkStart w:id="29" w:name="_Toc11518_WPSOffice_Level2"/>
      <w:bookmarkStart w:id="30" w:name="_Toc32472_WPSOffice_Level2"/>
      <w:r>
        <w:rPr>
          <w:rFonts w:hint="eastAsia" w:ascii="仿宋" w:hAnsi="仿宋" w:eastAsia="仿宋" w:cs="Times New Roman"/>
          <w:sz w:val="30"/>
          <w:szCs w:val="30"/>
          <w:u w:val="single" w:color="FFFFFF"/>
          <w14:ligatures w14:val="none"/>
        </w:rPr>
        <w:t>本单位无内设机构。事业编制</w:t>
      </w:r>
      <w:r>
        <w:rPr>
          <w:rFonts w:hint="eastAsia" w:ascii="仿宋" w:hAnsi="仿宋" w:eastAsia="仿宋" w:cs="Times New Roman"/>
          <w:sz w:val="30"/>
          <w:szCs w:val="30"/>
          <w:u w:val="single" w:color="FFFFFF"/>
          <w:lang w:val="en-US" w:eastAsia="zh-CN"/>
          <w14:ligatures w14:val="none"/>
        </w:rPr>
        <w:t>10</w:t>
      </w:r>
      <w:r>
        <w:rPr>
          <w:rFonts w:hint="eastAsia" w:ascii="仿宋" w:hAnsi="仿宋" w:eastAsia="仿宋" w:cs="Times New Roman"/>
          <w:sz w:val="30"/>
          <w:szCs w:val="30"/>
          <w:u w:val="single" w:color="FFFFFF"/>
          <w14:ligatures w14:val="none"/>
        </w:rPr>
        <w:t>名，其中：校长1名，截止202</w:t>
      </w:r>
      <w:r>
        <w:rPr>
          <w:rFonts w:hint="eastAsia" w:ascii="仿宋" w:hAnsi="仿宋" w:eastAsia="仿宋" w:cs="Times New Roman"/>
          <w:sz w:val="30"/>
          <w:szCs w:val="30"/>
          <w:u w:val="single" w:color="FFFFFF"/>
          <w:lang w:val="en-US" w:eastAsia="zh-CN"/>
          <w14:ligatures w14:val="none"/>
        </w:rPr>
        <w:t>4</w:t>
      </w:r>
      <w:r>
        <w:rPr>
          <w:rFonts w:hint="eastAsia" w:ascii="仿宋" w:hAnsi="仿宋" w:eastAsia="仿宋" w:cs="Times New Roman"/>
          <w:sz w:val="30"/>
          <w:szCs w:val="30"/>
          <w:u w:val="single" w:color="FFFFFF"/>
          <w14:ligatures w14:val="none"/>
        </w:rPr>
        <w:t>年12月31日，单位实际在编人员</w:t>
      </w:r>
      <w:r>
        <w:rPr>
          <w:rFonts w:hint="eastAsia" w:ascii="仿宋" w:hAnsi="仿宋" w:eastAsia="仿宋" w:cs="Times New Roman"/>
          <w:sz w:val="30"/>
          <w:szCs w:val="30"/>
          <w:u w:val="single" w:color="FFFFFF"/>
          <w:lang w:val="en-US" w:eastAsia="zh-CN"/>
          <w14:ligatures w14:val="none"/>
        </w:rPr>
        <w:t>10</w:t>
      </w:r>
      <w:r>
        <w:rPr>
          <w:rFonts w:hint="eastAsia" w:ascii="仿宋" w:hAnsi="仿宋" w:eastAsia="仿宋" w:cs="Times New Roman"/>
          <w:sz w:val="30"/>
          <w:szCs w:val="30"/>
          <w:u w:val="single" w:color="FFFFFF"/>
          <w14:ligatures w14:val="none"/>
        </w:rPr>
        <w:t>人。</w:t>
      </w:r>
    </w:p>
    <w:p w14:paraId="5ABA64D5">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sz w:val="32"/>
          <w:szCs w:val="32"/>
        </w:rPr>
      </w:pPr>
      <w:bookmarkStart w:id="119" w:name="_GoBack"/>
      <w:bookmarkEnd w:id="119"/>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1" w:name="_Toc26621_WPSOffice_Level2"/>
      <w:bookmarkStart w:id="32" w:name="_Toc25608_WPSOffice_Level2"/>
      <w:bookmarkStart w:id="33" w:name="_Toc30334_WPSOffice_Level2"/>
      <w:bookmarkStart w:id="34" w:name="_Toc28622_WPSOffice_Level2"/>
      <w:bookmarkStart w:id="35" w:name="_Toc23139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5489_WPSOffice_Level2"/>
      <w:bookmarkStart w:id="38" w:name="_Toc17626_WPSOffice_Level2"/>
      <w:bookmarkStart w:id="39" w:name="_Toc17858_WPSOffice_Level2"/>
      <w:bookmarkStart w:id="40" w:name="_Toc3262_WPSOffice_Level2"/>
      <w:bookmarkStart w:id="41" w:name="_Toc14658_WPSOffice_Level2"/>
      <w:bookmarkStart w:id="42" w:name="_Toc13854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493_WPSOffice_Level2"/>
      <w:bookmarkStart w:id="44" w:name="_Toc23591_WPSOffice_Level2"/>
      <w:bookmarkStart w:id="45" w:name="_Toc21415_WPSOffice_Level2"/>
      <w:bookmarkStart w:id="46" w:name="_Toc4265_WPSOffice_Level2"/>
      <w:bookmarkStart w:id="47" w:name="_Toc7988_WPSOffice_Level2"/>
      <w:bookmarkStart w:id="48" w:name="_Toc13701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sz w:val="32"/>
          <w:szCs w:val="32"/>
        </w:rPr>
      </w:pPr>
      <w:bookmarkStart w:id="49" w:name="_Toc23829_WPSOffice_Level2"/>
      <w:bookmarkStart w:id="50" w:name="_Toc22783_WPSOffice_Level2"/>
      <w:bookmarkStart w:id="51" w:name="_Toc25166_WPSOffice_Level2"/>
      <w:bookmarkStart w:id="52" w:name="_Toc787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8373_WPSOffice_Level2"/>
      <w:bookmarkStart w:id="56" w:name="_Toc2632_WPSOffice_Level2"/>
      <w:bookmarkStart w:id="57" w:name="_Toc17833_WPSOffice_Level2"/>
      <w:bookmarkStart w:id="58" w:name="_Toc17283_WPSOffice_Level2"/>
      <w:bookmarkStart w:id="59" w:name="_Toc25362_WPSOffice_Level2"/>
      <w:bookmarkStart w:id="60" w:name="_Toc5343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21310_WPSOffice_Level2"/>
      <w:bookmarkStart w:id="63" w:name="_Toc11799_WPSOffice_Level2"/>
      <w:bookmarkStart w:id="64" w:name="_Toc5594_WPSOffice_Level2"/>
      <w:bookmarkStart w:id="65" w:name="_Toc13345_WPSOffice_Level2"/>
      <w:bookmarkStart w:id="66" w:name="_Toc602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67" w:name="_Toc29886_WPSOffice_Level2"/>
      <w:bookmarkStart w:id="68" w:name="_Toc19961_WPSOffice_Level2"/>
      <w:bookmarkStart w:id="69" w:name="_Toc1820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31BF6332">
      <w:pPr>
        <w:spacing w:line="578" w:lineRule="exact"/>
        <w:jc w:val="center"/>
        <w:rPr>
          <w:rFonts w:hint="eastAsia" w:ascii="黑体" w:hAnsi="ˎ̥" w:eastAsia="黑体"/>
          <w:sz w:val="32"/>
          <w:szCs w:val="32"/>
        </w:rPr>
      </w:pPr>
      <w:bookmarkStart w:id="71" w:name="_Toc29683_WPSOffice_Level1"/>
      <w:bookmarkStart w:id="72" w:name="_Toc31264_WPSOffice_Level1"/>
      <w:bookmarkStart w:id="73" w:name="_Toc16686_WPSOffice_Level1"/>
      <w:bookmarkStart w:id="74" w:name="_Toc4402_WPSOffice_Level1"/>
      <w:bookmarkStart w:id="75" w:name="_Toc27590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sz w:val="32"/>
          <w:szCs w:val="32"/>
        </w:rPr>
      </w:pPr>
    </w:p>
    <w:p w14:paraId="48833FC6">
      <w:pPr>
        <w:spacing w:line="578" w:lineRule="exact"/>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385.61</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385.61</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5</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w:t>
      </w:r>
      <w:r>
        <w:rPr>
          <w:rFonts w:hint="eastAsia" w:ascii="仿宋_GB2312" w:hAnsi="ˎ̥" w:eastAsia="仿宋_GB2312"/>
          <w:sz w:val="32"/>
          <w:szCs w:val="32"/>
        </w:rPr>
        <w:t>%。主要原因：</w:t>
      </w:r>
      <w:r>
        <w:rPr>
          <w:rFonts w:hint="eastAsia" w:ascii="仿宋_GB2312" w:hAnsi="ˎ̥" w:eastAsia="仿宋_GB2312" w:cs="Times New Roman"/>
          <w:sz w:val="32"/>
          <w:szCs w:val="32"/>
          <w14:ligatures w14:val="none"/>
        </w:rPr>
        <w:t>主要原因：一是社会保障就业支出比上年增加了；二是人员经费、工资福利支出和商品和服务支出增加。</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385.61</w:t>
      </w:r>
      <w:r>
        <w:rPr>
          <w:rFonts w:hint="eastAsia" w:ascii="仿宋_GB2312" w:hAnsi="ˎ̥" w:eastAsia="仿宋_GB2312"/>
          <w:sz w:val="32"/>
          <w:szCs w:val="32"/>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cs="Times New Roman"/>
          <w:sz w:val="32"/>
          <w:szCs w:val="32"/>
          <w14:ligatures w14:val="none"/>
        </w:rPr>
        <w:t>主要原因是来自一般公共预算财政拨款</w:t>
      </w:r>
      <w:r>
        <w:rPr>
          <w:rFonts w:hint="eastAsia" w:ascii="仿宋_GB2312" w:hAnsi="ˎ̥" w:eastAsia="仿宋_GB2312" w:cs="Times New Roman"/>
          <w:sz w:val="32"/>
          <w:szCs w:val="32"/>
          <w:lang w:eastAsia="zh-CN"/>
          <w14:ligatures w14:val="none"/>
        </w:rPr>
        <w:t>。</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教育支出与普通教育等无支出</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3.08</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100</w:t>
      </w:r>
      <w:r>
        <w:rPr>
          <w:rFonts w:hint="eastAsia" w:ascii="仿宋_GB2312" w:hAnsi="ˎ̥" w:eastAsia="仿宋_GB2312"/>
          <w:sz w:val="32"/>
          <w:szCs w:val="32"/>
        </w:rPr>
        <w:t>%，主要原因</w:t>
      </w:r>
      <w:r>
        <w:rPr>
          <w:rFonts w:hint="eastAsia" w:ascii="仿宋_GB2312" w:hAnsi="ˎ̥" w:eastAsia="仿宋_GB2312"/>
          <w:sz w:val="32"/>
          <w:szCs w:val="32"/>
          <w:lang w:val="en-US" w:eastAsia="zh-CN"/>
        </w:rPr>
        <w:t>无教育支出</w:t>
      </w:r>
      <w:r>
        <w:rPr>
          <w:rFonts w:hint="eastAsia" w:ascii="仿宋_GB2312" w:hAnsi="ˎ̥" w:eastAsia="仿宋_GB2312"/>
          <w:sz w:val="32"/>
          <w:szCs w:val="32"/>
        </w:rPr>
        <w:t>。</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382.53</w:t>
      </w:r>
      <w:r>
        <w:rPr>
          <w:rFonts w:hint="eastAsia" w:ascii="仿宋_GB2312" w:hAnsi="ˎ̥" w:eastAsia="仿宋_GB2312"/>
          <w:sz w:val="32"/>
          <w:szCs w:val="32"/>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教育支出与普通教育等无支出</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w:t>
      </w:r>
      <w:r>
        <w:rPr>
          <w:rFonts w:hint="eastAsia" w:ascii="仿宋_GB2312" w:hAnsi="ˎ̥" w:eastAsia="仿宋_GB2312"/>
          <w:sz w:val="32"/>
          <w:szCs w:val="32"/>
          <w:lang w:val="en-US" w:eastAsia="zh-CN"/>
        </w:rPr>
        <w:t>少3.08</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各项基本支出转结无支出</w:t>
      </w:r>
      <w:r>
        <w:rPr>
          <w:rFonts w:hint="eastAsia" w:ascii="仿宋_GB2312" w:hAnsi="ˎ̥" w:eastAsia="仿宋_GB2312"/>
          <w:sz w:val="32"/>
          <w:szCs w:val="32"/>
        </w:rPr>
        <w:t>。</w:t>
      </w:r>
    </w:p>
    <w:p w14:paraId="33C8A0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highlight w:val="none"/>
        </w:rPr>
        <w:t>年末结转结余</w:t>
      </w:r>
      <w:r>
        <w:rPr>
          <w:rFonts w:hint="default" w:ascii="仿宋_GB2312" w:hAnsi="ˎ̥" w:eastAsia="仿宋_GB2312"/>
          <w:color w:val="FF0000"/>
          <w:sz w:val="32"/>
          <w:szCs w:val="32"/>
          <w:highlight w:val="none"/>
          <w:lang w:val="en-US"/>
        </w:rPr>
        <w:t>3.08</w:t>
      </w:r>
      <w:r>
        <w:rPr>
          <w:rFonts w:hint="eastAsia" w:ascii="仿宋_GB2312" w:hAnsi="ˎ̥" w:eastAsia="仿宋_GB2312"/>
          <w:sz w:val="32"/>
          <w:szCs w:val="32"/>
          <w:highlight w:val="none"/>
        </w:rPr>
        <w:t>万元</w:t>
      </w:r>
      <w:r>
        <w:rPr>
          <w:rFonts w:hint="eastAsia" w:ascii="仿宋_GB2312" w:hAnsi="ˎ̥" w:eastAsia="仿宋_GB2312"/>
          <w:sz w:val="32"/>
          <w:szCs w:val="32"/>
        </w:rPr>
        <w:t>，主要是</w:t>
      </w:r>
      <w:r>
        <w:rPr>
          <w:rFonts w:hint="eastAsia" w:ascii="仿宋_GB2312" w:hAnsi="ˎ̥" w:eastAsia="仿宋_GB2312"/>
          <w:sz w:val="32"/>
          <w:szCs w:val="32"/>
          <w:lang w:val="en-US" w:eastAsia="zh-CN"/>
        </w:rPr>
        <w:t>各项基本支出转结无支出</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3.08万</w:t>
      </w:r>
      <w:r>
        <w:rPr>
          <w:rFonts w:hint="eastAsia" w:ascii="仿宋_GB2312" w:hAnsi="ˎ̥" w:eastAsia="仿宋_GB2312"/>
          <w:sz w:val="32"/>
          <w:szCs w:val="32"/>
        </w:rPr>
        <w:t>元，下降</w:t>
      </w:r>
      <w:r>
        <w:rPr>
          <w:rFonts w:hint="eastAsia" w:ascii="仿宋_GB2312" w:hAnsi="ˎ̥" w:eastAsia="仿宋_GB2312"/>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各项基本支出转结无支出</w:t>
      </w:r>
      <w:r>
        <w:rPr>
          <w:rFonts w:hint="eastAsia" w:ascii="仿宋_GB2312" w:hAnsi="ˎ̥" w:eastAsia="仿宋_GB2312"/>
          <w:sz w:val="32"/>
          <w:szCs w:val="32"/>
        </w:rPr>
        <w:t>。</w:t>
      </w:r>
    </w:p>
    <w:p w14:paraId="5ABFB0D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F317C3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385.61</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379.32</w:t>
      </w:r>
      <w:r>
        <w:rPr>
          <w:rFonts w:hint="eastAsia" w:ascii="仿宋_GB2312" w:hAnsi="ˎ̥" w:eastAsia="仿宋_GB2312"/>
          <w:sz w:val="32"/>
          <w:szCs w:val="32"/>
        </w:rPr>
        <w:t>万元，占</w:t>
      </w:r>
      <w:r>
        <w:rPr>
          <w:rFonts w:hint="eastAsia" w:ascii="仿宋_GB2312" w:hAnsi="ˎ̥" w:eastAsia="仿宋_GB2312"/>
          <w:sz w:val="32"/>
          <w:szCs w:val="32"/>
          <w:lang w:val="en-US" w:eastAsia="zh-CN"/>
        </w:rPr>
        <w:t>98</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6.29</w:t>
      </w:r>
      <w:r>
        <w:rPr>
          <w:rFonts w:hint="eastAsia" w:ascii="仿宋_GB2312" w:hAnsi="ˎ̥" w:eastAsia="仿宋_GB2312"/>
          <w:sz w:val="32"/>
          <w:szCs w:val="32"/>
        </w:rPr>
        <w:t>万元，占</w:t>
      </w:r>
      <w:r>
        <w:rPr>
          <w:rFonts w:hint="eastAsia" w:ascii="仿宋_GB2312" w:hAnsi="ˎ̥" w:eastAsia="仿宋_GB2312"/>
          <w:sz w:val="32"/>
          <w:szCs w:val="32"/>
          <w:lang w:val="en-US" w:eastAsia="zh-CN"/>
        </w:rPr>
        <w:t>1</w:t>
      </w:r>
      <w:r>
        <w:rPr>
          <w:rFonts w:hint="eastAsia" w:ascii="仿宋_GB2312" w:hAnsi="ˎ̥" w:eastAsia="仿宋_GB2312"/>
          <w:sz w:val="32"/>
          <w:szCs w:val="32"/>
        </w:rPr>
        <w:t>%。</w:t>
      </w:r>
    </w:p>
    <w:p w14:paraId="3B02073F">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382.53</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313.46</w:t>
      </w:r>
      <w:r>
        <w:rPr>
          <w:rFonts w:hint="eastAsia" w:ascii="仿宋_GB2312" w:hAnsi="ˎ̥" w:eastAsia="仿宋_GB2312"/>
          <w:sz w:val="32"/>
          <w:szCs w:val="32"/>
        </w:rPr>
        <w:t>万元，占</w:t>
      </w:r>
      <w:r>
        <w:rPr>
          <w:rFonts w:hint="eastAsia" w:ascii="仿宋_GB2312" w:hAnsi="ˎ̥" w:eastAsia="仿宋_GB2312"/>
          <w:sz w:val="32"/>
          <w:szCs w:val="32"/>
          <w:lang w:val="en-US" w:eastAsia="zh-CN"/>
        </w:rPr>
        <w:t>81</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69.07</w:t>
      </w:r>
      <w:r>
        <w:rPr>
          <w:rFonts w:hint="eastAsia" w:ascii="仿宋_GB2312" w:hAnsi="ˎ̥" w:eastAsia="仿宋_GB2312"/>
          <w:sz w:val="32"/>
          <w:szCs w:val="32"/>
        </w:rPr>
        <w:t>万元，占</w:t>
      </w:r>
      <w:r>
        <w:rPr>
          <w:rFonts w:hint="eastAsia" w:ascii="仿宋_GB2312" w:hAnsi="ˎ̥" w:eastAsia="仿宋_GB2312"/>
          <w:sz w:val="32"/>
          <w:szCs w:val="32"/>
          <w:lang w:val="en-US" w:eastAsia="zh-CN"/>
        </w:rPr>
        <w:t>18</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38872C8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yellow"/>
        </w:rPr>
      </w:pPr>
      <w:r>
        <w:rPr>
          <w:rFonts w:hint="eastAsia" w:ascii="黑体" w:hAnsi="黑体" w:eastAsia="黑体" w:cs="黑体"/>
          <w:bCs/>
          <w:sz w:val="32"/>
          <w:szCs w:val="32"/>
          <w:highlight w:val="yellow"/>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379.32</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379.32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5.89</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w:t>
      </w:r>
      <w:r>
        <w:rPr>
          <w:rFonts w:hint="eastAsia" w:ascii="仿宋_GB2312" w:hAnsi="ˎ̥" w:eastAsia="仿宋_GB2312"/>
          <w:sz w:val="32"/>
          <w:szCs w:val="32"/>
        </w:rPr>
        <w:t>%，主要原因：一是</w:t>
      </w:r>
      <w:r>
        <w:rPr>
          <w:rFonts w:hint="eastAsia" w:ascii="仿宋_GB2312" w:hAnsi="ˎ̥" w:eastAsia="仿宋_GB2312" w:cs="Times New Roman"/>
          <w:sz w:val="32"/>
          <w:szCs w:val="32"/>
          <w14:ligatures w14:val="none"/>
        </w:rPr>
        <w:t>社会保障就业支出比上年增加了</w:t>
      </w:r>
      <w:r>
        <w:rPr>
          <w:rFonts w:hint="eastAsia" w:ascii="仿宋_GB2312" w:hAnsi="ˎ̥" w:eastAsia="仿宋_GB2312"/>
          <w:sz w:val="32"/>
          <w:szCs w:val="32"/>
        </w:rPr>
        <w:t>；二是</w:t>
      </w:r>
      <w:r>
        <w:rPr>
          <w:rFonts w:hint="eastAsia" w:ascii="仿宋_GB2312" w:hAnsi="ˎ̥" w:eastAsia="仿宋_GB2312"/>
          <w:sz w:val="32"/>
          <w:szCs w:val="32"/>
          <w:lang w:val="en-US" w:eastAsia="zh-CN"/>
        </w:rPr>
        <w:t>行政事业单位养老支出增加了</w:t>
      </w:r>
      <w:r>
        <w:rPr>
          <w:rFonts w:hint="eastAsia" w:ascii="仿宋_GB2312" w:hAnsi="ˎ̥" w:eastAsia="仿宋_GB2312"/>
          <w:sz w:val="32"/>
          <w:szCs w:val="32"/>
        </w:rPr>
        <w:t>。支出增加</w:t>
      </w:r>
      <w:r>
        <w:rPr>
          <w:rFonts w:hint="eastAsia" w:ascii="仿宋_GB2312" w:hAnsi="ˎ̥" w:eastAsia="仿宋_GB2312"/>
          <w:sz w:val="32"/>
          <w:szCs w:val="32"/>
          <w:lang w:val="en-US" w:eastAsia="zh-CN"/>
        </w:rPr>
        <w:t>5.89</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w:t>
      </w:r>
      <w:r>
        <w:rPr>
          <w:rFonts w:hint="eastAsia" w:ascii="仿宋_GB2312" w:hAnsi="ˎ̥" w:eastAsia="仿宋_GB2312"/>
          <w:sz w:val="32"/>
          <w:szCs w:val="32"/>
        </w:rPr>
        <w:t>%，主要原因：一是</w:t>
      </w:r>
      <w:r>
        <w:rPr>
          <w:rFonts w:hint="eastAsia" w:ascii="仿宋_GB2312" w:hAnsi="ˎ̥" w:eastAsia="仿宋_GB2312" w:cs="Times New Roman"/>
          <w:sz w:val="32"/>
          <w:szCs w:val="32"/>
          <w14:ligatures w14:val="none"/>
        </w:rPr>
        <w:t>社会保障就业支出比上年增加了</w:t>
      </w:r>
      <w:r>
        <w:rPr>
          <w:rFonts w:hint="eastAsia" w:ascii="仿宋_GB2312" w:hAnsi="ˎ̥" w:eastAsia="仿宋_GB2312"/>
          <w:sz w:val="32"/>
          <w:szCs w:val="32"/>
        </w:rPr>
        <w:t>；二是</w:t>
      </w:r>
      <w:r>
        <w:rPr>
          <w:rFonts w:hint="eastAsia" w:ascii="仿宋_GB2312" w:hAnsi="ˎ̥" w:eastAsia="仿宋_GB2312"/>
          <w:sz w:val="32"/>
          <w:szCs w:val="32"/>
          <w:lang w:val="en-US" w:eastAsia="zh-CN"/>
        </w:rPr>
        <w:t>行政事业单位养老支出增加了</w:t>
      </w:r>
      <w:r>
        <w:rPr>
          <w:rFonts w:hint="eastAsia" w:ascii="仿宋_GB2312" w:hAnsi="ˎ̥" w:eastAsia="仿宋_GB2312"/>
          <w:sz w:val="32"/>
          <w:szCs w:val="32"/>
        </w:rPr>
        <w:t>。</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万元，主要是一般公共预算财政拨款</w:t>
      </w:r>
      <w:r>
        <w:rPr>
          <w:rFonts w:hint="eastAsia" w:ascii="仿宋_GB2312" w:hAnsi="ˎ̥" w:eastAsia="仿宋_GB2312"/>
          <w:sz w:val="32"/>
          <w:szCs w:val="32"/>
          <w:lang w:val="en-US" w:eastAsia="zh-CN"/>
        </w:rPr>
        <w:t>为零。</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各项基本支出转结无支出</w:t>
      </w:r>
      <w:r>
        <w:rPr>
          <w:rFonts w:hint="eastAsia" w:ascii="仿宋_GB2312" w:hAnsi="ˎ̥" w:eastAsia="仿宋_GB2312"/>
          <w:sz w:val="32"/>
          <w:szCs w:val="32"/>
        </w:rPr>
        <w:t>。</w:t>
      </w:r>
    </w:p>
    <w:p w14:paraId="604B14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万元，主要是一般公共预算财政拨款</w:t>
      </w:r>
      <w:r>
        <w:rPr>
          <w:rFonts w:hint="eastAsia" w:ascii="仿宋_GB2312" w:hAnsi="ˎ̥" w:eastAsia="仿宋_GB2312"/>
          <w:sz w:val="32"/>
          <w:szCs w:val="32"/>
          <w:lang w:val="en-US" w:eastAsia="zh-CN"/>
        </w:rPr>
        <w:t>为零</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各项基本支出转结无支出</w:t>
      </w:r>
      <w:r>
        <w:rPr>
          <w:rFonts w:hint="eastAsia" w:ascii="仿宋_GB2312" w:hAnsi="ˎ̥" w:eastAsia="仿宋_GB2312"/>
          <w:sz w:val="32"/>
          <w:szCs w:val="32"/>
        </w:rPr>
        <w:t>。</w:t>
      </w:r>
    </w:p>
    <w:p w14:paraId="49F4BE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17398_WPSOffice_Level2"/>
      <w:bookmarkStart w:id="79" w:name="_Toc19665_WPSOffice_Level2"/>
      <w:bookmarkStart w:id="80" w:name="_Toc23005_WPSOffice_Level2"/>
      <w:bookmarkStart w:id="81" w:name="_Toc9989_WPSOffice_Level2"/>
      <w:bookmarkStart w:id="82" w:name="_Toc21737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0B0CF2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379.32</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32.92</w:t>
      </w:r>
      <w:r>
        <w:rPr>
          <w:rFonts w:hint="eastAsia" w:ascii="仿宋_GB2312" w:hAnsi="ˎ̥" w:eastAsia="仿宋_GB2312"/>
          <w:sz w:val="32"/>
          <w:szCs w:val="32"/>
        </w:rPr>
        <w:t>万元，增长</w:t>
      </w:r>
      <w:r>
        <w:rPr>
          <w:rFonts w:hint="eastAsia" w:ascii="仿宋_GB2312" w:hAnsi="ˎ̥" w:eastAsia="仿宋_GB2312"/>
          <w:sz w:val="32"/>
          <w:szCs w:val="32"/>
          <w:lang w:val="en-US" w:eastAsia="zh-CN"/>
        </w:rPr>
        <w:t>9</w:t>
      </w:r>
      <w:r>
        <w:rPr>
          <w:rFonts w:hint="eastAsia" w:ascii="仿宋_GB2312" w:hAnsi="ˎ̥" w:eastAsia="仿宋_GB2312"/>
          <w:sz w:val="32"/>
          <w:szCs w:val="32"/>
        </w:rPr>
        <w:t>%，主要原因是社会保障和就业</w:t>
      </w:r>
      <w:r>
        <w:rPr>
          <w:rFonts w:hint="eastAsia" w:ascii="仿宋_GB2312" w:hAnsi="ˎ̥" w:eastAsia="仿宋_GB2312"/>
          <w:sz w:val="32"/>
          <w:szCs w:val="32"/>
          <w:lang w:val="en-US" w:eastAsia="zh-CN"/>
        </w:rPr>
        <w:t>和住房保障</w:t>
      </w:r>
      <w:r>
        <w:rPr>
          <w:rFonts w:hint="eastAsia" w:ascii="仿宋_GB2312" w:hAnsi="ˎ̥" w:eastAsia="仿宋_GB2312"/>
          <w:sz w:val="32"/>
          <w:szCs w:val="32"/>
        </w:rPr>
        <w:t>支出。</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3864_WPSOffice_Level2"/>
      <w:bookmarkStart w:id="84" w:name="_Toc2711_WPSOffice_Level2"/>
      <w:bookmarkStart w:id="85" w:name="_Toc18793_WPSOffice_Level2"/>
      <w:bookmarkStart w:id="86" w:name="_Toc19075_WPSOffice_Level2"/>
      <w:bookmarkStart w:id="87" w:name="_Toc19535_WPSOffice_Level2"/>
      <w:bookmarkStart w:id="88" w:name="_Toc27767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1BE464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379.32</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259.78</w:t>
      </w:r>
      <w:r>
        <w:rPr>
          <w:rFonts w:hint="eastAsia" w:ascii="仿宋_GB2312" w:hAnsi="ˎ̥" w:eastAsia="仿宋_GB2312"/>
          <w:sz w:val="32"/>
          <w:szCs w:val="32"/>
        </w:rPr>
        <w:t>万元，占</w:t>
      </w:r>
      <w:r>
        <w:rPr>
          <w:rFonts w:hint="eastAsia" w:ascii="仿宋_GB2312" w:hAnsi="ˎ̥" w:eastAsia="仿宋_GB2312"/>
          <w:sz w:val="32"/>
          <w:szCs w:val="32"/>
          <w:lang w:val="en-US" w:eastAsia="zh-CN"/>
        </w:rPr>
        <w:t>68</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71.77</w:t>
      </w:r>
      <w:r>
        <w:rPr>
          <w:rFonts w:hint="eastAsia" w:ascii="仿宋_GB2312" w:hAnsi="ˎ̥" w:eastAsia="仿宋_GB2312"/>
          <w:sz w:val="32"/>
          <w:szCs w:val="32"/>
        </w:rPr>
        <w:t>万元，占</w:t>
      </w:r>
      <w:r>
        <w:rPr>
          <w:rFonts w:hint="eastAsia" w:ascii="仿宋_GB2312" w:hAnsi="ˎ̥" w:eastAsia="仿宋_GB2312"/>
          <w:sz w:val="32"/>
          <w:szCs w:val="32"/>
          <w:lang w:val="en-US" w:eastAsia="zh-CN"/>
        </w:rPr>
        <w:t>18</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sz w:val="32"/>
          <w:szCs w:val="32"/>
          <w:lang w:val="en-US" w:eastAsia="zh-CN"/>
        </w:rPr>
        <w:t>19.03</w:t>
      </w:r>
      <w:r>
        <w:rPr>
          <w:rFonts w:hint="eastAsia" w:ascii="仿宋_GB2312" w:hAnsi="ˎ̥" w:eastAsia="仿宋_GB2312"/>
          <w:sz w:val="32"/>
          <w:szCs w:val="32"/>
        </w:rPr>
        <w:t>万元，占</w:t>
      </w:r>
      <w:r>
        <w:rPr>
          <w:rFonts w:hint="eastAsia" w:ascii="仿宋_GB2312" w:hAnsi="ˎ̥" w:eastAsia="仿宋_GB2312"/>
          <w:sz w:val="32"/>
          <w:szCs w:val="32"/>
          <w:lang w:val="en-US" w:eastAsia="zh-CN"/>
        </w:rPr>
        <w:t>5</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卫生健康支出28.75万元，占7%</w:t>
      </w:r>
      <w:r>
        <w:rPr>
          <w:rFonts w:hint="eastAsia" w:ascii="仿宋_GB2312" w:hAnsi="ˎ̥" w:eastAsia="仿宋_GB2312"/>
          <w:sz w:val="32"/>
          <w:szCs w:val="32"/>
        </w:rPr>
        <w:t>。</w:t>
      </w:r>
    </w:p>
    <w:p w14:paraId="210E169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2318_WPSOffice_Level2"/>
      <w:bookmarkStart w:id="90" w:name="_Toc21701_WPSOffice_Level2"/>
      <w:bookmarkStart w:id="91" w:name="_Toc25136_WPSOffice_Level2"/>
      <w:bookmarkStart w:id="92" w:name="_Toc15415_WPSOffice_Level2"/>
      <w:bookmarkStart w:id="93" w:name="_Toc9502_WPSOffice_Level2"/>
      <w:bookmarkStart w:id="94" w:name="_Toc29364_WPSOffice_Level2"/>
      <w:r>
        <w:rPr>
          <w:rFonts w:hint="eastAsia" w:ascii="楷体" w:hAnsi="楷体" w:eastAsia="楷体" w:cs="楷体"/>
          <w:sz w:val="32"/>
          <w:szCs w:val="32"/>
        </w:rPr>
        <w:t>（三</w:t>
      </w:r>
      <w:r>
        <w:rPr>
          <w:rFonts w:hint="eastAsia" w:ascii="楷体" w:hAnsi="楷体" w:eastAsia="楷体" w:cs="楷体"/>
          <w:sz w:val="32"/>
          <w:szCs w:val="32"/>
          <w:highlight w:val="yellow"/>
        </w:rPr>
        <w:t>）一般公共预算财政拨款支出决算</w:t>
      </w:r>
      <w:r>
        <w:rPr>
          <w:rFonts w:hint="eastAsia" w:ascii="楷体" w:hAnsi="楷体" w:eastAsia="楷体" w:cs="楷体"/>
          <w:sz w:val="32"/>
          <w:szCs w:val="32"/>
        </w:rPr>
        <w:t>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379.32</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379.32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%。其中：</w:t>
      </w:r>
    </w:p>
    <w:p w14:paraId="417CBBF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14:paraId="0B0C62B3">
      <w:pPr>
        <w:ind w:firstLine="640" w:firstLineChars="200"/>
        <w:rPr>
          <w:rFonts w:hint="eastAsia" w:ascii="仿宋_GB2312" w:hAnsi="ˎ̥" w:eastAsia="仿宋_GB2312" w:cs="Times New Roman"/>
          <w:sz w:val="32"/>
          <w:szCs w:val="32"/>
          <w14:ligatures w14:val="none"/>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259.78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259.78</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 xml:space="preserve">%。 </w:t>
      </w:r>
      <w:r>
        <w:rPr>
          <w:rFonts w:hint="eastAsia" w:ascii="仿宋_GB2312" w:hAnsi="ˎ̥" w:eastAsia="仿宋_GB2312" w:cs="Times New Roman"/>
          <w:sz w:val="32"/>
          <w:szCs w:val="32"/>
          <w14:ligatures w14:val="none"/>
        </w:rPr>
        <w:t>决算数等于预算数的主要原因：人员收支平衡。</w:t>
      </w:r>
    </w:p>
    <w:p w14:paraId="2AA4F93B">
      <w:pPr>
        <w:ind w:firstLine="640" w:firstLineChars="200"/>
        <w:rPr>
          <w:rFonts w:hint="eastAsia" w:ascii="仿宋_GB2312" w:hAnsi="ˎ̥" w:eastAsia="仿宋_GB2312" w:cs="Times New Roman"/>
          <w:b/>
          <w:sz w:val="32"/>
          <w:szCs w:val="32"/>
          <w14:ligatures w14:val="none"/>
        </w:rPr>
      </w:pPr>
      <w:r>
        <w:rPr>
          <w:rFonts w:hint="eastAsia" w:ascii="仿宋_GB2312" w:hAnsi="ˎ̥" w:eastAsia="仿宋_GB2312" w:cs="Times New Roman"/>
          <w:sz w:val="32"/>
          <w:szCs w:val="32"/>
          <w14:ligatures w14:val="none"/>
        </w:rPr>
        <w:t>2.</w:t>
      </w:r>
      <w:r>
        <w:rPr>
          <w:rFonts w:hint="eastAsia" w:ascii="仿宋_GB2312" w:hAnsi="ˎ̥" w:eastAsia="仿宋_GB2312" w:cs="Times New Roman"/>
          <w:b/>
          <w:sz w:val="32"/>
          <w:szCs w:val="32"/>
          <w14:ligatures w14:val="none"/>
        </w:rPr>
        <w:t>教育支出（类）普通教育（款）其他普通教育支出（项）</w:t>
      </w:r>
    </w:p>
    <w:p w14:paraId="7C2BB3E6">
      <w:pPr>
        <w:ind w:firstLine="640" w:firstLineChars="200"/>
        <w:rPr>
          <w:rFonts w:hint="eastAsia" w:ascii="仿宋_GB2312" w:hAnsi="ˎ̥" w:eastAsia="仿宋_GB2312" w:cs="Times New Roman"/>
          <w:b/>
          <w:sz w:val="32"/>
          <w:szCs w:val="32"/>
          <w14:ligatures w14:val="none"/>
        </w:rPr>
      </w:pPr>
      <w:r>
        <w:rPr>
          <w:rFonts w:hint="eastAsia" w:ascii="仿宋_GB2312" w:hAnsi="ˎ̥" w:eastAsia="仿宋_GB2312" w:cs="Times New Roman"/>
          <w:sz w:val="32"/>
          <w:szCs w:val="32"/>
          <w14:ligatures w14:val="none"/>
        </w:rPr>
        <w:t>年初预算为0万元。支出决算数为0万元。完成年初预算的0%。</w:t>
      </w:r>
    </w:p>
    <w:p w14:paraId="14862A12">
      <w:pPr>
        <w:ind w:firstLine="643" w:firstLineChars="200"/>
        <w:rPr>
          <w:rFonts w:hint="eastAsia" w:ascii="仿宋_GB2312" w:hAnsi="ˎ̥" w:eastAsia="仿宋_GB2312" w:cs="Times New Roman"/>
          <w:b/>
          <w:sz w:val="32"/>
          <w:szCs w:val="32"/>
          <w14:ligatures w14:val="none"/>
        </w:rPr>
      </w:pPr>
      <w:r>
        <w:rPr>
          <w:rFonts w:hint="eastAsia" w:ascii="仿宋_GB2312" w:hAnsi="ˎ̥" w:eastAsia="仿宋_GB2312" w:cs="Times New Roman"/>
          <w:b/>
          <w:bCs/>
          <w:sz w:val="32"/>
          <w:szCs w:val="32"/>
          <w14:ligatures w14:val="none"/>
        </w:rPr>
        <w:t>3.社会保障和就业支出</w:t>
      </w:r>
      <w:r>
        <w:rPr>
          <w:rFonts w:hint="eastAsia" w:ascii="仿宋_GB2312" w:hAnsi="ˎ̥" w:eastAsia="仿宋_GB2312" w:cs="Times New Roman"/>
          <w:b/>
          <w:sz w:val="32"/>
          <w:szCs w:val="32"/>
          <w14:ligatures w14:val="none"/>
        </w:rPr>
        <w:t>（类）行政事业单位养老支出（款）机关事业单位基本养老保险缴费支出（项）</w:t>
      </w:r>
    </w:p>
    <w:p w14:paraId="0A0A2834">
      <w:pPr>
        <w:ind w:firstLine="640" w:firstLineChars="200"/>
        <w:rPr>
          <w:rFonts w:hint="eastAsia" w:ascii="仿宋_GB2312" w:hAnsi="ˎ̥" w:eastAsia="仿宋_GB2312" w:cs="Times New Roman"/>
          <w:sz w:val="32"/>
          <w:szCs w:val="32"/>
          <w14:ligatures w14:val="none"/>
        </w:rPr>
      </w:pPr>
      <w:r>
        <w:rPr>
          <w:rFonts w:hint="eastAsia" w:ascii="仿宋_GB2312" w:hAnsi="ˎ̥" w:eastAsia="仿宋_GB2312" w:cs="Times New Roman"/>
          <w:sz w:val="32"/>
          <w:szCs w:val="32"/>
          <w14:ligatures w14:val="none"/>
        </w:rPr>
        <w:t>年初预算为</w:t>
      </w:r>
      <w:r>
        <w:rPr>
          <w:rFonts w:hint="eastAsia" w:ascii="仿宋_GB2312" w:hAnsi="ˎ̥" w:eastAsia="仿宋_GB2312" w:cs="Times New Roman"/>
          <w:sz w:val="32"/>
          <w:szCs w:val="32"/>
          <w:lang w:val="en-US" w:eastAsia="zh-CN"/>
          <w14:ligatures w14:val="none"/>
        </w:rPr>
        <w:t>71.77</w:t>
      </w:r>
      <w:r>
        <w:rPr>
          <w:rFonts w:hint="eastAsia" w:ascii="仿宋_GB2312" w:hAnsi="ˎ̥" w:eastAsia="仿宋_GB2312" w:cs="Times New Roman"/>
          <w:sz w:val="32"/>
          <w:szCs w:val="32"/>
          <w14:ligatures w14:val="none"/>
        </w:rPr>
        <w:t>万元，支出决算数为</w:t>
      </w:r>
      <w:r>
        <w:rPr>
          <w:rFonts w:hint="eastAsia" w:ascii="仿宋_GB2312" w:hAnsi="ˎ̥" w:eastAsia="仿宋_GB2312" w:cs="Times New Roman"/>
          <w:sz w:val="32"/>
          <w:szCs w:val="32"/>
          <w:lang w:val="en-US" w:eastAsia="zh-CN"/>
          <w14:ligatures w14:val="none"/>
        </w:rPr>
        <w:t>71.77</w:t>
      </w:r>
      <w:r>
        <w:rPr>
          <w:rFonts w:hint="eastAsia" w:ascii="仿宋_GB2312" w:hAnsi="ˎ̥" w:eastAsia="仿宋_GB2312" w:cs="Times New Roman"/>
          <w:sz w:val="32"/>
          <w:szCs w:val="32"/>
          <w14:ligatures w14:val="none"/>
        </w:rPr>
        <w:t>万元。完成年初预算的100%。决算数等于预算数的主要原因：人员收支平衡。</w:t>
      </w:r>
    </w:p>
    <w:p w14:paraId="4720120D">
      <w:pPr>
        <w:ind w:firstLine="643" w:firstLineChars="200"/>
        <w:rPr>
          <w:rFonts w:hint="eastAsia" w:ascii="仿宋_GB2312" w:hAnsi="ˎ̥" w:eastAsia="仿宋_GB2312" w:cs="Times New Roman"/>
          <w:b/>
          <w:sz w:val="32"/>
          <w:szCs w:val="32"/>
          <w14:ligatures w14:val="none"/>
        </w:rPr>
      </w:pPr>
      <w:r>
        <w:rPr>
          <w:rFonts w:hint="eastAsia" w:ascii="仿宋_GB2312" w:hAnsi="ˎ̥" w:eastAsia="仿宋_GB2312" w:cs="Times New Roman"/>
          <w:b/>
          <w:bCs/>
          <w:sz w:val="32"/>
          <w:szCs w:val="32"/>
          <w14:ligatures w14:val="none"/>
        </w:rPr>
        <w:t>4.卫生健康支出</w:t>
      </w:r>
      <w:r>
        <w:rPr>
          <w:rFonts w:hint="eastAsia" w:ascii="仿宋_GB2312" w:hAnsi="ˎ̥" w:eastAsia="仿宋_GB2312" w:cs="Times New Roman"/>
          <w:b/>
          <w:sz w:val="32"/>
          <w:szCs w:val="32"/>
          <w14:ligatures w14:val="none"/>
        </w:rPr>
        <w:t>（类）行政事业单位医疗（款）事业单位医疗（项）</w:t>
      </w:r>
    </w:p>
    <w:p w14:paraId="723434D1">
      <w:pPr>
        <w:ind w:firstLine="640" w:firstLineChars="200"/>
        <w:rPr>
          <w:rFonts w:hint="eastAsia" w:ascii="仿宋_GB2312" w:hAnsi="ˎ̥" w:eastAsia="仿宋_GB2312" w:cs="Times New Roman"/>
          <w:sz w:val="32"/>
          <w:szCs w:val="32"/>
          <w14:ligatures w14:val="none"/>
        </w:rPr>
      </w:pPr>
      <w:r>
        <w:rPr>
          <w:rFonts w:hint="eastAsia" w:ascii="仿宋_GB2312" w:hAnsi="ˎ̥" w:eastAsia="仿宋_GB2312" w:cs="Times New Roman"/>
          <w:sz w:val="32"/>
          <w:szCs w:val="32"/>
          <w14:ligatures w14:val="none"/>
        </w:rPr>
        <w:t>年初预算</w:t>
      </w:r>
      <w:r>
        <w:rPr>
          <w:rFonts w:hint="eastAsia" w:ascii="仿宋_GB2312" w:hAnsi="ˎ̥" w:eastAsia="仿宋_GB2312" w:cs="Times New Roman"/>
          <w:sz w:val="32"/>
          <w:szCs w:val="32"/>
          <w:lang w:val="en-US" w:eastAsia="zh-CN"/>
          <w14:ligatures w14:val="none"/>
        </w:rPr>
        <w:t>为28.75</w:t>
      </w:r>
      <w:r>
        <w:rPr>
          <w:rFonts w:hint="eastAsia" w:ascii="仿宋_GB2312" w:hAnsi="ˎ̥" w:eastAsia="仿宋_GB2312" w:cs="Times New Roman"/>
          <w:sz w:val="32"/>
          <w:szCs w:val="32"/>
          <w14:ligatures w14:val="none"/>
        </w:rPr>
        <w:t>元，支出决算数</w:t>
      </w:r>
      <w:r>
        <w:rPr>
          <w:rFonts w:hint="eastAsia" w:ascii="仿宋_GB2312" w:hAnsi="ˎ̥" w:eastAsia="仿宋_GB2312" w:cs="Times New Roman"/>
          <w:sz w:val="32"/>
          <w:szCs w:val="32"/>
          <w:lang w:val="en-US" w:eastAsia="zh-CN"/>
          <w14:ligatures w14:val="none"/>
        </w:rPr>
        <w:t>28.75</w:t>
      </w:r>
      <w:r>
        <w:rPr>
          <w:rFonts w:hint="eastAsia" w:ascii="仿宋_GB2312" w:hAnsi="ˎ̥" w:eastAsia="仿宋_GB2312" w:cs="Times New Roman"/>
          <w:sz w:val="32"/>
          <w:szCs w:val="32"/>
          <w14:ligatures w14:val="none"/>
        </w:rPr>
        <w:t>万元。完成年初预算的100%。决算数等于预算数的主要原因：人员收支平衡。</w:t>
      </w:r>
    </w:p>
    <w:p w14:paraId="446695DC">
      <w:pPr>
        <w:ind w:firstLine="643" w:firstLineChars="200"/>
        <w:rPr>
          <w:rFonts w:hint="eastAsia" w:ascii="仿宋_GB2312" w:hAnsi="ˎ̥" w:eastAsia="仿宋_GB2312" w:cs="Times New Roman"/>
          <w:b/>
          <w:sz w:val="32"/>
          <w:szCs w:val="32"/>
          <w14:ligatures w14:val="none"/>
        </w:rPr>
      </w:pPr>
      <w:r>
        <w:rPr>
          <w:rFonts w:hint="eastAsia" w:ascii="仿宋_GB2312" w:hAnsi="ˎ̥" w:eastAsia="仿宋_GB2312" w:cs="Times New Roman"/>
          <w:b/>
          <w:bCs/>
          <w:sz w:val="32"/>
          <w:szCs w:val="32"/>
          <w14:ligatures w14:val="none"/>
        </w:rPr>
        <w:t>5.卫生健康支出</w:t>
      </w:r>
      <w:r>
        <w:rPr>
          <w:rFonts w:hint="eastAsia" w:ascii="仿宋_GB2312" w:hAnsi="ˎ̥" w:eastAsia="仿宋_GB2312" w:cs="Times New Roman"/>
          <w:b/>
          <w:sz w:val="32"/>
          <w:szCs w:val="32"/>
          <w14:ligatures w14:val="none"/>
        </w:rPr>
        <w:t>（类）行政事业单位医疗（款）  公务员医疗补助（项）</w:t>
      </w:r>
    </w:p>
    <w:p w14:paraId="4F12CD16">
      <w:pPr>
        <w:ind w:firstLine="640" w:firstLineChars="200"/>
        <w:rPr>
          <w:rFonts w:hint="eastAsia" w:ascii="仿宋_GB2312" w:hAnsi="ˎ̥" w:eastAsia="仿宋_GB2312" w:cs="Times New Roman"/>
          <w:sz w:val="32"/>
          <w:szCs w:val="32"/>
          <w14:ligatures w14:val="none"/>
        </w:rPr>
      </w:pPr>
      <w:r>
        <w:rPr>
          <w:rFonts w:hint="eastAsia" w:ascii="仿宋_GB2312" w:hAnsi="ˎ̥" w:eastAsia="仿宋_GB2312" w:cs="Times New Roman"/>
          <w:sz w:val="32"/>
          <w:szCs w:val="32"/>
          <w14:ligatures w14:val="none"/>
        </w:rPr>
        <w:t>年初预算为0万元，支出决算数0万元。完成年初预算的0%。</w:t>
      </w:r>
    </w:p>
    <w:p w14:paraId="41D4106B">
      <w:pPr>
        <w:ind w:firstLine="643" w:firstLineChars="200"/>
        <w:rPr>
          <w:rFonts w:hint="eastAsia" w:ascii="仿宋_GB2312" w:hAnsi="ˎ̥" w:eastAsia="仿宋_GB2312" w:cs="Times New Roman"/>
          <w:b/>
          <w:sz w:val="32"/>
          <w:szCs w:val="32"/>
          <w14:ligatures w14:val="none"/>
        </w:rPr>
      </w:pPr>
      <w:r>
        <w:rPr>
          <w:rFonts w:hint="eastAsia" w:ascii="仿宋_GB2312" w:hAnsi="ˎ̥" w:eastAsia="仿宋_GB2312" w:cs="Times New Roman"/>
          <w:b/>
          <w:bCs/>
          <w:sz w:val="32"/>
          <w:szCs w:val="32"/>
          <w14:ligatures w14:val="none"/>
        </w:rPr>
        <w:t>6.住房保障支出</w:t>
      </w:r>
      <w:r>
        <w:rPr>
          <w:rFonts w:hint="eastAsia" w:ascii="仿宋_GB2312" w:hAnsi="ˎ̥" w:eastAsia="仿宋_GB2312" w:cs="Times New Roman"/>
          <w:b/>
          <w:sz w:val="32"/>
          <w:szCs w:val="32"/>
          <w14:ligatures w14:val="none"/>
        </w:rPr>
        <w:t>（类）住房改革支出（款）  住房公积金（项）</w:t>
      </w:r>
    </w:p>
    <w:p w14:paraId="15E94056">
      <w:pPr>
        <w:ind w:firstLine="640" w:firstLineChars="200"/>
        <w:rPr>
          <w:rFonts w:hint="eastAsia" w:ascii="仿宋_GB2312" w:hAnsi="ˎ̥" w:eastAsia="仿宋_GB2312"/>
          <w:b/>
          <w:sz w:val="32"/>
          <w:szCs w:val="32"/>
          <w:lang w:eastAsia="zh-CN"/>
        </w:rPr>
      </w:pPr>
      <w:r>
        <w:rPr>
          <w:rFonts w:hint="eastAsia" w:ascii="仿宋_GB2312" w:hAnsi="ˎ̥" w:eastAsia="仿宋_GB2312" w:cs="Times New Roman"/>
          <w:sz w:val="32"/>
          <w:szCs w:val="32"/>
          <w14:ligatures w14:val="none"/>
        </w:rPr>
        <w:t>年初预算为</w:t>
      </w:r>
      <w:r>
        <w:rPr>
          <w:rFonts w:hint="eastAsia" w:ascii="仿宋_GB2312" w:hAnsi="ˎ̥" w:eastAsia="仿宋_GB2312" w:cs="Times New Roman"/>
          <w:sz w:val="32"/>
          <w:szCs w:val="32"/>
          <w:lang w:val="en-US" w:eastAsia="zh-CN"/>
          <w14:ligatures w14:val="none"/>
        </w:rPr>
        <w:t>19.03</w:t>
      </w:r>
      <w:r>
        <w:rPr>
          <w:rFonts w:hint="eastAsia" w:ascii="仿宋_GB2312" w:hAnsi="ˎ̥" w:eastAsia="仿宋_GB2312" w:cs="Times New Roman"/>
          <w:sz w:val="32"/>
          <w:szCs w:val="32"/>
          <w14:ligatures w14:val="none"/>
        </w:rPr>
        <w:t>万元，支出决算数</w:t>
      </w:r>
      <w:r>
        <w:rPr>
          <w:rFonts w:hint="eastAsia" w:ascii="仿宋_GB2312" w:hAnsi="ˎ̥" w:eastAsia="仿宋_GB2312" w:cs="Times New Roman"/>
          <w:sz w:val="32"/>
          <w:szCs w:val="32"/>
          <w:lang w:val="en-US" w:eastAsia="zh-CN"/>
          <w14:ligatures w14:val="none"/>
        </w:rPr>
        <w:t>19.03</w:t>
      </w:r>
      <w:r>
        <w:rPr>
          <w:rFonts w:hint="eastAsia" w:ascii="仿宋_GB2312" w:hAnsi="ˎ̥" w:eastAsia="仿宋_GB2312" w:cs="Times New Roman"/>
          <w:sz w:val="32"/>
          <w:szCs w:val="32"/>
          <w14:ligatures w14:val="none"/>
        </w:rPr>
        <w:t>万元。完成年初预算的100%。</w:t>
      </w:r>
    </w:p>
    <w:p w14:paraId="3CA8F8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313.46</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297.56</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15.90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6C24DF0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yellow"/>
        </w:rPr>
      </w:pPr>
      <w:r>
        <w:rPr>
          <w:rFonts w:hint="eastAsia" w:ascii="黑体" w:hAnsi="黑体" w:eastAsia="黑体" w:cs="黑体"/>
          <w:bCs/>
          <w:sz w:val="32"/>
          <w:szCs w:val="32"/>
          <w:highlight w:val="yellow"/>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s="Times New Roman"/>
          <w:sz w:val="32"/>
          <w:szCs w:val="32"/>
          <w14:ligatures w14:val="none"/>
        </w:rPr>
        <w:t>无此项目</w:t>
      </w:r>
      <w:r>
        <w:rPr>
          <w:rFonts w:hint="eastAsia" w:ascii="仿宋_GB2312" w:hAnsi="ˎ̥" w:eastAsia="仿宋_GB2312"/>
          <w:sz w:val="32"/>
          <w:szCs w:val="32"/>
        </w:rPr>
        <w:t>。</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701685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184DD0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5E6A22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w:t>
      </w:r>
      <w:r>
        <w:rPr>
          <w:rFonts w:hint="eastAsia" w:ascii="仿宋_GB2312" w:hAnsi="ˎ̥" w:eastAsia="仿宋_GB2312"/>
          <w:sz w:val="32"/>
          <w:szCs w:val="32"/>
          <w:lang w:val="en-US" w:eastAsia="zh-CN"/>
        </w:rPr>
        <w:t>是</w:t>
      </w:r>
      <w:r>
        <w:rPr>
          <w:rFonts w:hint="eastAsia" w:ascii="仿宋_GB2312" w:hAnsi="ˎ̥" w:eastAsia="仿宋_GB2312" w:cs="Times New Roman"/>
          <w:sz w:val="32"/>
          <w:szCs w:val="32"/>
          <w14:ligatures w14:val="none"/>
        </w:rPr>
        <w:t>无此项目</w:t>
      </w:r>
      <w:r>
        <w:rPr>
          <w:rFonts w:hint="eastAsia" w:ascii="仿宋_GB2312" w:hAnsi="ˎ̥" w:eastAsia="仿宋_GB2312" w:cs="Times New Roman"/>
          <w:sz w:val="32"/>
          <w:szCs w:val="32"/>
          <w:lang w:eastAsia="zh-CN"/>
          <w14:ligatures w14:val="none"/>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42D7F58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4FEB03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14:paraId="4A02F0C0">
      <w:pPr>
        <w:spacing w:line="578" w:lineRule="exact"/>
        <w:rPr>
          <w:rFonts w:hint="eastAsia" w:ascii="仿宋_GB2312" w:hAnsi="ˎ̥" w:eastAsia="仿宋_GB2312" w:cs="Times New Roman"/>
          <w:sz w:val="32"/>
          <w:szCs w:val="32"/>
          <w14:ligatures w14:val="none"/>
        </w:rPr>
      </w:pPr>
      <w:r>
        <w:rPr>
          <w:rFonts w:hint="eastAsia" w:ascii="仿宋_GB2312" w:hAnsi="ˎ̥" w:eastAsia="仿宋_GB2312" w:cs="Times New Roman"/>
          <w:b/>
          <w:sz w:val="32"/>
          <w:szCs w:val="32"/>
          <w14:ligatures w14:val="none"/>
        </w:rPr>
        <w:t>1.因公出国（境）费</w:t>
      </w:r>
      <w:r>
        <w:rPr>
          <w:rFonts w:hint="eastAsia" w:ascii="仿宋_GB2312" w:hAnsi="ˎ̥" w:eastAsia="仿宋_GB2312" w:cs="Times New Roman"/>
          <w:sz w:val="32"/>
          <w:szCs w:val="32"/>
          <w14:ligatures w14:val="none"/>
        </w:rPr>
        <w:t>支出0万元。全年安排因公出国（境）团组0个，因公出国（境）0人次。因公出国（境）费支出决算比预算数增加（减少）0万元，增长（下降）0%。与2022年度相比，因公出国（境）费支出增加（减少）0万元，增长（下降）0%。</w:t>
      </w:r>
    </w:p>
    <w:p w14:paraId="07AB18C1">
      <w:pPr>
        <w:spacing w:line="578" w:lineRule="exact"/>
        <w:rPr>
          <w:rFonts w:hint="eastAsia" w:ascii="仿宋_GB2312" w:hAnsi="ˎ̥" w:eastAsia="仿宋_GB2312" w:cs="Times New Roman"/>
          <w:sz w:val="32"/>
          <w:szCs w:val="32"/>
          <w14:ligatures w14:val="none"/>
        </w:rPr>
      </w:pPr>
      <w:r>
        <w:rPr>
          <w:rFonts w:hint="eastAsia" w:ascii="仿宋_GB2312" w:hAnsi="ˎ̥" w:eastAsia="仿宋_GB2312" w:cs="Times New Roman"/>
          <w:b/>
          <w:sz w:val="32"/>
          <w:szCs w:val="32"/>
          <w14:ligatures w14:val="none"/>
        </w:rPr>
        <w:t xml:space="preserve">    2.公务用车购置及运行维护费支出</w:t>
      </w:r>
      <w:r>
        <w:rPr>
          <w:rFonts w:hint="eastAsia" w:ascii="仿宋_GB2312" w:hAnsi="ˎ̥" w:eastAsia="仿宋_GB2312" w:cs="Times New Roman"/>
          <w:sz w:val="32"/>
          <w:szCs w:val="32"/>
          <w14:ligatures w14:val="none"/>
        </w:rPr>
        <w:t>0万元。其中：</w:t>
      </w:r>
    </w:p>
    <w:p w14:paraId="14145D7B">
      <w:pPr>
        <w:spacing w:line="578" w:lineRule="exact"/>
        <w:rPr>
          <w:rFonts w:hint="eastAsia" w:ascii="仿宋_GB2312" w:hAnsi="ˎ̥" w:eastAsia="仿宋_GB2312" w:cs="Times New Roman"/>
          <w:b/>
          <w:sz w:val="32"/>
          <w:szCs w:val="32"/>
          <w14:ligatures w14:val="none"/>
        </w:rPr>
      </w:pPr>
      <w:r>
        <w:rPr>
          <w:rFonts w:hint="eastAsia" w:ascii="仿宋_GB2312" w:hAnsi="ˎ̥" w:eastAsia="仿宋_GB2312" w:cs="Times New Roman"/>
          <w:b/>
          <w:sz w:val="32"/>
          <w:szCs w:val="32"/>
          <w14:ligatures w14:val="none"/>
        </w:rPr>
        <w:t>公务用车购置支出</w:t>
      </w:r>
      <w:r>
        <w:rPr>
          <w:rFonts w:hint="eastAsia" w:ascii="仿宋_GB2312" w:hAnsi="ˎ̥" w:eastAsia="仿宋_GB2312" w:cs="Times New Roman"/>
          <w:sz w:val="32"/>
          <w:szCs w:val="32"/>
          <w14:ligatures w14:val="none"/>
        </w:rPr>
        <w:t>0万元，全年购置公务用车0辆</w:t>
      </w:r>
      <w:r>
        <w:rPr>
          <w:rFonts w:hint="eastAsia" w:ascii="仿宋_GB2312" w:hAnsi="ˎ̥" w:eastAsia="仿宋_GB2312" w:cs="Times New Roman"/>
          <w:b/>
          <w:sz w:val="32"/>
          <w:szCs w:val="32"/>
          <w14:ligatures w14:val="none"/>
        </w:rPr>
        <w:t>。</w:t>
      </w:r>
    </w:p>
    <w:p w14:paraId="6410CB8B">
      <w:pPr>
        <w:spacing w:line="578" w:lineRule="exact"/>
        <w:rPr>
          <w:rFonts w:hint="eastAsia" w:ascii="仿宋_GB2312" w:hAnsi="ˎ̥" w:eastAsia="仿宋_GB2312" w:cs="Times New Roman"/>
          <w:bCs/>
          <w:sz w:val="32"/>
          <w:szCs w:val="32"/>
          <w14:ligatures w14:val="none"/>
        </w:rPr>
      </w:pPr>
      <w:r>
        <w:rPr>
          <w:rFonts w:hint="eastAsia" w:ascii="仿宋_GB2312" w:hAnsi="ˎ̥" w:eastAsia="仿宋_GB2312" w:cs="Times New Roman"/>
          <w:b/>
          <w:sz w:val="32"/>
          <w:szCs w:val="32"/>
          <w14:ligatures w14:val="none"/>
        </w:rPr>
        <w:t>公务用车运行维护费</w:t>
      </w:r>
      <w:r>
        <w:rPr>
          <w:rFonts w:hint="eastAsia" w:ascii="仿宋_GB2312" w:hAnsi="ˎ̥" w:eastAsia="仿宋_GB2312" w:cs="Times New Roman"/>
          <w:sz w:val="32"/>
          <w:szCs w:val="32"/>
          <w14:ligatures w14:val="none"/>
        </w:rPr>
        <w:t>支出0万元。</w:t>
      </w:r>
      <w:r>
        <w:rPr>
          <w:rFonts w:hint="eastAsia" w:ascii="仿宋_GB2312" w:hAnsi="ˎ̥" w:eastAsia="仿宋_GB2312" w:cs="Times New Roman"/>
          <w:bCs/>
          <w:sz w:val="32"/>
          <w:szCs w:val="32"/>
          <w14:ligatures w14:val="none"/>
        </w:rPr>
        <w:t>公务用车购置及运行维护费支出决算数</w:t>
      </w:r>
      <w:r>
        <w:rPr>
          <w:rFonts w:hint="eastAsia" w:ascii="仿宋_GB2312" w:hAnsi="ˎ̥" w:eastAsia="仿宋_GB2312" w:cs="Times New Roman"/>
          <w:sz w:val="32"/>
          <w:szCs w:val="32"/>
          <w14:ligatures w14:val="none"/>
        </w:rPr>
        <w:t>比预算数增加（减少）0万元，增长（下降）0%。与2022年度相比，</w:t>
      </w:r>
      <w:r>
        <w:rPr>
          <w:rFonts w:hint="eastAsia" w:ascii="仿宋_GB2312" w:hAnsi="ˎ̥" w:eastAsia="仿宋_GB2312" w:cs="Times New Roman"/>
          <w:bCs/>
          <w:sz w:val="32"/>
          <w:szCs w:val="32"/>
          <w14:ligatures w14:val="none"/>
        </w:rPr>
        <w:t>公务用车购置及运行维护费</w:t>
      </w:r>
      <w:r>
        <w:rPr>
          <w:rFonts w:hint="eastAsia" w:ascii="仿宋_GB2312" w:hAnsi="ˎ̥" w:eastAsia="仿宋_GB2312" w:cs="Times New Roman"/>
          <w:sz w:val="32"/>
          <w:szCs w:val="32"/>
          <w14:ligatures w14:val="none"/>
        </w:rPr>
        <w:t>支出增加（减少）0万元，增长（下降）0%。</w:t>
      </w:r>
    </w:p>
    <w:p w14:paraId="1A23FCE8">
      <w:pPr>
        <w:spacing w:line="578" w:lineRule="exact"/>
        <w:rPr>
          <w:rFonts w:hint="eastAsia" w:ascii="仿宋_GB2312" w:hAnsi="ˎ̥" w:eastAsia="仿宋_GB2312" w:cs="Times New Roman"/>
          <w:sz w:val="32"/>
          <w:szCs w:val="32"/>
          <w14:ligatures w14:val="none"/>
        </w:rPr>
      </w:pPr>
      <w:r>
        <w:rPr>
          <w:rFonts w:hint="eastAsia" w:ascii="仿宋_GB2312" w:hAnsi="ˎ̥" w:eastAsia="仿宋_GB2312" w:cs="Times New Roman"/>
          <w:b/>
          <w:sz w:val="32"/>
          <w:szCs w:val="32"/>
          <w14:ligatures w14:val="none"/>
        </w:rPr>
        <w:t xml:space="preserve">    3.公务接待费支出</w:t>
      </w:r>
      <w:r>
        <w:rPr>
          <w:rFonts w:hint="eastAsia" w:ascii="仿宋_GB2312" w:hAnsi="ˎ̥" w:eastAsia="仿宋_GB2312" w:cs="Times New Roman"/>
          <w:sz w:val="32"/>
          <w:szCs w:val="32"/>
          <w14:ligatures w14:val="none"/>
        </w:rPr>
        <w:t>0万元，其中：</w:t>
      </w:r>
    </w:p>
    <w:p w14:paraId="78C63AAD">
      <w:pPr>
        <w:spacing w:line="578" w:lineRule="exact"/>
        <w:rPr>
          <w:rFonts w:hint="eastAsia" w:ascii="仿宋_GB2312" w:hAnsi="ˎ̥" w:eastAsia="仿宋_GB2312" w:cs="Times New Roman"/>
          <w:sz w:val="32"/>
          <w:szCs w:val="32"/>
          <w14:ligatures w14:val="none"/>
        </w:rPr>
      </w:pPr>
      <w:r>
        <w:rPr>
          <w:rFonts w:hint="eastAsia" w:ascii="仿宋_GB2312" w:hAnsi="ˎ̥" w:eastAsia="仿宋_GB2312" w:cs="Times New Roman"/>
          <w:b/>
          <w:sz w:val="32"/>
          <w:szCs w:val="32"/>
          <w14:ligatures w14:val="none"/>
        </w:rPr>
        <w:t>国内接待费</w:t>
      </w:r>
      <w:r>
        <w:rPr>
          <w:rFonts w:hint="eastAsia" w:ascii="仿宋_GB2312" w:hAnsi="ˎ̥" w:eastAsia="仿宋_GB2312" w:cs="Times New Roman"/>
          <w:sz w:val="32"/>
          <w:szCs w:val="32"/>
          <w14:ligatures w14:val="none"/>
        </w:rPr>
        <w:t>支出0万元，国内公务接待0批次，接待0人次。</w:t>
      </w:r>
    </w:p>
    <w:p w14:paraId="03743019">
      <w:pPr>
        <w:spacing w:line="578" w:lineRule="exact"/>
        <w:rPr>
          <w:rFonts w:hint="eastAsia" w:ascii="仿宋_GB2312" w:hAnsi="ˎ̥" w:eastAsia="仿宋_GB2312"/>
          <w:sz w:val="32"/>
          <w:szCs w:val="32"/>
        </w:rPr>
      </w:pPr>
      <w:r>
        <w:rPr>
          <w:rFonts w:hint="eastAsia" w:ascii="仿宋_GB2312" w:hAnsi="ˎ̥" w:eastAsia="仿宋_GB2312" w:cs="Times New Roman"/>
          <w:b/>
          <w:bCs/>
          <w:sz w:val="32"/>
          <w:szCs w:val="32"/>
          <w14:ligatures w14:val="none"/>
        </w:rPr>
        <w:t>国（境）外接待费</w:t>
      </w:r>
      <w:r>
        <w:rPr>
          <w:rFonts w:hint="eastAsia" w:ascii="仿宋_GB2312" w:hAnsi="ˎ̥" w:eastAsia="仿宋_GB2312" w:cs="Times New Roman"/>
          <w:sz w:val="32"/>
          <w:szCs w:val="32"/>
          <w14:ligatures w14:val="none"/>
        </w:rPr>
        <w:t>支出0万元，国（境）外公务接待0批次，接待0人次。公务接待费支出决算数比预算数增加（减少）0万元，增长（下降）0%。与2022年度相比，</w:t>
      </w:r>
      <w:r>
        <w:rPr>
          <w:rFonts w:hint="eastAsia" w:ascii="仿宋_GB2312" w:hAnsi="ˎ̥" w:eastAsia="仿宋_GB2312" w:cs="Times New Roman"/>
          <w:bCs/>
          <w:sz w:val="32"/>
          <w:szCs w:val="32"/>
          <w14:ligatures w14:val="none"/>
        </w:rPr>
        <w:t>公务接待费</w:t>
      </w:r>
      <w:r>
        <w:rPr>
          <w:rFonts w:hint="eastAsia" w:ascii="仿宋_GB2312" w:hAnsi="ˎ̥" w:eastAsia="仿宋_GB2312" w:cs="Times New Roman"/>
          <w:sz w:val="32"/>
          <w:szCs w:val="32"/>
          <w14:ligatures w14:val="none"/>
        </w:rPr>
        <w:t>支出增加（减少）0万元，增长（下降）0%。</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39DAFFF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仿宋_GB2312" w:hAnsi="Times New Roman" w:eastAsia="仿宋_GB2312" w:cs="Times New Roman"/>
          <w:sz w:val="32"/>
          <w:szCs w:val="32"/>
          <w14:ligatures w14:val="none"/>
        </w:rPr>
        <w:t>根据财政预算绩效管理要求，可按照如下格式说明：根据预算管理要求，我部门（单位）组织对202</w:t>
      </w:r>
      <w:r>
        <w:rPr>
          <w:rFonts w:hint="eastAsia" w:ascii="仿宋_GB2312" w:eastAsia="仿宋_GB2312" w:cs="Times New Roman"/>
          <w:sz w:val="32"/>
          <w:szCs w:val="32"/>
          <w:lang w:val="en-US" w:eastAsia="zh-CN"/>
          <w14:ligatures w14:val="none"/>
        </w:rPr>
        <w:t>4</w:t>
      </w:r>
      <w:r>
        <w:rPr>
          <w:rFonts w:hint="eastAsia" w:ascii="仿宋_GB2312" w:hAnsi="Times New Roman" w:eastAsia="仿宋_GB2312" w:cs="Times New Roman"/>
          <w:sz w:val="32"/>
          <w:szCs w:val="32"/>
          <w14:ligatures w14:val="none"/>
        </w:rPr>
        <w:t>年度一般公共预算项目支出全面开展绩效自评。其中，一级项目0个，二级项目0个，共涉及资金0万元，占一般公共预算项目支出总额的0%。组织对202</w:t>
      </w:r>
      <w:r>
        <w:rPr>
          <w:rFonts w:hint="eastAsia" w:ascii="仿宋_GB2312" w:eastAsia="仿宋_GB2312" w:cs="Times New Roman"/>
          <w:sz w:val="32"/>
          <w:szCs w:val="32"/>
          <w:lang w:val="en-US" w:eastAsia="zh-CN"/>
          <w14:ligatures w14:val="none"/>
        </w:rPr>
        <w:t>4</w:t>
      </w:r>
      <w:r>
        <w:rPr>
          <w:rFonts w:hint="eastAsia" w:ascii="仿宋_GB2312" w:hAnsi="Times New Roman" w:eastAsia="仿宋_GB2312" w:cs="Times New Roman"/>
          <w:sz w:val="32"/>
          <w:szCs w:val="32"/>
          <w14:ligatures w14:val="none"/>
        </w:rPr>
        <w:t>年度0个政府性基金预算项目开展绩效自评，共涉及资金0万元，占政府性基金预算项目支出总额的0%。组织对202</w:t>
      </w:r>
      <w:r>
        <w:rPr>
          <w:rFonts w:hint="eastAsia" w:ascii="仿宋_GB2312" w:eastAsia="仿宋_GB2312" w:cs="Times New Roman"/>
          <w:sz w:val="32"/>
          <w:szCs w:val="32"/>
          <w:lang w:val="en-US" w:eastAsia="zh-CN"/>
          <w14:ligatures w14:val="none"/>
        </w:rPr>
        <w:t>4</w:t>
      </w:r>
      <w:r>
        <w:rPr>
          <w:rFonts w:hint="eastAsia" w:ascii="仿宋_GB2312" w:hAnsi="Times New Roman" w:eastAsia="仿宋_GB2312" w:cs="Times New Roman"/>
          <w:sz w:val="32"/>
          <w:szCs w:val="32"/>
          <w14:ligatures w14:val="none"/>
        </w:rPr>
        <w:t>年度0个国有资本经营预算项目开展绩效自评，共涉及资金0万元，占国有资本经营预算项目支出总额的0%。共组织对0个项目开展了部门评价，涉及一般公共预算支出0万元，政府性基金预算支出0万元，国有资本经营预算支出0万元。完成部门整体支出绩效评价，涉及一般公共预算支出0万元，政府性基金预算支出0万元。</w:t>
      </w:r>
    </w:p>
    <w:p w14:paraId="16FFC1C7">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部门决算中项目绩效自评结果（预算部门、单位可根据实际情况反映重点项目绩效自评结果）</w:t>
      </w:r>
    </w:p>
    <w:p w14:paraId="40C032B4">
      <w:pPr>
        <w:keepNext w:val="0"/>
        <w:keepLines w:val="0"/>
        <w:pageBreakBefore w:val="0"/>
        <w:widowControl w:val="0"/>
        <w:numPr>
          <w:numId w:val="0"/>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仿宋_GB2312" w:hAnsi="Times New Roman" w:eastAsia="仿宋_GB2312" w:cs="Times New Roman"/>
          <w:sz w:val="32"/>
          <w:szCs w:val="32"/>
          <w14:ligatures w14:val="none"/>
        </w:rPr>
        <w:t>照如下格式说明（表述应与决算内容保持一致）：我部门（单位）在部门决算中反映0个项目绩效自评结果。</w:t>
      </w:r>
    </w:p>
    <w:p w14:paraId="08AEFB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2CA712D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无</w:t>
      </w:r>
    </w:p>
    <w:p w14:paraId="52EA42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339D5E0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lang w:val="en-US" w:eastAsia="zh-CN"/>
        </w:rPr>
      </w:pPr>
      <w:r>
        <w:rPr>
          <w:rFonts w:hint="eastAsia" w:ascii="黑体" w:hAnsi="黑体" w:eastAsia="黑体" w:cs="黑体"/>
          <w:b w:val="0"/>
          <w:bCs/>
          <w:sz w:val="32"/>
          <w:szCs w:val="32"/>
          <w:lang w:val="en-US" w:eastAsia="zh-CN"/>
        </w:rPr>
        <w:t>无</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565_WPSOffice_Level2"/>
      <w:bookmarkStart w:id="96" w:name="_Toc18325_WPSOffice_Level2"/>
      <w:bookmarkStart w:id="97" w:name="_Toc32639_WPSOffice_Level2"/>
      <w:bookmarkStart w:id="98" w:name="_Toc5978_WPSOffice_Level2"/>
      <w:bookmarkStart w:id="99" w:name="_Toc15262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3938F2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三亚市海棠区藤海小学</w:t>
      </w:r>
      <w:r>
        <w:rPr>
          <w:rFonts w:hint="eastAsia" w:ascii="仿宋_GB2312" w:hAnsi="ˎ̥" w:eastAsia="仿宋_GB2312"/>
          <w:sz w:val="32"/>
          <w:szCs w:val="32"/>
        </w:rPr>
        <w:t>机关运行经费万</w:t>
      </w:r>
      <w:r>
        <w:rPr>
          <w:rFonts w:hint="eastAsia" w:ascii="仿宋_GB2312" w:hAnsi="ˎ̥" w:eastAsia="仿宋_GB2312"/>
          <w:sz w:val="32"/>
          <w:szCs w:val="32"/>
          <w:lang w:val="en-US" w:eastAsia="zh-CN"/>
        </w:rPr>
        <w:t>0</w:t>
      </w:r>
      <w:r>
        <w:rPr>
          <w:rFonts w:hint="eastAsia" w:ascii="仿宋_GB2312" w:hAnsi="ˎ̥" w:eastAsia="仿宋_GB2312"/>
          <w:sz w:val="32"/>
          <w:szCs w:val="32"/>
        </w:rPr>
        <w:t>元（为部门决算中行政单位和参公事业单位财政拨款基本支出中公用经费支出之和，事业单位没有机关运行经费支出），比年初预算增加（减少）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增长（下降）0%。</w:t>
      </w:r>
      <w:r>
        <w:rPr>
          <w:rFonts w:hint="eastAsia" w:ascii="仿宋_GB2312" w:hAnsi="ˎ̥" w:eastAsia="仿宋_GB2312"/>
          <w:sz w:val="32"/>
          <w:szCs w:val="32"/>
        </w:rPr>
        <w:t>主要原因是：</w:t>
      </w:r>
      <w:r>
        <w:rPr>
          <w:rFonts w:hint="eastAsia" w:ascii="仿宋_GB2312" w:hAnsi="ˎ̥" w:eastAsia="仿宋_GB2312"/>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sz w:val="32"/>
          <w:szCs w:val="32"/>
          <w:lang w:val="en-US" w:eastAsia="zh-CN" w:bidi="ar"/>
        </w:rPr>
        <w:t>0</w:t>
      </w:r>
      <w:r>
        <w:rPr>
          <w:rFonts w:hint="eastAsia" w:ascii="仿宋_GB2312" w:hAnsi="ˎ̥" w:eastAsia="仿宋_GB2312"/>
          <w:sz w:val="32"/>
          <w:szCs w:val="32"/>
          <w:lang w:bidi="ar"/>
        </w:rPr>
        <w:t>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14:paraId="100BBB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0383_WPSOffice_Level2"/>
      <w:bookmarkStart w:id="102" w:name="_Toc32689_WPSOffice_Level2"/>
      <w:bookmarkStart w:id="103" w:name="_Toc23966_WPSOffice_Level2"/>
      <w:bookmarkStart w:id="104" w:name="_Toc25333_WPSOffice_Level2"/>
      <w:bookmarkStart w:id="105" w:name="_Toc3131_WPSOffice_Level2"/>
      <w:bookmarkStart w:id="106" w:name="_Toc13084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25335D4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三亚市海棠区藤海小学</w:t>
      </w:r>
      <w:r>
        <w:rPr>
          <w:rFonts w:hint="eastAsia" w:ascii="仿宋_GB2312" w:hAnsi="ˎ̥" w:eastAsia="仿宋_GB2312"/>
          <w:sz w:val="32"/>
          <w:szCs w:val="32"/>
        </w:rPr>
        <w:t>政府采购支出总额</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w:t>
      </w:r>
      <w:r>
        <w:rPr>
          <w:rFonts w:hint="eastAsia" w:ascii="仿宋_GB2312" w:hAnsi="ˎ̥" w:eastAsia="仿宋_GB2312"/>
          <w:sz w:val="32"/>
          <w:szCs w:val="32"/>
        </w:rPr>
        <w:t>%。</w:t>
      </w:r>
    </w:p>
    <w:p w14:paraId="5D7FFAF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5129_WPSOffice_Level2"/>
      <w:bookmarkStart w:id="108" w:name="_Toc6016_WPSOffice_Level2"/>
      <w:bookmarkStart w:id="109" w:name="_Toc29584_WPSOffice_Level2"/>
      <w:bookmarkStart w:id="110" w:name="_Toc10902_WPSOffice_Level2"/>
      <w:bookmarkStart w:id="111" w:name="_Toc527_WPSOffice_Level2"/>
      <w:bookmarkStart w:id="112" w:name="_Toc19989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1171</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1E9C7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14:paraId="378F91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p>
    <w:p w14:paraId="0B1A3A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20F5AB1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15425_WPSOffice_Level1"/>
      <w:bookmarkStart w:id="114" w:name="_Toc17580_WPSOffice_Level1"/>
      <w:bookmarkStart w:id="115" w:name="_Toc8874_WPSOffice_Level1"/>
      <w:bookmarkStart w:id="116" w:name="_Toc8808_WPSOffice_Level1"/>
      <w:bookmarkStart w:id="117" w:name="_Toc4398_WPSOffice_Level1"/>
      <w:bookmarkStart w:id="118" w:name="_Toc11039_WPSOffice_Level1"/>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7DE82BE3">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14:paraId="7B40D618">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8C43574"/>
    <w:multiLevelType w:val="singleLevel"/>
    <w:tmpl w:val="08C43574"/>
    <w:lvl w:ilvl="0" w:tentative="0">
      <w:start w:val="1"/>
      <w:numFmt w:val="chineseCounting"/>
      <w:suff w:val="nothing"/>
      <w:lvlText w:val="%1、"/>
      <w:lvlJc w:val="left"/>
      <w:rPr>
        <w:rFonts w:hint="eastAsia"/>
      </w:rPr>
    </w:lvl>
  </w:abstractNum>
  <w:abstractNum w:abstractNumId="2">
    <w:nsid w:val="614A5B5B"/>
    <w:multiLevelType w:val="singleLevel"/>
    <w:tmpl w:val="614A5B5B"/>
    <w:lvl w:ilvl="0" w:tentative="0">
      <w:start w:val="2"/>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45E352B"/>
    <w:rsid w:val="09201287"/>
    <w:rsid w:val="0FC80124"/>
    <w:rsid w:val="136F98C7"/>
    <w:rsid w:val="17427E68"/>
    <w:rsid w:val="1755065F"/>
    <w:rsid w:val="1AFC29C9"/>
    <w:rsid w:val="1CA52F2E"/>
    <w:rsid w:val="1E3630B9"/>
    <w:rsid w:val="26EEC2B5"/>
    <w:rsid w:val="29472309"/>
    <w:rsid w:val="2B406E77"/>
    <w:rsid w:val="2C2A0C43"/>
    <w:rsid w:val="2D1E73A5"/>
    <w:rsid w:val="32717154"/>
    <w:rsid w:val="34B63260"/>
    <w:rsid w:val="366C4FC4"/>
    <w:rsid w:val="37FDA7E2"/>
    <w:rsid w:val="387B504A"/>
    <w:rsid w:val="3A314D88"/>
    <w:rsid w:val="3A746883"/>
    <w:rsid w:val="3CA15DE9"/>
    <w:rsid w:val="3FE61EE5"/>
    <w:rsid w:val="406508EE"/>
    <w:rsid w:val="408D6263"/>
    <w:rsid w:val="41B40CEE"/>
    <w:rsid w:val="48317291"/>
    <w:rsid w:val="485F7024"/>
    <w:rsid w:val="48E70666"/>
    <w:rsid w:val="49C600F0"/>
    <w:rsid w:val="4C6877E5"/>
    <w:rsid w:val="4D6A468D"/>
    <w:rsid w:val="4DD53657"/>
    <w:rsid w:val="4EA86137"/>
    <w:rsid w:val="56CA7FD0"/>
    <w:rsid w:val="57FA38D1"/>
    <w:rsid w:val="5ED15115"/>
    <w:rsid w:val="5F7D3333"/>
    <w:rsid w:val="61385890"/>
    <w:rsid w:val="614B11AE"/>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7196</Words>
  <Characters>8087</Characters>
  <Lines>67</Lines>
  <Paragraphs>18</Paragraphs>
  <TotalTime>0</TotalTime>
  <ScaleCrop>false</ScaleCrop>
  <LinksUpToDate>false</LinksUpToDate>
  <CharactersWithSpaces>8173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qzuser</cp:lastModifiedBy>
  <cp:lastPrinted>2023-08-03T00:58:00Z</cp:lastPrinted>
  <dcterms:modified xsi:type="dcterms:W3CDTF">2025-09-30T08:25:51Z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7AC425F5951B4D02955C0D4E66F6495B_13</vt:lpwstr>
  </property>
  <property fmtid="{D5CDD505-2E9C-101B-9397-08002B2CF9AE}" pid="4" name="KSOTemplateDocerSaveRecord">
    <vt:lpwstr>eyJoZGlkIjoiMjNkMjkxZDNhNzBkNTU2NzNhODlkMzA0ODgyN2Y1NDgiLCJ1c2VySWQiOiIzMjUwODUyOTAifQ==</vt:lpwstr>
  </property>
</Properties>
</file>