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三亚市海棠区进士中学2024年度部门决算公开报告</w:t>
      </w:r>
    </w:p>
    <w:p>
      <w:pPr>
        <w:spacing w:line="578" w:lineRule="exact"/>
        <w:jc w:val="center"/>
        <w:rPr>
          <w:rFonts w:hint="eastAsia" w:ascii="黑体" w:hAnsi="ˎ̥" w:eastAsia="黑体"/>
          <w:b/>
          <w:color w:val="000000" w:themeColor="text1"/>
          <w:sz w:val="32"/>
          <w:szCs w:val="32"/>
          <w14:textFill>
            <w14:solidFill>
              <w14:schemeClr w14:val="tx1"/>
            </w14:solidFill>
          </w14:textFill>
        </w:rPr>
      </w:pPr>
    </w:p>
    <w:p>
      <w:pPr>
        <w:spacing w:line="578" w:lineRule="exact"/>
        <w:jc w:val="center"/>
        <w:rPr>
          <w:rFonts w:hint="eastAsia" w:ascii="黑体" w:hAnsi="黑体" w:eastAsia="黑体" w:cs="黑体"/>
          <w:color w:val="000000" w:themeColor="text1"/>
          <w:sz w:val="44"/>
          <w:szCs w:val="44"/>
          <w14:textFill>
            <w14:solidFill>
              <w14:schemeClr w14:val="tx1"/>
            </w14:solidFill>
          </w14:textFill>
        </w:rPr>
      </w:pPr>
      <w:bookmarkStart w:id="0" w:name="_Toc11440_WPSOffice_Type2"/>
      <w:r>
        <w:rPr>
          <w:rFonts w:hint="eastAsia" w:ascii="黑体" w:hAnsi="黑体" w:eastAsia="黑体" w:cs="黑体"/>
          <w:color w:val="000000" w:themeColor="text1"/>
          <w:sz w:val="44"/>
          <w:szCs w:val="44"/>
          <w14:textFill>
            <w14:solidFill>
              <w14:schemeClr w14:val="tx1"/>
            </w14:solidFill>
          </w14:textFill>
        </w:rPr>
        <w:t>目  录</w:t>
      </w:r>
    </w:p>
    <w:p>
      <w:pPr>
        <w:pStyle w:val="15"/>
        <w:tabs>
          <w:tab w:val="right" w:leader="dot" w:pos="8306"/>
        </w:tabs>
        <w:spacing w:line="578" w:lineRule="exact"/>
        <w:jc w:val="center"/>
        <w:rPr>
          <w:rFonts w:hint="eastAsia"/>
          <w:color w:val="000000" w:themeColor="text1"/>
          <w:sz w:val="32"/>
          <w:szCs w:val="32"/>
          <w14:textFill>
            <w14:solidFill>
              <w14:schemeClr w14:val="tx1"/>
            </w14:solidFill>
          </w14:textFill>
        </w:rPr>
      </w:pPr>
      <w:r>
        <w:rPr>
          <w:color w:val="000000" w:themeColor="text1"/>
          <w:sz w:val="32"/>
          <w:szCs w:val="32"/>
          <w14:textFill>
            <w14:solidFill>
              <w14:schemeClr w14:val="tx1"/>
            </w14:solidFill>
          </w14:textFill>
        </w:rPr>
        <w:fldChar w:fldCharType="begin"/>
      </w:r>
      <w:r>
        <w:rPr>
          <w:color w:val="000000" w:themeColor="text1"/>
          <w:sz w:val="32"/>
          <w:szCs w:val="32"/>
          <w14:textFill>
            <w14:solidFill>
              <w14:schemeClr w14:val="tx1"/>
            </w14:solidFill>
          </w14:textFill>
        </w:rPr>
        <w:instrText xml:space="preserve"> HYPERLINK \l _Toc1704_WPSOffice_Level1 </w:instrText>
      </w:r>
      <w:r>
        <w:rPr>
          <w:color w:val="000000" w:themeColor="text1"/>
          <w:sz w:val="32"/>
          <w:szCs w:val="32"/>
          <w14:textFill>
            <w14:solidFill>
              <w14:schemeClr w14:val="tx1"/>
            </w14:solidFill>
          </w14:textFill>
        </w:rPr>
        <w:fldChar w:fldCharType="separate"/>
      </w:r>
      <w:r>
        <w:rPr>
          <w:rFonts w:hint="eastAsia" w:ascii="黑体" w:hAnsi="ˎ̥" w:eastAsia="黑体"/>
          <w:color w:val="000000" w:themeColor="text1"/>
          <w:sz w:val="32"/>
          <w:szCs w:val="32"/>
          <w14:textFill>
            <w14:solidFill>
              <w14:schemeClr w14:val="tx1"/>
            </w14:solidFill>
          </w14:textFill>
        </w:rPr>
        <w:t>第一部分 基本情况</w:t>
      </w:r>
      <w:r>
        <w:rPr>
          <w:color w:val="000000" w:themeColor="text1"/>
          <w:sz w:val="32"/>
          <w:szCs w:val="32"/>
          <w14:textFill>
            <w14:solidFill>
              <w14:schemeClr w14:val="tx1"/>
            </w14:solidFill>
          </w14:textFill>
        </w:rPr>
        <w:tab/>
      </w:r>
      <w:r>
        <w:rPr>
          <w:color w:val="000000" w:themeColor="text1"/>
          <w:sz w:val="32"/>
          <w:szCs w:val="32"/>
          <w14:textFill>
            <w14:solidFill>
              <w14:schemeClr w14:val="tx1"/>
            </w14:solidFill>
          </w14:textFill>
        </w:rPr>
        <w:fldChar w:fldCharType="end"/>
      </w:r>
      <w:r>
        <w:rPr>
          <w:rFonts w:hint="eastAsia"/>
          <w:color w:val="000000" w:themeColor="text1"/>
          <w:sz w:val="32"/>
          <w:szCs w:val="32"/>
          <w14:textFill>
            <w14:solidFill>
              <w14:schemeClr w14:val="tx1"/>
            </w14:solidFill>
          </w14:textFill>
        </w:rPr>
        <w:t>2</w:t>
      </w:r>
    </w:p>
    <w:p>
      <w:pPr>
        <w:pStyle w:val="16"/>
        <w:tabs>
          <w:tab w:val="right" w:leader="dot" w:pos="8306"/>
        </w:tabs>
        <w:spacing w:line="578" w:lineRule="exact"/>
        <w:ind w:leftChars="0"/>
        <w:jc w:val="cente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fldChar w:fldCharType="begin"/>
      </w:r>
      <w:r>
        <w:rPr>
          <w:rFonts w:hint="eastAsia" w:ascii="仿宋" w:hAnsi="仿宋" w:eastAsia="仿宋" w:cs="仿宋"/>
          <w:color w:val="000000" w:themeColor="text1"/>
          <w:sz w:val="32"/>
          <w:szCs w:val="32"/>
          <w14:textFill>
            <w14:solidFill>
              <w14:schemeClr w14:val="tx1"/>
            </w14:solidFill>
          </w14:textFill>
        </w:rPr>
        <w:instrText xml:space="preserve"> HYPERLINK \l _Toc20274_WPSOffice_Level2 </w:instrText>
      </w:r>
      <w:r>
        <w:rPr>
          <w:rFonts w:hint="eastAsia" w:ascii="仿宋" w:hAnsi="仿宋" w:eastAsia="仿宋" w:cs="仿宋"/>
          <w:color w:val="000000" w:themeColor="text1"/>
          <w:sz w:val="32"/>
          <w:szCs w:val="32"/>
          <w14:textFill>
            <w14:solidFill>
              <w14:schemeClr w14:val="tx1"/>
            </w14:solidFill>
          </w14:textFill>
        </w:rPr>
        <w:fldChar w:fldCharType="separate"/>
      </w:r>
      <w:r>
        <w:rPr>
          <w:rFonts w:hint="eastAsia" w:ascii="仿宋" w:hAnsi="仿宋" w:eastAsia="仿宋" w:cs="仿宋"/>
          <w:color w:val="000000" w:themeColor="text1"/>
          <w:sz w:val="32"/>
          <w:szCs w:val="32"/>
          <w14:textFill>
            <w14:solidFill>
              <w14:schemeClr w14:val="tx1"/>
            </w14:solidFill>
          </w14:textFill>
        </w:rPr>
        <w:t>一、单位职责</w:t>
      </w:r>
      <w:r>
        <w:rPr>
          <w:rFonts w:hint="eastAsia" w:ascii="仿宋" w:hAnsi="仿宋" w:eastAsia="仿宋" w:cs="仿宋"/>
          <w:color w:val="000000" w:themeColor="text1"/>
          <w:sz w:val="32"/>
          <w:szCs w:val="32"/>
          <w14:textFill>
            <w14:solidFill>
              <w14:schemeClr w14:val="tx1"/>
            </w14:solidFill>
          </w14:textFill>
        </w:rPr>
        <w:tab/>
      </w:r>
      <w:r>
        <w:rPr>
          <w:rFonts w:hint="eastAsia" w:ascii="仿宋" w:hAnsi="仿宋" w:eastAsia="仿宋" w:cs="仿宋"/>
          <w:color w:val="000000" w:themeColor="text1"/>
          <w:sz w:val="32"/>
          <w:szCs w:val="32"/>
          <w14:textFill>
            <w14:solidFill>
              <w14:schemeClr w14:val="tx1"/>
            </w14:solidFill>
          </w14:textFill>
        </w:rPr>
        <w:fldChar w:fldCharType="end"/>
      </w:r>
      <w:r>
        <w:rPr>
          <w:rFonts w:hint="eastAsia" w:ascii="仿宋" w:hAnsi="仿宋" w:eastAsia="仿宋" w:cs="仿宋"/>
          <w:color w:val="000000" w:themeColor="text1"/>
          <w:sz w:val="32"/>
          <w:szCs w:val="32"/>
          <w14:textFill>
            <w14:solidFill>
              <w14:schemeClr w14:val="tx1"/>
            </w14:solidFill>
          </w14:textFill>
        </w:rPr>
        <w:t>2</w:t>
      </w:r>
    </w:p>
    <w:p>
      <w:pPr>
        <w:pStyle w:val="16"/>
        <w:tabs>
          <w:tab w:val="right" w:leader="dot" w:pos="8306"/>
        </w:tabs>
        <w:spacing w:line="578" w:lineRule="exact"/>
        <w:ind w:leftChars="0"/>
        <w:jc w:val="cente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fldChar w:fldCharType="begin"/>
      </w:r>
      <w:r>
        <w:rPr>
          <w:rFonts w:hint="eastAsia" w:ascii="仿宋" w:hAnsi="仿宋" w:eastAsia="仿宋" w:cs="仿宋"/>
          <w:color w:val="000000" w:themeColor="text1"/>
          <w:sz w:val="32"/>
          <w:szCs w:val="32"/>
          <w14:textFill>
            <w14:solidFill>
              <w14:schemeClr w14:val="tx1"/>
            </w14:solidFill>
          </w14:textFill>
        </w:rPr>
        <w:instrText xml:space="preserve"> HYPERLINK \l _Toc4833_WPSOffice_Level2 </w:instrText>
      </w:r>
      <w:r>
        <w:rPr>
          <w:rFonts w:hint="eastAsia" w:ascii="仿宋" w:hAnsi="仿宋" w:eastAsia="仿宋" w:cs="仿宋"/>
          <w:color w:val="000000" w:themeColor="text1"/>
          <w:sz w:val="32"/>
          <w:szCs w:val="32"/>
          <w14:textFill>
            <w14:solidFill>
              <w14:schemeClr w14:val="tx1"/>
            </w14:solidFill>
          </w14:textFill>
        </w:rPr>
        <w:fldChar w:fldCharType="separate"/>
      </w:r>
      <w:r>
        <w:rPr>
          <w:rFonts w:hint="eastAsia" w:ascii="仿宋" w:hAnsi="仿宋" w:eastAsia="仿宋" w:cs="仿宋"/>
          <w:color w:val="000000" w:themeColor="text1"/>
          <w:sz w:val="32"/>
          <w:szCs w:val="32"/>
          <w14:textFill>
            <w14:solidFill>
              <w14:schemeClr w14:val="tx1"/>
            </w14:solidFill>
          </w14:textFill>
        </w:rPr>
        <w:t>二、机构设置</w:t>
      </w:r>
      <w:r>
        <w:rPr>
          <w:rFonts w:hint="eastAsia" w:ascii="仿宋" w:hAnsi="仿宋" w:eastAsia="仿宋" w:cs="仿宋"/>
          <w:color w:val="000000" w:themeColor="text1"/>
          <w:sz w:val="32"/>
          <w:szCs w:val="32"/>
          <w14:textFill>
            <w14:solidFill>
              <w14:schemeClr w14:val="tx1"/>
            </w14:solidFill>
          </w14:textFill>
        </w:rPr>
        <w:tab/>
      </w:r>
      <w:r>
        <w:rPr>
          <w:rFonts w:hint="eastAsia" w:ascii="仿宋" w:hAnsi="仿宋" w:eastAsia="仿宋" w:cs="仿宋"/>
          <w:color w:val="000000" w:themeColor="text1"/>
          <w:sz w:val="32"/>
          <w:szCs w:val="32"/>
          <w14:textFill>
            <w14:solidFill>
              <w14:schemeClr w14:val="tx1"/>
            </w14:solidFill>
          </w14:textFill>
        </w:rPr>
        <w:fldChar w:fldCharType="end"/>
      </w:r>
      <w:r>
        <w:rPr>
          <w:rFonts w:hint="eastAsia" w:ascii="仿宋" w:hAnsi="仿宋" w:eastAsia="仿宋" w:cs="仿宋"/>
          <w:color w:val="000000" w:themeColor="text1"/>
          <w:sz w:val="32"/>
          <w:szCs w:val="32"/>
          <w14:textFill>
            <w14:solidFill>
              <w14:schemeClr w14:val="tx1"/>
            </w14:solidFill>
          </w14:textFill>
        </w:rPr>
        <w:t>2</w:t>
      </w:r>
    </w:p>
    <w:p>
      <w:pPr>
        <w:pStyle w:val="15"/>
        <w:tabs>
          <w:tab w:val="right" w:leader="dot" w:pos="8306"/>
        </w:tabs>
        <w:spacing w:line="578" w:lineRule="exact"/>
        <w:jc w:val="center"/>
        <w:rPr>
          <w:rFonts w:hint="eastAsia"/>
          <w:color w:val="000000" w:themeColor="text1"/>
          <w:sz w:val="32"/>
          <w:szCs w:val="32"/>
          <w14:textFill>
            <w14:solidFill>
              <w14:schemeClr w14:val="tx1"/>
            </w14:solidFill>
          </w14:textFill>
        </w:rPr>
      </w:pPr>
      <w:r>
        <w:rPr>
          <w:color w:val="000000" w:themeColor="text1"/>
          <w:sz w:val="32"/>
          <w:szCs w:val="32"/>
          <w14:textFill>
            <w14:solidFill>
              <w14:schemeClr w14:val="tx1"/>
            </w14:solidFill>
          </w14:textFill>
        </w:rPr>
        <w:fldChar w:fldCharType="begin"/>
      </w:r>
      <w:r>
        <w:rPr>
          <w:color w:val="000000" w:themeColor="text1"/>
          <w:sz w:val="32"/>
          <w:szCs w:val="32"/>
          <w14:textFill>
            <w14:solidFill>
              <w14:schemeClr w14:val="tx1"/>
            </w14:solidFill>
          </w14:textFill>
        </w:rPr>
        <w:instrText xml:space="preserve"> HYPERLINK \l _Toc28253_WPSOffice_Level1 </w:instrText>
      </w:r>
      <w:r>
        <w:rPr>
          <w:color w:val="000000" w:themeColor="text1"/>
          <w:sz w:val="32"/>
          <w:szCs w:val="32"/>
          <w14:textFill>
            <w14:solidFill>
              <w14:schemeClr w14:val="tx1"/>
            </w14:solidFill>
          </w14:textFill>
        </w:rPr>
        <w:fldChar w:fldCharType="separate"/>
      </w:r>
      <w:r>
        <w:rPr>
          <w:rFonts w:hint="eastAsia" w:ascii="黑体" w:hAnsi="ˎ̥" w:eastAsia="黑体"/>
          <w:color w:val="000000" w:themeColor="text1"/>
          <w:sz w:val="32"/>
          <w:szCs w:val="32"/>
          <w14:textFill>
            <w14:solidFill>
              <w14:schemeClr w14:val="tx1"/>
            </w14:solidFill>
          </w14:textFill>
        </w:rPr>
        <w:t xml:space="preserve">第二部分  </w:t>
      </w:r>
      <w:r>
        <w:rPr>
          <w:rFonts w:hint="default" w:ascii="黑体" w:hAnsi="ˎ̥" w:eastAsia="黑体"/>
          <w:color w:val="000000" w:themeColor="text1"/>
          <w:sz w:val="32"/>
          <w:szCs w:val="32"/>
          <w:lang w:val="en-US"/>
          <w14:textFill>
            <w14:solidFill>
              <w14:schemeClr w14:val="tx1"/>
            </w14:solidFill>
          </w14:textFill>
        </w:rPr>
        <w:t>2024</w:t>
      </w:r>
      <w:r>
        <w:rPr>
          <w:rFonts w:hint="eastAsia" w:ascii="黑体" w:hAnsi="ˎ̥" w:eastAsia="黑体"/>
          <w:color w:val="000000" w:themeColor="text1"/>
          <w:sz w:val="32"/>
          <w:szCs w:val="32"/>
          <w14:textFill>
            <w14:solidFill>
              <w14:schemeClr w14:val="tx1"/>
            </w14:solidFill>
          </w14:textFill>
        </w:rPr>
        <w:t>年度部门决算公开表</w:t>
      </w:r>
      <w:r>
        <w:rPr>
          <w:color w:val="000000" w:themeColor="text1"/>
          <w:sz w:val="32"/>
          <w:szCs w:val="32"/>
          <w14:textFill>
            <w14:solidFill>
              <w14:schemeClr w14:val="tx1"/>
            </w14:solidFill>
          </w14:textFill>
        </w:rPr>
        <w:tab/>
      </w:r>
      <w:r>
        <w:rPr>
          <w:color w:val="000000" w:themeColor="text1"/>
          <w:sz w:val="32"/>
          <w:szCs w:val="32"/>
          <w14:textFill>
            <w14:solidFill>
              <w14:schemeClr w14:val="tx1"/>
            </w14:solidFill>
          </w14:textFill>
        </w:rPr>
        <w:fldChar w:fldCharType="end"/>
      </w:r>
      <w:r>
        <w:rPr>
          <w:rFonts w:hint="eastAsia"/>
          <w:color w:val="000000" w:themeColor="text1"/>
          <w:sz w:val="32"/>
          <w:szCs w:val="32"/>
          <w14:textFill>
            <w14:solidFill>
              <w14:schemeClr w14:val="tx1"/>
            </w14:solidFill>
          </w14:textFill>
        </w:rPr>
        <w:t>2</w:t>
      </w:r>
    </w:p>
    <w:p>
      <w:pPr>
        <w:pStyle w:val="15"/>
        <w:tabs>
          <w:tab w:val="right" w:leader="dot" w:pos="8306"/>
        </w:tabs>
        <w:spacing w:line="578" w:lineRule="exact"/>
        <w:jc w:val="center"/>
        <w:rPr>
          <w:rFonts w:hint="eastAsia"/>
          <w:color w:val="000000" w:themeColor="text1"/>
          <w:sz w:val="32"/>
          <w:szCs w:val="32"/>
          <w14:textFill>
            <w14:solidFill>
              <w14:schemeClr w14:val="tx1"/>
            </w14:solidFill>
          </w14:textFill>
        </w:rPr>
      </w:pPr>
      <w:r>
        <w:rPr>
          <w:color w:val="000000" w:themeColor="text1"/>
          <w:sz w:val="32"/>
          <w:szCs w:val="32"/>
          <w14:textFill>
            <w14:solidFill>
              <w14:schemeClr w14:val="tx1"/>
            </w14:solidFill>
          </w14:textFill>
        </w:rPr>
        <w:fldChar w:fldCharType="begin"/>
      </w:r>
      <w:r>
        <w:rPr>
          <w:color w:val="000000" w:themeColor="text1"/>
          <w:sz w:val="32"/>
          <w:szCs w:val="32"/>
          <w14:textFill>
            <w14:solidFill>
              <w14:schemeClr w14:val="tx1"/>
            </w14:solidFill>
          </w14:textFill>
        </w:rPr>
        <w:instrText xml:space="preserve"> HYPERLINK \l _Toc27590_WPSOffice_Level1 </w:instrText>
      </w:r>
      <w:r>
        <w:rPr>
          <w:color w:val="000000" w:themeColor="text1"/>
          <w:sz w:val="32"/>
          <w:szCs w:val="32"/>
          <w14:textFill>
            <w14:solidFill>
              <w14:schemeClr w14:val="tx1"/>
            </w14:solidFill>
          </w14:textFill>
        </w:rPr>
        <w:fldChar w:fldCharType="separate"/>
      </w:r>
      <w:r>
        <w:rPr>
          <w:rFonts w:hint="eastAsia" w:ascii="黑体" w:hAnsi="黑体" w:eastAsia="黑体" w:cs="黑体"/>
          <w:color w:val="000000" w:themeColor="text1"/>
          <w:sz w:val="32"/>
          <w:szCs w:val="32"/>
          <w14:textFill>
            <w14:solidFill>
              <w14:schemeClr w14:val="tx1"/>
            </w14:solidFill>
          </w14:textFill>
        </w:rPr>
        <w:t>第三部分</w:t>
      </w:r>
      <w:r>
        <w:rPr>
          <w:rFonts w:hint="eastAsia"/>
          <w:color w:val="000000" w:themeColor="text1"/>
          <w:sz w:val="32"/>
          <w:szCs w:val="32"/>
          <w14:textFill>
            <w14:solidFill>
              <w14:schemeClr w14:val="tx1"/>
            </w14:solidFill>
          </w14:textFill>
        </w:rPr>
        <w:t xml:space="preserve">  </w:t>
      </w:r>
      <w:r>
        <w:rPr>
          <w:rFonts w:hint="default" w:ascii="黑体" w:hAnsi="ˎ̥" w:eastAsia="黑体"/>
          <w:color w:val="000000" w:themeColor="text1"/>
          <w:sz w:val="32"/>
          <w:szCs w:val="32"/>
          <w:lang w:val="en-US"/>
          <w14:textFill>
            <w14:solidFill>
              <w14:schemeClr w14:val="tx1"/>
            </w14:solidFill>
          </w14:textFill>
        </w:rPr>
        <w:t>2024</w:t>
      </w:r>
      <w:r>
        <w:rPr>
          <w:rFonts w:hint="eastAsia" w:ascii="黑体" w:hAnsi="ˎ̥" w:eastAsia="黑体"/>
          <w:color w:val="000000" w:themeColor="text1"/>
          <w:sz w:val="32"/>
          <w:szCs w:val="32"/>
          <w14:textFill>
            <w14:solidFill>
              <w14:schemeClr w14:val="tx1"/>
            </w14:solidFill>
          </w14:textFill>
        </w:rPr>
        <w:t>年度部门决算情况说明</w:t>
      </w:r>
      <w:r>
        <w:rPr>
          <w:color w:val="000000" w:themeColor="text1"/>
          <w:sz w:val="32"/>
          <w:szCs w:val="32"/>
          <w14:textFill>
            <w14:solidFill>
              <w14:schemeClr w14:val="tx1"/>
            </w14:solidFill>
          </w14:textFill>
        </w:rPr>
        <w:tab/>
      </w:r>
      <w:r>
        <w:rPr>
          <w:color w:val="000000" w:themeColor="text1"/>
          <w:sz w:val="32"/>
          <w:szCs w:val="32"/>
          <w14:textFill>
            <w14:solidFill>
              <w14:schemeClr w14:val="tx1"/>
            </w14:solidFill>
          </w14:textFill>
        </w:rPr>
        <w:fldChar w:fldCharType="end"/>
      </w:r>
      <w:r>
        <w:rPr>
          <w:rFonts w:hint="eastAsia"/>
          <w:color w:val="000000" w:themeColor="text1"/>
          <w:sz w:val="32"/>
          <w:szCs w:val="32"/>
          <w14:textFill>
            <w14:solidFill>
              <w14:schemeClr w14:val="tx1"/>
            </w14:solidFill>
          </w14:textFill>
        </w:rPr>
        <w:t>3</w:t>
      </w:r>
    </w:p>
    <w:p>
      <w:pPr>
        <w:pStyle w:val="16"/>
        <w:tabs>
          <w:tab w:val="right" w:leader="dot" w:pos="8306"/>
        </w:tabs>
        <w:spacing w:line="578" w:lineRule="exact"/>
        <w:ind w:leftChars="0"/>
        <w:jc w:val="cente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fldChar w:fldCharType="begin"/>
      </w:r>
      <w:r>
        <w:rPr>
          <w:rFonts w:hint="eastAsia" w:ascii="仿宋" w:hAnsi="仿宋" w:eastAsia="仿宋" w:cs="仿宋"/>
          <w:color w:val="000000" w:themeColor="text1"/>
          <w:sz w:val="32"/>
          <w:szCs w:val="32"/>
          <w14:textFill>
            <w14:solidFill>
              <w14:schemeClr w14:val="tx1"/>
            </w14:solidFill>
          </w14:textFill>
        </w:rPr>
        <w:instrText xml:space="preserve"> HYPERLINK \l _Toc21737_WPSOffice_Level2 </w:instrText>
      </w:r>
      <w:r>
        <w:rPr>
          <w:rFonts w:hint="eastAsia" w:ascii="仿宋" w:hAnsi="仿宋" w:eastAsia="仿宋" w:cs="仿宋"/>
          <w:color w:val="000000" w:themeColor="text1"/>
          <w:sz w:val="32"/>
          <w:szCs w:val="32"/>
          <w14:textFill>
            <w14:solidFill>
              <w14:schemeClr w14:val="tx1"/>
            </w14:solidFill>
          </w14:textFill>
        </w:rPr>
        <w:fldChar w:fldCharType="separate"/>
      </w:r>
      <w:r>
        <w:rPr>
          <w:rFonts w:hint="eastAsia" w:ascii="仿宋" w:hAnsi="仿宋" w:eastAsia="仿宋" w:cs="仿宋"/>
          <w:bCs/>
          <w:color w:val="000000" w:themeColor="text1"/>
          <w:sz w:val="32"/>
          <w:szCs w:val="32"/>
          <w14:textFill>
            <w14:solidFill>
              <w14:schemeClr w14:val="tx1"/>
            </w14:solidFill>
          </w14:textFill>
        </w:rPr>
        <w:t>一、收入支出总体情况说明</w:t>
      </w:r>
      <w:r>
        <w:rPr>
          <w:rFonts w:hint="eastAsia" w:ascii="仿宋" w:hAnsi="仿宋" w:eastAsia="仿宋" w:cs="仿宋"/>
          <w:color w:val="000000" w:themeColor="text1"/>
          <w:sz w:val="32"/>
          <w:szCs w:val="32"/>
          <w14:textFill>
            <w14:solidFill>
              <w14:schemeClr w14:val="tx1"/>
            </w14:solidFill>
          </w14:textFill>
        </w:rPr>
        <w:tab/>
      </w:r>
      <w:r>
        <w:rPr>
          <w:rFonts w:hint="eastAsia" w:ascii="仿宋" w:hAnsi="仿宋" w:eastAsia="仿宋" w:cs="仿宋"/>
          <w:color w:val="000000" w:themeColor="text1"/>
          <w:sz w:val="32"/>
          <w:szCs w:val="32"/>
          <w14:textFill>
            <w14:solidFill>
              <w14:schemeClr w14:val="tx1"/>
            </w14:solidFill>
          </w14:textFill>
        </w:rPr>
        <w:fldChar w:fldCharType="end"/>
      </w:r>
      <w:r>
        <w:rPr>
          <w:rFonts w:hint="eastAsia" w:ascii="仿宋" w:hAnsi="仿宋" w:eastAsia="仿宋" w:cs="仿宋"/>
          <w:color w:val="000000" w:themeColor="text1"/>
          <w:sz w:val="32"/>
          <w:szCs w:val="32"/>
          <w14:textFill>
            <w14:solidFill>
              <w14:schemeClr w14:val="tx1"/>
            </w14:solidFill>
          </w14:textFill>
        </w:rPr>
        <w:t>3</w:t>
      </w:r>
    </w:p>
    <w:p>
      <w:pPr>
        <w:pStyle w:val="16"/>
        <w:tabs>
          <w:tab w:val="right" w:leader="dot" w:pos="8306"/>
        </w:tabs>
        <w:spacing w:line="578" w:lineRule="exact"/>
        <w:ind w:leftChars="0"/>
        <w:jc w:val="cente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fldChar w:fldCharType="begin"/>
      </w:r>
      <w:r>
        <w:rPr>
          <w:rFonts w:hint="eastAsia" w:ascii="仿宋" w:hAnsi="仿宋" w:eastAsia="仿宋" w:cs="仿宋"/>
          <w:color w:val="000000" w:themeColor="text1"/>
          <w:sz w:val="32"/>
          <w:szCs w:val="32"/>
          <w14:textFill>
            <w14:solidFill>
              <w14:schemeClr w14:val="tx1"/>
            </w14:solidFill>
          </w14:textFill>
        </w:rPr>
        <w:instrText xml:space="preserve"> HYPERLINK \l _Toc19535_WPSOffice_Level2 </w:instrText>
      </w:r>
      <w:r>
        <w:rPr>
          <w:rFonts w:hint="eastAsia" w:ascii="仿宋" w:hAnsi="仿宋" w:eastAsia="仿宋" w:cs="仿宋"/>
          <w:color w:val="000000" w:themeColor="text1"/>
          <w:sz w:val="32"/>
          <w:szCs w:val="32"/>
          <w14:textFill>
            <w14:solidFill>
              <w14:schemeClr w14:val="tx1"/>
            </w14:solidFill>
          </w14:textFill>
        </w:rPr>
        <w:fldChar w:fldCharType="separate"/>
      </w:r>
      <w:r>
        <w:rPr>
          <w:rFonts w:hint="eastAsia" w:ascii="仿宋" w:hAnsi="仿宋" w:eastAsia="仿宋" w:cs="仿宋"/>
          <w:bCs/>
          <w:color w:val="000000" w:themeColor="text1"/>
          <w:sz w:val="32"/>
          <w:szCs w:val="32"/>
          <w14:textFill>
            <w14:solidFill>
              <w14:schemeClr w14:val="tx1"/>
            </w14:solidFill>
          </w14:textFill>
        </w:rPr>
        <w:t>二、收入决算情况说明</w:t>
      </w:r>
      <w:r>
        <w:rPr>
          <w:rFonts w:hint="eastAsia" w:ascii="仿宋" w:hAnsi="仿宋" w:eastAsia="仿宋" w:cs="仿宋"/>
          <w:color w:val="000000" w:themeColor="text1"/>
          <w:sz w:val="32"/>
          <w:szCs w:val="32"/>
          <w14:textFill>
            <w14:solidFill>
              <w14:schemeClr w14:val="tx1"/>
            </w14:solidFill>
          </w14:textFill>
        </w:rPr>
        <w:tab/>
      </w:r>
      <w:r>
        <w:rPr>
          <w:rFonts w:hint="eastAsia" w:ascii="仿宋" w:hAnsi="仿宋" w:eastAsia="仿宋" w:cs="仿宋"/>
          <w:color w:val="000000" w:themeColor="text1"/>
          <w:sz w:val="32"/>
          <w:szCs w:val="32"/>
          <w14:textFill>
            <w14:solidFill>
              <w14:schemeClr w14:val="tx1"/>
            </w14:solidFill>
          </w14:textFill>
        </w:rPr>
        <w:fldChar w:fldCharType="end"/>
      </w:r>
      <w:r>
        <w:rPr>
          <w:rFonts w:hint="eastAsia" w:ascii="仿宋" w:hAnsi="仿宋" w:eastAsia="仿宋" w:cs="仿宋"/>
          <w:color w:val="000000" w:themeColor="text1"/>
          <w:sz w:val="32"/>
          <w:szCs w:val="32"/>
          <w14:textFill>
            <w14:solidFill>
              <w14:schemeClr w14:val="tx1"/>
            </w14:solidFill>
          </w14:textFill>
        </w:rPr>
        <w:t>4</w:t>
      </w:r>
    </w:p>
    <w:p>
      <w:pPr>
        <w:pStyle w:val="16"/>
        <w:tabs>
          <w:tab w:val="right" w:leader="dot" w:pos="8306"/>
        </w:tabs>
        <w:spacing w:line="578" w:lineRule="exact"/>
        <w:ind w:leftChars="0"/>
        <w:jc w:val="cente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fldChar w:fldCharType="begin"/>
      </w:r>
      <w:r>
        <w:rPr>
          <w:rFonts w:hint="eastAsia" w:ascii="仿宋" w:hAnsi="仿宋" w:eastAsia="仿宋" w:cs="仿宋"/>
          <w:color w:val="000000" w:themeColor="text1"/>
          <w:sz w:val="32"/>
          <w:szCs w:val="32"/>
          <w14:textFill>
            <w14:solidFill>
              <w14:schemeClr w14:val="tx1"/>
            </w14:solidFill>
          </w14:textFill>
        </w:rPr>
        <w:instrText xml:space="preserve"> HYPERLINK \l _Toc19535_WPSOffice_Level2 </w:instrText>
      </w:r>
      <w:r>
        <w:rPr>
          <w:rFonts w:hint="eastAsia" w:ascii="仿宋" w:hAnsi="仿宋" w:eastAsia="仿宋" w:cs="仿宋"/>
          <w:color w:val="000000" w:themeColor="text1"/>
          <w:sz w:val="32"/>
          <w:szCs w:val="32"/>
          <w14:textFill>
            <w14:solidFill>
              <w14:schemeClr w14:val="tx1"/>
            </w14:solidFill>
          </w14:textFill>
        </w:rPr>
        <w:fldChar w:fldCharType="separate"/>
      </w:r>
      <w:r>
        <w:rPr>
          <w:rFonts w:hint="eastAsia" w:ascii="仿宋" w:hAnsi="仿宋" w:eastAsia="仿宋" w:cs="仿宋"/>
          <w:bCs/>
          <w:color w:val="000000" w:themeColor="text1"/>
          <w:sz w:val="32"/>
          <w:szCs w:val="32"/>
          <w14:textFill>
            <w14:solidFill>
              <w14:schemeClr w14:val="tx1"/>
            </w14:solidFill>
          </w14:textFill>
        </w:rPr>
        <w:t>三、支出决算情况说明</w:t>
      </w:r>
      <w:r>
        <w:rPr>
          <w:rFonts w:hint="eastAsia" w:ascii="仿宋" w:hAnsi="仿宋" w:eastAsia="仿宋" w:cs="仿宋"/>
          <w:color w:val="000000" w:themeColor="text1"/>
          <w:sz w:val="32"/>
          <w:szCs w:val="32"/>
          <w14:textFill>
            <w14:solidFill>
              <w14:schemeClr w14:val="tx1"/>
            </w14:solidFill>
          </w14:textFill>
        </w:rPr>
        <w:tab/>
      </w:r>
      <w:r>
        <w:rPr>
          <w:rFonts w:hint="eastAsia" w:ascii="仿宋" w:hAnsi="仿宋" w:eastAsia="仿宋" w:cs="仿宋"/>
          <w:color w:val="000000" w:themeColor="text1"/>
          <w:sz w:val="32"/>
          <w:szCs w:val="32"/>
          <w14:textFill>
            <w14:solidFill>
              <w14:schemeClr w14:val="tx1"/>
            </w14:solidFill>
          </w14:textFill>
        </w:rPr>
        <w:fldChar w:fldCharType="end"/>
      </w:r>
      <w:r>
        <w:rPr>
          <w:rFonts w:hint="eastAsia" w:ascii="仿宋" w:hAnsi="仿宋" w:eastAsia="仿宋" w:cs="仿宋"/>
          <w:color w:val="000000" w:themeColor="text1"/>
          <w:sz w:val="32"/>
          <w:szCs w:val="32"/>
          <w14:textFill>
            <w14:solidFill>
              <w14:schemeClr w14:val="tx1"/>
            </w14:solidFill>
          </w14:textFill>
        </w:rPr>
        <w:t>4</w:t>
      </w:r>
    </w:p>
    <w:p>
      <w:pPr>
        <w:pStyle w:val="16"/>
        <w:tabs>
          <w:tab w:val="right" w:leader="dot" w:pos="8306"/>
        </w:tabs>
        <w:spacing w:line="578" w:lineRule="exact"/>
        <w:ind w:leftChars="0"/>
        <w:jc w:val="cente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fldChar w:fldCharType="begin"/>
      </w:r>
      <w:r>
        <w:rPr>
          <w:rFonts w:hint="eastAsia" w:ascii="仿宋" w:hAnsi="仿宋" w:eastAsia="仿宋" w:cs="仿宋"/>
          <w:color w:val="000000" w:themeColor="text1"/>
          <w:sz w:val="32"/>
          <w:szCs w:val="32"/>
          <w14:textFill>
            <w14:solidFill>
              <w14:schemeClr w14:val="tx1"/>
            </w14:solidFill>
          </w14:textFill>
        </w:rPr>
        <w:instrText xml:space="preserve"> HYPERLINK \l _Toc19535_WPSOffice_Level2 </w:instrText>
      </w:r>
      <w:r>
        <w:rPr>
          <w:rFonts w:hint="eastAsia" w:ascii="仿宋" w:hAnsi="仿宋" w:eastAsia="仿宋" w:cs="仿宋"/>
          <w:color w:val="000000" w:themeColor="text1"/>
          <w:sz w:val="32"/>
          <w:szCs w:val="32"/>
          <w14:textFill>
            <w14:solidFill>
              <w14:schemeClr w14:val="tx1"/>
            </w14:solidFill>
          </w14:textFill>
        </w:rPr>
        <w:fldChar w:fldCharType="separate"/>
      </w:r>
      <w:r>
        <w:rPr>
          <w:rFonts w:hint="eastAsia" w:ascii="仿宋" w:hAnsi="仿宋" w:eastAsia="仿宋" w:cs="仿宋"/>
          <w:bCs/>
          <w:color w:val="000000" w:themeColor="text1"/>
          <w:sz w:val="32"/>
          <w:szCs w:val="32"/>
          <w14:textFill>
            <w14:solidFill>
              <w14:schemeClr w14:val="tx1"/>
            </w14:solidFill>
          </w14:textFill>
        </w:rPr>
        <w:t>四、财政拨款收入支出决算</w:t>
      </w:r>
      <w:r>
        <w:rPr>
          <w:rFonts w:hint="eastAsia" w:ascii="仿宋" w:hAnsi="仿宋" w:eastAsia="仿宋" w:cs="仿宋"/>
          <w:bCs/>
          <w:color w:val="000000" w:themeColor="text1"/>
          <w:sz w:val="32"/>
          <w:szCs w:val="32"/>
          <w:lang w:val="en-US" w:eastAsia="zh-CN"/>
          <w14:textFill>
            <w14:solidFill>
              <w14:schemeClr w14:val="tx1"/>
            </w14:solidFill>
          </w14:textFill>
        </w:rPr>
        <w:t>总体</w:t>
      </w:r>
      <w:r>
        <w:rPr>
          <w:rFonts w:hint="eastAsia" w:ascii="仿宋" w:hAnsi="仿宋" w:eastAsia="仿宋" w:cs="仿宋"/>
          <w:bCs/>
          <w:color w:val="000000" w:themeColor="text1"/>
          <w:sz w:val="32"/>
          <w:szCs w:val="32"/>
          <w14:textFill>
            <w14:solidFill>
              <w14:schemeClr w14:val="tx1"/>
            </w14:solidFill>
          </w14:textFill>
        </w:rPr>
        <w:t>情况说明</w:t>
      </w:r>
      <w:r>
        <w:rPr>
          <w:rFonts w:hint="eastAsia" w:ascii="仿宋" w:hAnsi="仿宋" w:eastAsia="仿宋" w:cs="仿宋"/>
          <w:color w:val="000000" w:themeColor="text1"/>
          <w:sz w:val="32"/>
          <w:szCs w:val="32"/>
          <w14:textFill>
            <w14:solidFill>
              <w14:schemeClr w14:val="tx1"/>
            </w14:solidFill>
          </w14:textFill>
        </w:rPr>
        <w:tab/>
      </w:r>
      <w:r>
        <w:rPr>
          <w:rFonts w:hint="eastAsia" w:ascii="仿宋" w:hAnsi="仿宋" w:eastAsia="仿宋" w:cs="仿宋"/>
          <w:color w:val="000000" w:themeColor="text1"/>
          <w:sz w:val="32"/>
          <w:szCs w:val="32"/>
          <w14:textFill>
            <w14:solidFill>
              <w14:schemeClr w14:val="tx1"/>
            </w14:solidFill>
          </w14:textFill>
        </w:rPr>
        <w:fldChar w:fldCharType="end"/>
      </w:r>
      <w:r>
        <w:rPr>
          <w:rFonts w:hint="eastAsia" w:ascii="仿宋" w:hAnsi="仿宋" w:eastAsia="仿宋" w:cs="仿宋"/>
          <w:color w:val="000000" w:themeColor="text1"/>
          <w:sz w:val="32"/>
          <w:szCs w:val="32"/>
          <w14:textFill>
            <w14:solidFill>
              <w14:schemeClr w14:val="tx1"/>
            </w14:solidFill>
          </w14:textFill>
        </w:rPr>
        <w:t>4</w:t>
      </w:r>
    </w:p>
    <w:p>
      <w:pPr>
        <w:pStyle w:val="16"/>
        <w:tabs>
          <w:tab w:val="right" w:leader="dot" w:pos="8306"/>
        </w:tabs>
        <w:spacing w:line="578" w:lineRule="exact"/>
        <w:ind w:leftChars="0"/>
        <w:jc w:val="cente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fldChar w:fldCharType="begin"/>
      </w:r>
      <w:r>
        <w:rPr>
          <w:rFonts w:hint="eastAsia" w:ascii="仿宋" w:hAnsi="仿宋" w:eastAsia="仿宋" w:cs="仿宋"/>
          <w:color w:val="000000" w:themeColor="text1"/>
          <w:sz w:val="32"/>
          <w:szCs w:val="32"/>
          <w14:textFill>
            <w14:solidFill>
              <w14:schemeClr w14:val="tx1"/>
            </w14:solidFill>
          </w14:textFill>
        </w:rPr>
        <w:instrText xml:space="preserve"> HYPERLINK \l _Toc19535_WPSOffice_Level2 </w:instrText>
      </w:r>
      <w:r>
        <w:rPr>
          <w:rFonts w:hint="eastAsia" w:ascii="仿宋" w:hAnsi="仿宋" w:eastAsia="仿宋" w:cs="仿宋"/>
          <w:color w:val="000000" w:themeColor="text1"/>
          <w:sz w:val="32"/>
          <w:szCs w:val="32"/>
          <w14:textFill>
            <w14:solidFill>
              <w14:schemeClr w14:val="tx1"/>
            </w14:solidFill>
          </w14:textFill>
        </w:rPr>
        <w:fldChar w:fldCharType="separate"/>
      </w:r>
      <w:r>
        <w:rPr>
          <w:rFonts w:hint="eastAsia" w:ascii="仿宋" w:hAnsi="仿宋" w:eastAsia="仿宋" w:cs="仿宋"/>
          <w:bCs/>
          <w:color w:val="000000" w:themeColor="text1"/>
          <w:sz w:val="32"/>
          <w:szCs w:val="32"/>
          <w14:textFill>
            <w14:solidFill>
              <w14:schemeClr w14:val="tx1"/>
            </w14:solidFill>
          </w14:textFill>
        </w:rPr>
        <w:t>五、一般公共预算财政拨款支出决算情况说明</w:t>
      </w:r>
      <w:r>
        <w:rPr>
          <w:rFonts w:hint="eastAsia" w:ascii="仿宋" w:hAnsi="仿宋" w:eastAsia="仿宋" w:cs="仿宋"/>
          <w:color w:val="000000" w:themeColor="text1"/>
          <w:sz w:val="32"/>
          <w:szCs w:val="32"/>
          <w14:textFill>
            <w14:solidFill>
              <w14:schemeClr w14:val="tx1"/>
            </w14:solidFill>
          </w14:textFill>
        </w:rPr>
        <w:tab/>
      </w:r>
      <w:r>
        <w:rPr>
          <w:rFonts w:hint="eastAsia" w:ascii="仿宋" w:hAnsi="仿宋" w:eastAsia="仿宋" w:cs="仿宋"/>
          <w:color w:val="000000" w:themeColor="text1"/>
          <w:sz w:val="32"/>
          <w:szCs w:val="32"/>
          <w14:textFill>
            <w14:solidFill>
              <w14:schemeClr w14:val="tx1"/>
            </w14:solidFill>
          </w14:textFill>
        </w:rPr>
        <w:fldChar w:fldCharType="end"/>
      </w:r>
      <w:r>
        <w:rPr>
          <w:rFonts w:hint="eastAsia" w:ascii="仿宋" w:hAnsi="仿宋" w:eastAsia="仿宋" w:cs="仿宋"/>
          <w:color w:val="000000" w:themeColor="text1"/>
          <w:sz w:val="32"/>
          <w:szCs w:val="32"/>
          <w14:textFill>
            <w14:solidFill>
              <w14:schemeClr w14:val="tx1"/>
            </w14:solidFill>
          </w14:textFill>
        </w:rPr>
        <w:t>5</w:t>
      </w:r>
    </w:p>
    <w:p>
      <w:pPr>
        <w:pStyle w:val="16"/>
        <w:tabs>
          <w:tab w:val="right" w:leader="dot" w:pos="8306"/>
        </w:tabs>
        <w:spacing w:line="578" w:lineRule="exact"/>
        <w:ind w:leftChars="0"/>
        <w:jc w:val="cente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fldChar w:fldCharType="begin"/>
      </w:r>
      <w:r>
        <w:rPr>
          <w:rFonts w:hint="eastAsia" w:ascii="仿宋" w:hAnsi="仿宋" w:eastAsia="仿宋" w:cs="仿宋"/>
          <w:color w:val="000000" w:themeColor="text1"/>
          <w:sz w:val="32"/>
          <w:szCs w:val="32"/>
          <w14:textFill>
            <w14:solidFill>
              <w14:schemeClr w14:val="tx1"/>
            </w14:solidFill>
          </w14:textFill>
        </w:rPr>
        <w:instrText xml:space="preserve"> HYPERLINK \l _Toc19535_WPSOffice_Level2 </w:instrText>
      </w:r>
      <w:r>
        <w:rPr>
          <w:rFonts w:hint="eastAsia" w:ascii="仿宋" w:hAnsi="仿宋" w:eastAsia="仿宋" w:cs="仿宋"/>
          <w:color w:val="000000" w:themeColor="text1"/>
          <w:sz w:val="32"/>
          <w:szCs w:val="32"/>
          <w14:textFill>
            <w14:solidFill>
              <w14:schemeClr w14:val="tx1"/>
            </w14:solidFill>
          </w14:textFill>
        </w:rPr>
        <w:fldChar w:fldCharType="separate"/>
      </w:r>
      <w:r>
        <w:rPr>
          <w:rFonts w:hint="eastAsia" w:ascii="仿宋" w:hAnsi="仿宋" w:eastAsia="仿宋" w:cs="仿宋"/>
          <w:bCs/>
          <w:color w:val="000000" w:themeColor="text1"/>
          <w:sz w:val="32"/>
          <w:szCs w:val="32"/>
          <w14:textFill>
            <w14:solidFill>
              <w14:schemeClr w14:val="tx1"/>
            </w14:solidFill>
          </w14:textFill>
        </w:rPr>
        <w:t>六、一般公共预算财政拨款基本支出决算情况说明</w:t>
      </w:r>
      <w:r>
        <w:rPr>
          <w:rFonts w:hint="eastAsia" w:ascii="仿宋" w:hAnsi="仿宋" w:eastAsia="仿宋" w:cs="仿宋"/>
          <w:color w:val="000000" w:themeColor="text1"/>
          <w:sz w:val="32"/>
          <w:szCs w:val="32"/>
          <w14:textFill>
            <w14:solidFill>
              <w14:schemeClr w14:val="tx1"/>
            </w14:solidFill>
          </w14:textFill>
        </w:rPr>
        <w:fldChar w:fldCharType="end"/>
      </w:r>
      <w:r>
        <w:rPr>
          <w:rFonts w:hint="eastAsia" w:ascii="仿宋" w:hAnsi="仿宋" w:eastAsia="仿宋" w:cs="仿宋"/>
          <w:color w:val="000000" w:themeColor="text1"/>
          <w:sz w:val="32"/>
          <w:szCs w:val="32"/>
          <w14:textFill>
            <w14:solidFill>
              <w14:schemeClr w14:val="tx1"/>
            </w14:solidFill>
          </w14:textFill>
        </w:rPr>
        <w:tab/>
      </w:r>
      <w:r>
        <w:rPr>
          <w:rFonts w:hint="eastAsia" w:ascii="仿宋" w:hAnsi="仿宋" w:eastAsia="仿宋" w:cs="仿宋"/>
          <w:color w:val="000000" w:themeColor="text1"/>
          <w:sz w:val="32"/>
          <w:szCs w:val="32"/>
          <w14:textFill>
            <w14:solidFill>
              <w14:schemeClr w14:val="tx1"/>
            </w14:solidFill>
          </w14:textFill>
        </w:rPr>
        <w:t>6</w:t>
      </w:r>
    </w:p>
    <w:p>
      <w:pPr>
        <w:pStyle w:val="16"/>
        <w:numPr>
          <w:ilvl w:val="0"/>
          <w:numId w:val="1"/>
        </w:numPr>
        <w:tabs>
          <w:tab w:val="right" w:leader="dot" w:pos="8306"/>
        </w:tabs>
        <w:spacing w:line="578" w:lineRule="exact"/>
        <w:ind w:leftChars="0"/>
        <w:jc w:val="cente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bCs/>
          <w:color w:val="000000" w:themeColor="text1"/>
          <w:sz w:val="32"/>
          <w:szCs w:val="32"/>
          <w14:textFill>
            <w14:solidFill>
              <w14:schemeClr w14:val="tx1"/>
            </w14:solidFill>
          </w14:textFill>
        </w:rPr>
        <w:t>政府性基金预算财政拨款支出决算情况说明</w:t>
      </w:r>
      <w:r>
        <w:rPr>
          <w:rFonts w:hint="eastAsia" w:ascii="仿宋" w:hAnsi="仿宋" w:eastAsia="仿宋" w:cs="仿宋"/>
          <w:color w:val="000000" w:themeColor="text1"/>
          <w:sz w:val="32"/>
          <w:szCs w:val="32"/>
          <w14:textFill>
            <w14:solidFill>
              <w14:schemeClr w14:val="tx1"/>
            </w14:solidFill>
          </w14:textFill>
        </w:rPr>
        <w:tab/>
      </w:r>
      <w:r>
        <w:rPr>
          <w:rFonts w:hint="eastAsia" w:ascii="仿宋" w:hAnsi="仿宋" w:eastAsia="仿宋" w:cs="仿宋"/>
          <w:color w:val="000000" w:themeColor="text1"/>
          <w:sz w:val="32"/>
          <w:szCs w:val="32"/>
          <w14:textFill>
            <w14:solidFill>
              <w14:schemeClr w14:val="tx1"/>
            </w14:solidFill>
          </w14:textFill>
        </w:rPr>
        <w:t>7</w:t>
      </w:r>
    </w:p>
    <w:p>
      <w:pPr>
        <w:pStyle w:val="16"/>
        <w:numPr>
          <w:ilvl w:val="0"/>
          <w:numId w:val="1"/>
        </w:numPr>
        <w:tabs>
          <w:tab w:val="right" w:leader="dot" w:pos="8306"/>
        </w:tabs>
        <w:spacing w:line="578" w:lineRule="exact"/>
        <w:ind w:leftChars="0"/>
        <w:jc w:val="cente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bCs/>
          <w:color w:val="000000" w:themeColor="text1"/>
          <w:sz w:val="32"/>
          <w:szCs w:val="32"/>
          <w14:textFill>
            <w14:solidFill>
              <w14:schemeClr w14:val="tx1"/>
            </w14:solidFill>
          </w14:textFill>
        </w:rPr>
        <w:t>国有资本经营预算财政拨款支出决算情况说明</w:t>
      </w:r>
      <w:r>
        <w:rPr>
          <w:rFonts w:hint="eastAsia" w:ascii="仿宋" w:hAnsi="仿宋" w:eastAsia="仿宋" w:cs="仿宋"/>
          <w:color w:val="000000" w:themeColor="text1"/>
          <w:sz w:val="32"/>
          <w:szCs w:val="32"/>
          <w14:textFill>
            <w14:solidFill>
              <w14:schemeClr w14:val="tx1"/>
            </w14:solidFill>
          </w14:textFill>
        </w:rPr>
        <w:tab/>
      </w:r>
      <w:r>
        <w:rPr>
          <w:rFonts w:hint="eastAsia" w:ascii="仿宋" w:hAnsi="仿宋" w:eastAsia="仿宋" w:cs="仿宋"/>
          <w:color w:val="000000" w:themeColor="text1"/>
          <w:sz w:val="32"/>
          <w:szCs w:val="32"/>
          <w14:textFill>
            <w14:solidFill>
              <w14:schemeClr w14:val="tx1"/>
            </w14:solidFill>
          </w14:textFill>
        </w:rPr>
        <w:t>8</w:t>
      </w:r>
    </w:p>
    <w:p>
      <w:pPr>
        <w:pStyle w:val="16"/>
        <w:tabs>
          <w:tab w:val="right" w:leader="dot" w:pos="8306"/>
        </w:tabs>
        <w:spacing w:line="578" w:lineRule="exact"/>
        <w:ind w:leftChars="0"/>
        <w:jc w:val="cente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fldChar w:fldCharType="begin"/>
      </w:r>
      <w:r>
        <w:rPr>
          <w:rFonts w:hint="eastAsia" w:ascii="仿宋" w:hAnsi="仿宋" w:eastAsia="仿宋" w:cs="仿宋"/>
          <w:color w:val="000000" w:themeColor="text1"/>
          <w:sz w:val="32"/>
          <w:szCs w:val="32"/>
          <w14:textFill>
            <w14:solidFill>
              <w14:schemeClr w14:val="tx1"/>
            </w14:solidFill>
          </w14:textFill>
        </w:rPr>
        <w:instrText xml:space="preserve"> HYPERLINK \l _Toc19535_WPSOffice_Level2 </w:instrText>
      </w:r>
      <w:r>
        <w:rPr>
          <w:rFonts w:hint="eastAsia" w:ascii="仿宋" w:hAnsi="仿宋" w:eastAsia="仿宋" w:cs="仿宋"/>
          <w:color w:val="000000" w:themeColor="text1"/>
          <w:sz w:val="32"/>
          <w:szCs w:val="32"/>
          <w14:textFill>
            <w14:solidFill>
              <w14:schemeClr w14:val="tx1"/>
            </w14:solidFill>
          </w14:textFill>
        </w:rPr>
        <w:fldChar w:fldCharType="separate"/>
      </w:r>
      <w:r>
        <w:rPr>
          <w:rFonts w:hint="eastAsia" w:ascii="仿宋" w:hAnsi="仿宋" w:eastAsia="仿宋" w:cs="仿宋"/>
          <w:bCs/>
          <w:color w:val="000000" w:themeColor="text1"/>
          <w:sz w:val="32"/>
          <w:szCs w:val="32"/>
          <w14:textFill>
            <w14:solidFill>
              <w14:schemeClr w14:val="tx1"/>
            </w14:solidFill>
          </w14:textFill>
        </w:rPr>
        <w:t>九、财政拨款“三公”经费支出决算情况说明</w:t>
      </w:r>
      <w:r>
        <w:rPr>
          <w:rFonts w:hint="eastAsia" w:ascii="仿宋" w:hAnsi="仿宋" w:eastAsia="仿宋" w:cs="仿宋"/>
          <w:color w:val="000000" w:themeColor="text1"/>
          <w:sz w:val="32"/>
          <w:szCs w:val="32"/>
          <w14:textFill>
            <w14:solidFill>
              <w14:schemeClr w14:val="tx1"/>
            </w14:solidFill>
          </w14:textFill>
        </w:rPr>
        <w:tab/>
      </w:r>
      <w:r>
        <w:rPr>
          <w:rFonts w:hint="eastAsia" w:ascii="仿宋" w:hAnsi="仿宋" w:eastAsia="仿宋" w:cs="仿宋"/>
          <w:color w:val="000000" w:themeColor="text1"/>
          <w:sz w:val="32"/>
          <w:szCs w:val="32"/>
          <w14:textFill>
            <w14:solidFill>
              <w14:schemeClr w14:val="tx1"/>
            </w14:solidFill>
          </w14:textFill>
        </w:rPr>
        <w:fldChar w:fldCharType="end"/>
      </w:r>
      <w:r>
        <w:rPr>
          <w:rFonts w:hint="eastAsia" w:ascii="仿宋" w:hAnsi="仿宋" w:eastAsia="仿宋" w:cs="仿宋"/>
          <w:color w:val="000000" w:themeColor="text1"/>
          <w:sz w:val="32"/>
          <w:szCs w:val="32"/>
          <w14:textFill>
            <w14:solidFill>
              <w14:schemeClr w14:val="tx1"/>
            </w14:solidFill>
          </w14:textFill>
        </w:rPr>
        <w:t>9</w:t>
      </w:r>
    </w:p>
    <w:p>
      <w:pPr>
        <w:pStyle w:val="16"/>
        <w:tabs>
          <w:tab w:val="right" w:leader="dot" w:pos="8306"/>
        </w:tabs>
        <w:spacing w:line="578" w:lineRule="exact"/>
        <w:ind w:leftChars="0"/>
        <w:jc w:val="cente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fldChar w:fldCharType="begin"/>
      </w:r>
      <w:r>
        <w:rPr>
          <w:rFonts w:hint="eastAsia" w:ascii="仿宋" w:hAnsi="仿宋" w:eastAsia="仿宋" w:cs="仿宋"/>
          <w:color w:val="000000" w:themeColor="text1"/>
          <w:sz w:val="32"/>
          <w:szCs w:val="32"/>
          <w14:textFill>
            <w14:solidFill>
              <w14:schemeClr w14:val="tx1"/>
            </w14:solidFill>
          </w14:textFill>
        </w:rPr>
        <w:instrText xml:space="preserve"> HYPERLINK \l _Toc19535_WPSOffice_Level2 </w:instrText>
      </w:r>
      <w:r>
        <w:rPr>
          <w:rFonts w:hint="eastAsia" w:ascii="仿宋" w:hAnsi="仿宋" w:eastAsia="仿宋" w:cs="仿宋"/>
          <w:color w:val="000000" w:themeColor="text1"/>
          <w:sz w:val="32"/>
          <w:szCs w:val="32"/>
          <w14:textFill>
            <w14:solidFill>
              <w14:schemeClr w14:val="tx1"/>
            </w14:solidFill>
          </w14:textFill>
        </w:rPr>
        <w:fldChar w:fldCharType="separate"/>
      </w:r>
      <w:r>
        <w:rPr>
          <w:rFonts w:hint="eastAsia" w:ascii="仿宋" w:hAnsi="仿宋" w:eastAsia="仿宋" w:cs="仿宋"/>
          <w:bCs/>
          <w:color w:val="000000" w:themeColor="text1"/>
          <w:sz w:val="32"/>
          <w:szCs w:val="32"/>
          <w14:textFill>
            <w14:solidFill>
              <w14:schemeClr w14:val="tx1"/>
            </w14:solidFill>
          </w14:textFill>
        </w:rPr>
        <w:t>十、预算绩效情况说明</w:t>
      </w:r>
      <w:r>
        <w:rPr>
          <w:rFonts w:hint="eastAsia" w:ascii="仿宋" w:hAnsi="仿宋" w:eastAsia="仿宋" w:cs="仿宋"/>
          <w:color w:val="000000" w:themeColor="text1"/>
          <w:sz w:val="32"/>
          <w:szCs w:val="32"/>
          <w14:textFill>
            <w14:solidFill>
              <w14:schemeClr w14:val="tx1"/>
            </w14:solidFill>
          </w14:textFill>
        </w:rPr>
        <w:tab/>
      </w:r>
      <w:r>
        <w:rPr>
          <w:rFonts w:hint="eastAsia" w:ascii="仿宋" w:hAnsi="仿宋" w:eastAsia="仿宋" w:cs="仿宋"/>
          <w:color w:val="000000" w:themeColor="text1"/>
          <w:sz w:val="32"/>
          <w:szCs w:val="32"/>
          <w14:textFill>
            <w14:solidFill>
              <w14:schemeClr w14:val="tx1"/>
            </w14:solidFill>
          </w14:textFill>
        </w:rPr>
        <w:fldChar w:fldCharType="end"/>
      </w:r>
      <w:r>
        <w:rPr>
          <w:rFonts w:hint="eastAsia" w:ascii="仿宋" w:hAnsi="仿宋" w:eastAsia="仿宋" w:cs="仿宋"/>
          <w:color w:val="000000" w:themeColor="text1"/>
          <w:sz w:val="32"/>
          <w:szCs w:val="32"/>
          <w14:textFill>
            <w14:solidFill>
              <w14:schemeClr w14:val="tx1"/>
            </w14:solidFill>
          </w14:textFill>
        </w:rPr>
        <w:t>11</w:t>
      </w:r>
    </w:p>
    <w:p>
      <w:pPr>
        <w:pStyle w:val="16"/>
        <w:tabs>
          <w:tab w:val="right" w:leader="dot" w:pos="8306"/>
        </w:tabs>
        <w:spacing w:line="578" w:lineRule="exact"/>
        <w:ind w:leftChars="0"/>
        <w:jc w:val="cente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bCs/>
          <w:color w:val="000000" w:themeColor="text1"/>
          <w:sz w:val="32"/>
          <w:szCs w:val="32"/>
          <w14:textFill>
            <w14:solidFill>
              <w14:schemeClr w14:val="tx1"/>
            </w14:solidFill>
          </w14:textFill>
        </w:rPr>
        <w:t>十一、其他重要事项情况说明</w:t>
      </w:r>
      <w:r>
        <w:rPr>
          <w:rFonts w:hint="eastAsia" w:ascii="仿宋" w:hAnsi="仿宋" w:eastAsia="仿宋" w:cs="仿宋"/>
          <w:color w:val="000000" w:themeColor="text1"/>
          <w:sz w:val="32"/>
          <w:szCs w:val="32"/>
          <w14:textFill>
            <w14:solidFill>
              <w14:schemeClr w14:val="tx1"/>
            </w14:solidFill>
          </w14:textFill>
        </w:rPr>
        <w:tab/>
      </w:r>
      <w:r>
        <w:rPr>
          <w:rFonts w:hint="eastAsia" w:ascii="仿宋" w:hAnsi="仿宋" w:eastAsia="仿宋" w:cs="仿宋"/>
          <w:color w:val="000000" w:themeColor="text1"/>
          <w:sz w:val="32"/>
          <w:szCs w:val="32"/>
          <w14:textFill>
            <w14:solidFill>
              <w14:schemeClr w14:val="tx1"/>
            </w14:solidFill>
          </w14:textFill>
        </w:rPr>
        <w:t>13</w:t>
      </w:r>
    </w:p>
    <w:p>
      <w:pPr>
        <w:pStyle w:val="15"/>
        <w:tabs>
          <w:tab w:val="right" w:leader="dot" w:pos="8306"/>
        </w:tabs>
        <w:spacing w:line="578" w:lineRule="exact"/>
        <w:jc w:val="center"/>
        <w:rPr>
          <w:rFonts w:hint="eastAsia" w:ascii="黑体" w:hAnsi="ˎ̥"/>
          <w:b/>
          <w:color w:val="000000" w:themeColor="text1"/>
          <w:sz w:val="32"/>
          <w:szCs w:val="32"/>
          <w14:textFill>
            <w14:solidFill>
              <w14:schemeClr w14:val="tx1"/>
            </w14:solidFill>
          </w14:textFill>
        </w:rPr>
      </w:pPr>
      <w:r>
        <w:rPr>
          <w:color w:val="000000" w:themeColor="text1"/>
          <w:sz w:val="32"/>
          <w:szCs w:val="32"/>
          <w14:textFill>
            <w14:solidFill>
              <w14:schemeClr w14:val="tx1"/>
            </w14:solidFill>
          </w14:textFill>
        </w:rPr>
        <w:fldChar w:fldCharType="begin"/>
      </w:r>
      <w:r>
        <w:rPr>
          <w:color w:val="000000" w:themeColor="text1"/>
          <w:sz w:val="32"/>
          <w:szCs w:val="32"/>
          <w14:textFill>
            <w14:solidFill>
              <w14:schemeClr w14:val="tx1"/>
            </w14:solidFill>
          </w14:textFill>
        </w:rPr>
        <w:instrText xml:space="preserve"> HYPERLINK \l _Toc15425_WPSOffice_Level1 </w:instrText>
      </w:r>
      <w:r>
        <w:rPr>
          <w:color w:val="000000" w:themeColor="text1"/>
          <w:sz w:val="32"/>
          <w:szCs w:val="32"/>
          <w14:textFill>
            <w14:solidFill>
              <w14:schemeClr w14:val="tx1"/>
            </w14:solidFill>
          </w14:textFill>
        </w:rPr>
        <w:fldChar w:fldCharType="separate"/>
      </w:r>
      <w:r>
        <w:rPr>
          <w:rFonts w:hint="eastAsia" w:ascii="黑体" w:hAnsi="ˎ̥" w:eastAsia="黑体"/>
          <w:color w:val="000000" w:themeColor="text1"/>
          <w:sz w:val="32"/>
          <w:szCs w:val="32"/>
          <w14:textFill>
            <w14:solidFill>
              <w14:schemeClr w14:val="tx1"/>
            </w14:solidFill>
          </w14:textFill>
        </w:rPr>
        <w:t>第四部分  名词解释</w:t>
      </w:r>
      <w:r>
        <w:rPr>
          <w:color w:val="000000" w:themeColor="text1"/>
          <w:sz w:val="32"/>
          <w:szCs w:val="32"/>
          <w14:textFill>
            <w14:solidFill>
              <w14:schemeClr w14:val="tx1"/>
            </w14:solidFill>
          </w14:textFill>
        </w:rPr>
        <w:tab/>
      </w:r>
      <w:bookmarkStart w:id="1" w:name="_Toc15425_WPSOffice_Level1Page"/>
      <w:r>
        <w:rPr>
          <w:color w:val="000000" w:themeColor="text1"/>
          <w:sz w:val="32"/>
          <w:szCs w:val="32"/>
          <w14:textFill>
            <w14:solidFill>
              <w14:schemeClr w14:val="tx1"/>
            </w14:solidFill>
          </w14:textFill>
        </w:rPr>
        <w:t>1</w:t>
      </w:r>
      <w:bookmarkEnd w:id="1"/>
      <w:r>
        <w:rPr>
          <w:color w:val="000000" w:themeColor="text1"/>
          <w:sz w:val="32"/>
          <w:szCs w:val="32"/>
          <w14:textFill>
            <w14:solidFill>
              <w14:schemeClr w14:val="tx1"/>
            </w14:solidFill>
          </w14:textFill>
        </w:rPr>
        <w:fldChar w:fldCharType="end"/>
      </w:r>
      <w:bookmarkEnd w:id="0"/>
      <w:r>
        <w:rPr>
          <w:rFonts w:hint="eastAsia"/>
          <w:color w:val="000000" w:themeColor="text1"/>
          <w:sz w:val="32"/>
          <w:szCs w:val="32"/>
          <w14:textFill>
            <w14:solidFill>
              <w14:schemeClr w14:val="tx1"/>
            </w14:solidFill>
          </w14:textFill>
        </w:rPr>
        <w:t>5</w:t>
      </w:r>
    </w:p>
    <w:p>
      <w:pPr>
        <w:spacing w:line="578" w:lineRule="exact"/>
        <w:jc w:val="center"/>
        <w:rPr>
          <w:rFonts w:hint="eastAsia" w:ascii="黑体" w:hAnsi="ˎ̥" w:eastAsia="黑体"/>
          <w:color w:val="000000" w:themeColor="text1"/>
          <w:sz w:val="32"/>
          <w:szCs w:val="32"/>
          <w14:textFill>
            <w14:solidFill>
              <w14:schemeClr w14:val="tx1"/>
            </w14:solidFill>
          </w14:textFill>
        </w:rPr>
      </w:pPr>
      <w:bookmarkStart w:id="2" w:name="_Toc23465_WPSOffice_Level1"/>
      <w:bookmarkStart w:id="3" w:name="_Toc32433_WPSOffice_Level1"/>
      <w:bookmarkStart w:id="4" w:name="_Toc1704_WPSOffice_Level1"/>
      <w:bookmarkStart w:id="5" w:name="_Toc10720_WPSOffice_Level1"/>
      <w:bookmarkStart w:id="6" w:name="_Toc22941_WPSOffice_Level1"/>
      <w:bookmarkStart w:id="7" w:name="_Toc10049_WPSOffice_Level1"/>
      <w:bookmarkStart w:id="8" w:name="_Toc24238_WPSOffice_Level2"/>
      <w:bookmarkStart w:id="9" w:name="_Toc14159_WPSOffice_Level2"/>
      <w:bookmarkStart w:id="10" w:name="_Toc26580_WPSOffice_Level2"/>
      <w:bookmarkStart w:id="11" w:name="_Toc20205_WPSOffice_Level2"/>
      <w:bookmarkStart w:id="12" w:name="_Toc20274_WPSOffice_Level2"/>
      <w:bookmarkStart w:id="13" w:name="_Toc32622_WPSOffice_Level2"/>
    </w:p>
    <w:p>
      <w:pPr>
        <w:spacing w:line="578" w:lineRule="exact"/>
        <w:jc w:val="center"/>
        <w:rPr>
          <w:rFonts w:hint="eastAsia" w:ascii="黑体" w:hAnsi="ˎ̥" w:eastAsia="黑体"/>
          <w:color w:val="000000" w:themeColor="text1"/>
          <w:sz w:val="32"/>
          <w:szCs w:val="32"/>
          <w14:textFill>
            <w14:solidFill>
              <w14:schemeClr w14:val="tx1"/>
            </w14:solidFill>
          </w14:textFill>
        </w:rPr>
      </w:pPr>
      <w:r>
        <w:rPr>
          <w:rFonts w:hint="eastAsia" w:ascii="黑体" w:hAnsi="ˎ̥" w:eastAsia="黑体"/>
          <w:color w:val="000000" w:themeColor="text1"/>
          <w:sz w:val="32"/>
          <w:szCs w:val="32"/>
          <w14:textFill>
            <w14:solidFill>
              <w14:schemeClr w14:val="tx1"/>
            </w14:solidFill>
          </w14:textFill>
        </w:rPr>
        <w:t xml:space="preserve">第一部分  </w:t>
      </w:r>
      <w:bookmarkEnd w:id="2"/>
      <w:bookmarkEnd w:id="3"/>
      <w:bookmarkEnd w:id="4"/>
      <w:bookmarkEnd w:id="5"/>
      <w:bookmarkEnd w:id="6"/>
      <w:bookmarkEnd w:id="7"/>
      <w:r>
        <w:rPr>
          <w:rFonts w:hint="eastAsia" w:ascii="黑体" w:hAnsi="ˎ̥" w:eastAsia="黑体"/>
          <w:color w:val="000000" w:themeColor="text1"/>
          <w:sz w:val="32"/>
          <w:szCs w:val="32"/>
          <w14:textFill>
            <w14:solidFill>
              <w14:schemeClr w14:val="tx1"/>
            </w14:solidFill>
          </w14:textFill>
        </w:rPr>
        <w:t>基本情况</w:t>
      </w:r>
    </w:p>
    <w:p>
      <w:pPr>
        <w:spacing w:line="578" w:lineRule="exact"/>
        <w:ind w:firstLine="640" w:firstLineChars="200"/>
        <w:rPr>
          <w:rFonts w:hint="eastAsia" w:ascii="楷体" w:hAnsi="楷体" w:eastAsia="楷体" w:cs="楷体"/>
          <w:color w:val="000000" w:themeColor="text1"/>
          <w:sz w:val="32"/>
          <w:szCs w:val="32"/>
          <w14:textFill>
            <w14:solidFill>
              <w14:schemeClr w14:val="tx1"/>
            </w14:solidFill>
          </w14:textFill>
        </w:rPr>
      </w:pPr>
    </w:p>
    <w:bookmarkEnd w:id="8"/>
    <w:p>
      <w:pPr>
        <w:numPr>
          <w:ilvl w:val="0"/>
          <w:numId w:val="2"/>
        </w:numPr>
        <w:spacing w:line="578" w:lineRule="exact"/>
        <w:ind w:firstLine="640" w:firstLineChars="200"/>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单位职责</w:t>
      </w:r>
      <w:bookmarkEnd w:id="9"/>
      <w:bookmarkEnd w:id="10"/>
      <w:bookmarkEnd w:id="11"/>
      <w:bookmarkEnd w:id="12"/>
      <w:bookmarkEnd w:id="13"/>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黑体" w:hAnsi="黑体" w:eastAsia="黑体" w:cs="黑体"/>
          <w:color w:val="000000" w:themeColor="text1"/>
          <w:sz w:val="32"/>
          <w:szCs w:val="32"/>
          <w14:textFill>
            <w14:solidFill>
              <w14:schemeClr w14:val="tx1"/>
            </w14:solidFill>
          </w14:textFill>
        </w:rPr>
      </w:pPr>
      <w:r>
        <w:rPr>
          <w:rFonts w:hint="eastAsia" w:cs="仿宋_GB2312"/>
          <w:color w:val="000000" w:themeColor="text1"/>
          <w:sz w:val="30"/>
          <w:szCs w:val="30"/>
          <w:lang w:val="en-US" w:eastAsia="zh-CN"/>
          <w14:textFill>
            <w14:solidFill>
              <w14:schemeClr w14:val="tx1"/>
            </w14:solidFill>
          </w14:textFill>
        </w:rPr>
        <w:t xml:space="preserve"> </w:t>
      </w:r>
      <w:r>
        <w:rPr>
          <w:rFonts w:hint="eastAsia" w:cs="仿宋_GB2312"/>
          <w:color w:val="000000" w:themeColor="text1"/>
          <w:sz w:val="30"/>
          <w:szCs w:val="30"/>
          <w14:textFill>
            <w14:solidFill>
              <w14:schemeClr w14:val="tx1"/>
            </w14:solidFill>
          </w14:textFill>
        </w:rPr>
        <w:t>三亚市海棠区</w:t>
      </w:r>
      <w:r>
        <w:rPr>
          <w:rFonts w:hint="eastAsia" w:cs="仿宋_GB2312"/>
          <w:color w:val="000000" w:themeColor="text1"/>
          <w:sz w:val="30"/>
          <w:szCs w:val="30"/>
          <w:lang w:eastAsia="zh-CN"/>
          <w14:textFill>
            <w14:solidFill>
              <w14:schemeClr w14:val="tx1"/>
            </w14:solidFill>
          </w14:textFill>
        </w:rPr>
        <w:t>进士中学</w:t>
      </w:r>
      <w:r>
        <w:rPr>
          <w:rFonts w:hint="eastAsia" w:cs="仿宋_GB2312"/>
          <w:color w:val="000000" w:themeColor="text1"/>
          <w:sz w:val="30"/>
          <w:szCs w:val="30"/>
          <w14:textFill>
            <w14:solidFill>
              <w14:schemeClr w14:val="tx1"/>
            </w14:solidFill>
          </w14:textFill>
        </w:rPr>
        <w:t>是全额拨款事业单位。其主要职责：实施</w:t>
      </w:r>
      <w:r>
        <w:rPr>
          <w:rFonts w:hint="eastAsia" w:cs="仿宋_GB2312"/>
          <w:color w:val="000000" w:themeColor="text1"/>
          <w:sz w:val="30"/>
          <w:szCs w:val="30"/>
          <w:lang w:val="en-US" w:eastAsia="zh-CN"/>
          <w14:textFill>
            <w14:solidFill>
              <w14:schemeClr w14:val="tx1"/>
            </w14:solidFill>
          </w14:textFill>
        </w:rPr>
        <w:t>中</w:t>
      </w:r>
      <w:r>
        <w:rPr>
          <w:rFonts w:hint="eastAsia" w:cs="仿宋_GB2312"/>
          <w:color w:val="000000" w:themeColor="text1"/>
          <w:sz w:val="30"/>
          <w:szCs w:val="30"/>
          <w14:textFill>
            <w14:solidFill>
              <w14:schemeClr w14:val="tx1"/>
            </w14:solidFill>
          </w14:textFill>
        </w:rPr>
        <w:t>学义务教育，促进基础教育发展，</w:t>
      </w:r>
      <w:r>
        <w:rPr>
          <w:rFonts w:hint="eastAsia" w:cs="仿宋_GB2312"/>
          <w:color w:val="000000" w:themeColor="text1"/>
          <w:sz w:val="30"/>
          <w:szCs w:val="30"/>
          <w:lang w:eastAsia="zh-CN"/>
          <w14:textFill>
            <w14:solidFill>
              <w14:schemeClr w14:val="tx1"/>
            </w14:solidFill>
          </w14:textFill>
        </w:rPr>
        <w:t>以抓好教学管理形式形成自身特色为基础，深化教育改革，全面推进素质教育，培养全面发展的合格人才。</w:t>
      </w:r>
    </w:p>
    <w:p>
      <w:pPr>
        <w:spacing w:line="578" w:lineRule="exact"/>
        <w:ind w:firstLine="640" w:firstLineChars="200"/>
        <w:rPr>
          <w:rFonts w:hint="eastAsia" w:ascii="黑体" w:hAnsi="黑体" w:eastAsia="黑体" w:cs="黑体"/>
          <w:color w:val="000000" w:themeColor="text1"/>
          <w:sz w:val="32"/>
          <w:szCs w:val="32"/>
          <w14:textFill>
            <w14:solidFill>
              <w14:schemeClr w14:val="tx1"/>
            </w14:solidFill>
          </w14:textFill>
        </w:rPr>
      </w:pPr>
      <w:bookmarkStart w:id="14" w:name="_Toc4833_WPSOffice_Level2"/>
      <w:bookmarkStart w:id="15" w:name="_Toc24059_WPSOffice_Level2"/>
      <w:bookmarkStart w:id="16" w:name="_Toc17796_WPSOffice_Level2"/>
      <w:bookmarkStart w:id="17" w:name="_Toc6572_WPSOffice_Level2"/>
      <w:bookmarkStart w:id="18" w:name="_Toc24474_WPSOffice_Level2"/>
      <w:r>
        <w:rPr>
          <w:rFonts w:hint="eastAsia" w:ascii="黑体" w:hAnsi="黑体" w:eastAsia="黑体" w:cs="黑体"/>
          <w:color w:val="000000" w:themeColor="text1"/>
          <w:sz w:val="32"/>
          <w:szCs w:val="32"/>
          <w14:textFill>
            <w14:solidFill>
              <w14:schemeClr w14:val="tx1"/>
            </w14:solidFill>
          </w14:textFill>
        </w:rPr>
        <w:t>二、机构设置</w:t>
      </w:r>
      <w:bookmarkEnd w:id="14"/>
      <w:bookmarkEnd w:id="15"/>
      <w:bookmarkEnd w:id="16"/>
      <w:bookmarkEnd w:id="17"/>
      <w:bookmarkEnd w:id="18"/>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heme="majorEastAsia" w:hAnsiTheme="majorEastAsia" w:eastAsiaTheme="majorEastAsia" w:cstheme="majorEastAsia"/>
          <w:b w:val="0"/>
          <w:bCs w:val="0"/>
          <w:color w:val="000000" w:themeColor="text1"/>
          <w:sz w:val="32"/>
          <w:szCs w:val="32"/>
          <w:lang w:val="en-US" w:eastAsia="zh-CN"/>
          <w14:textFill>
            <w14:solidFill>
              <w14:schemeClr w14:val="tx1"/>
            </w14:solidFill>
          </w14:textFill>
        </w:rPr>
      </w:pPr>
      <w:bookmarkStart w:id="19" w:name="_Toc6234_WPSOffice_Level1"/>
      <w:bookmarkStart w:id="20" w:name="_Toc15521_WPSOffice_Level1"/>
      <w:bookmarkStart w:id="21" w:name="_Toc30451_WPSOffice_Level1"/>
      <w:bookmarkStart w:id="22" w:name="_Toc28253_WPSOffice_Level1"/>
      <w:bookmarkStart w:id="23" w:name="_Toc30690_WPSOffice_Level1"/>
      <w:bookmarkStart w:id="24" w:name="_Toc8164_WPSOffice_Level1"/>
      <w:bookmarkStart w:id="25" w:name="_Toc4029_WPSOffice_Level2"/>
      <w:bookmarkStart w:id="26" w:name="_Toc11518_WPSOffice_Level2"/>
      <w:bookmarkStart w:id="27" w:name="_Toc32472_WPSOffice_Level2"/>
      <w:bookmarkStart w:id="28" w:name="_Toc32695_WPSOffice_Level2"/>
      <w:bookmarkStart w:id="29" w:name="_Toc8867_WPSOffice_Level2"/>
      <w:bookmarkStart w:id="30" w:name="_Toc6211_WPSOffice_Level2"/>
      <w:r>
        <w:rPr>
          <w:rFonts w:hint="eastAsia" w:asciiTheme="majorEastAsia" w:hAnsiTheme="majorEastAsia" w:eastAsiaTheme="majorEastAsia" w:cstheme="majorEastAsia"/>
          <w:b w:val="0"/>
          <w:bCs w:val="0"/>
          <w:color w:val="000000" w:themeColor="text1"/>
          <w:sz w:val="32"/>
          <w:szCs w:val="32"/>
          <w:lang w:val="en-US" w:eastAsia="zh-CN"/>
          <w14:textFill>
            <w14:solidFill>
              <w14:schemeClr w14:val="tx1"/>
            </w14:solidFill>
          </w14:textFill>
        </w:rPr>
        <w:t>本单位无内设机构。事业编制43名，其中：校长1名，副校长1名，截止2024年12月31日，单位实际在编人员31人。</w:t>
      </w:r>
    </w:p>
    <w:p>
      <w:pPr>
        <w:spacing w:line="578" w:lineRule="exact"/>
        <w:jc w:val="center"/>
        <w:rPr>
          <w:rFonts w:hint="eastAsia" w:ascii="黑体" w:hAnsi="ˎ̥" w:eastAsia="黑体"/>
          <w:color w:val="000000" w:themeColor="text1"/>
          <w:sz w:val="32"/>
          <w:szCs w:val="32"/>
          <w14:textFill>
            <w14:solidFill>
              <w14:schemeClr w14:val="tx1"/>
            </w14:solidFill>
          </w14:textFill>
        </w:rPr>
      </w:pPr>
    </w:p>
    <w:p>
      <w:pPr>
        <w:spacing w:line="578" w:lineRule="exact"/>
        <w:jc w:val="center"/>
        <w:rPr>
          <w:rFonts w:hint="eastAsia" w:ascii="黑体" w:hAnsi="ˎ̥" w:eastAsia="黑体"/>
          <w:color w:val="000000" w:themeColor="text1"/>
          <w:sz w:val="32"/>
          <w:szCs w:val="32"/>
          <w14:textFill>
            <w14:solidFill>
              <w14:schemeClr w14:val="tx1"/>
            </w14:solidFill>
          </w14:textFill>
        </w:rPr>
      </w:pPr>
      <w:r>
        <w:rPr>
          <w:rFonts w:hint="eastAsia" w:ascii="黑体" w:hAnsi="ˎ̥" w:eastAsia="黑体"/>
          <w:color w:val="000000" w:themeColor="text1"/>
          <w:sz w:val="32"/>
          <w:szCs w:val="32"/>
          <w14:textFill>
            <w14:solidFill>
              <w14:schemeClr w14:val="tx1"/>
            </w14:solidFill>
          </w14:textFill>
        </w:rPr>
        <w:t xml:space="preserve">第二部分  </w:t>
      </w:r>
      <w:r>
        <w:rPr>
          <w:rFonts w:hint="default" w:ascii="黑体" w:hAnsi="ˎ̥" w:eastAsia="黑体"/>
          <w:color w:val="000000" w:themeColor="text1"/>
          <w:sz w:val="32"/>
          <w:szCs w:val="32"/>
          <w:lang w:val="en-US"/>
          <w14:textFill>
            <w14:solidFill>
              <w14:schemeClr w14:val="tx1"/>
            </w14:solidFill>
          </w14:textFill>
        </w:rPr>
        <w:t>2024</w:t>
      </w:r>
      <w:r>
        <w:rPr>
          <w:rFonts w:hint="eastAsia" w:ascii="黑体" w:hAnsi="ˎ̥" w:eastAsia="黑体"/>
          <w:color w:val="000000" w:themeColor="text1"/>
          <w:sz w:val="32"/>
          <w:szCs w:val="32"/>
          <w14:textFill>
            <w14:solidFill>
              <w14:schemeClr w14:val="tx1"/>
            </w14:solidFill>
          </w14:textFill>
        </w:rPr>
        <w:t>年度部门决算公开报表</w:t>
      </w:r>
      <w:bookmarkEnd w:id="19"/>
      <w:bookmarkEnd w:id="20"/>
      <w:bookmarkEnd w:id="21"/>
      <w:bookmarkEnd w:id="22"/>
      <w:bookmarkEnd w:id="23"/>
      <w:bookmarkEnd w:id="24"/>
    </w:p>
    <w:p>
      <w:pPr>
        <w:spacing w:line="578" w:lineRule="exact"/>
        <w:ind w:firstLine="645"/>
        <w:rPr>
          <w:rFonts w:hint="eastAsia" w:ascii="黑体" w:hAnsi="黑体" w:eastAsia="黑体" w:cs="黑体"/>
          <w:color w:val="000000" w:themeColor="text1"/>
          <w:sz w:val="32"/>
          <w:szCs w:val="32"/>
          <w14:textFill>
            <w14:solidFill>
              <w14:schemeClr w14:val="tx1"/>
            </w14:solidFill>
          </w14:textFill>
        </w:rPr>
      </w:pPr>
    </w:p>
    <w:p>
      <w:pPr>
        <w:spacing w:line="578" w:lineRule="exact"/>
        <w:ind w:firstLine="645"/>
        <w:jc w:val="left"/>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一、收入支出决算公开表</w:t>
      </w:r>
      <w:bookmarkEnd w:id="25"/>
      <w:bookmarkEnd w:id="26"/>
      <w:bookmarkEnd w:id="27"/>
      <w:bookmarkEnd w:id="28"/>
      <w:bookmarkEnd w:id="29"/>
      <w:bookmarkEnd w:id="30"/>
    </w:p>
    <w:p>
      <w:pPr>
        <w:spacing w:line="578" w:lineRule="exact"/>
        <w:ind w:firstLine="645"/>
        <w:jc w:val="left"/>
        <w:rPr>
          <w:rFonts w:hint="eastAsia" w:ascii="黑体" w:hAnsi="黑体" w:eastAsia="黑体" w:cs="黑体"/>
          <w:color w:val="000000" w:themeColor="text1"/>
          <w:sz w:val="32"/>
          <w:szCs w:val="32"/>
          <w14:textFill>
            <w14:solidFill>
              <w14:schemeClr w14:val="tx1"/>
            </w14:solidFill>
          </w14:textFill>
        </w:rPr>
      </w:pPr>
      <w:bookmarkStart w:id="31" w:name="_Toc14349_WPSOffice_Level2"/>
      <w:bookmarkStart w:id="32" w:name="_Toc28622_WPSOffice_Level2"/>
      <w:bookmarkStart w:id="33" w:name="_Toc26621_WPSOffice_Level2"/>
      <w:bookmarkStart w:id="34" w:name="_Toc23139_WPSOffice_Level2"/>
      <w:bookmarkStart w:id="35" w:name="_Toc30334_WPSOffice_Level2"/>
      <w:bookmarkStart w:id="36" w:name="_Toc25608_WPSOffice_Level2"/>
      <w:r>
        <w:rPr>
          <w:rFonts w:hint="eastAsia" w:ascii="黑体" w:hAnsi="黑体" w:eastAsia="黑体" w:cs="黑体"/>
          <w:color w:val="000000" w:themeColor="text1"/>
          <w:sz w:val="32"/>
          <w:szCs w:val="32"/>
          <w14:textFill>
            <w14:solidFill>
              <w14:schemeClr w14:val="tx1"/>
            </w14:solidFill>
          </w14:textFill>
        </w:rPr>
        <w:t>二、收入决算公开表</w:t>
      </w:r>
      <w:bookmarkEnd w:id="31"/>
      <w:bookmarkEnd w:id="32"/>
      <w:bookmarkEnd w:id="33"/>
      <w:bookmarkEnd w:id="34"/>
      <w:bookmarkEnd w:id="35"/>
      <w:bookmarkEnd w:id="36"/>
      <w:bookmarkStart w:id="37" w:name="_Toc3262_WPSOffice_Level2"/>
      <w:bookmarkStart w:id="38" w:name="_Toc13854_WPSOffice_Level2"/>
      <w:bookmarkStart w:id="39" w:name="_Toc17626_WPSOffice_Level2"/>
      <w:bookmarkStart w:id="40" w:name="_Toc14658_WPSOffice_Level2"/>
      <w:bookmarkStart w:id="41" w:name="_Toc17858_WPSOffice_Level2"/>
      <w:bookmarkStart w:id="42" w:name="_Toc5489_WPSOffice_Level2"/>
    </w:p>
    <w:p>
      <w:pPr>
        <w:spacing w:line="578" w:lineRule="exact"/>
        <w:ind w:firstLine="645"/>
        <w:jc w:val="left"/>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三、支出决算公开表</w:t>
      </w:r>
      <w:bookmarkEnd w:id="37"/>
      <w:bookmarkEnd w:id="38"/>
      <w:bookmarkEnd w:id="39"/>
      <w:bookmarkEnd w:id="40"/>
      <w:bookmarkEnd w:id="41"/>
      <w:bookmarkEnd w:id="42"/>
      <w:bookmarkStart w:id="43" w:name="_Toc21415_WPSOffice_Level2"/>
      <w:bookmarkStart w:id="44" w:name="_Toc23493_WPSOffice_Level2"/>
      <w:bookmarkStart w:id="45" w:name="_Toc7988_WPSOffice_Level2"/>
      <w:bookmarkStart w:id="46" w:name="_Toc13701_WPSOffice_Level2"/>
      <w:bookmarkStart w:id="47" w:name="_Toc4265_WPSOffice_Level2"/>
      <w:bookmarkStart w:id="48" w:name="_Toc23591_WPSOffice_Level2"/>
    </w:p>
    <w:p>
      <w:pPr>
        <w:spacing w:line="578" w:lineRule="exact"/>
        <w:ind w:firstLine="645"/>
        <w:jc w:val="left"/>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四、财政拨款收入支出决算公开表</w:t>
      </w:r>
      <w:bookmarkEnd w:id="43"/>
      <w:bookmarkEnd w:id="44"/>
      <w:bookmarkEnd w:id="45"/>
      <w:bookmarkEnd w:id="46"/>
      <w:bookmarkEnd w:id="47"/>
      <w:bookmarkEnd w:id="48"/>
    </w:p>
    <w:p>
      <w:pPr>
        <w:spacing w:line="578" w:lineRule="exact"/>
        <w:ind w:firstLine="645"/>
        <w:jc w:val="left"/>
        <w:rPr>
          <w:rFonts w:hint="eastAsia" w:ascii="黑体" w:hAnsi="黑体" w:eastAsia="黑体" w:cs="黑体"/>
          <w:color w:val="000000" w:themeColor="text1"/>
          <w:sz w:val="32"/>
          <w:szCs w:val="32"/>
          <w14:textFill>
            <w14:solidFill>
              <w14:schemeClr w14:val="tx1"/>
            </w14:solidFill>
          </w14:textFill>
        </w:rPr>
      </w:pPr>
      <w:bookmarkStart w:id="49" w:name="_Toc7879_WPSOffice_Level2"/>
      <w:bookmarkStart w:id="50" w:name="_Toc22783_WPSOffice_Level2"/>
      <w:bookmarkStart w:id="51" w:name="_Toc23829_WPSOffice_Level2"/>
      <w:bookmarkStart w:id="52" w:name="_Toc25166_WPSOffice_Level2"/>
      <w:bookmarkStart w:id="53" w:name="_Toc13516_WPSOffice_Level2"/>
      <w:bookmarkStart w:id="54" w:name="_Toc2158_WPSOffice_Level2"/>
      <w:r>
        <w:rPr>
          <w:rFonts w:hint="eastAsia" w:ascii="黑体" w:hAnsi="黑体" w:eastAsia="黑体" w:cs="黑体"/>
          <w:color w:val="000000" w:themeColor="text1"/>
          <w:sz w:val="32"/>
          <w:szCs w:val="32"/>
          <w14:textFill>
            <w14:solidFill>
              <w14:schemeClr w14:val="tx1"/>
            </w14:solidFill>
          </w14:textFill>
        </w:rPr>
        <w:t>五、一般公共预算财政拨款收入支出决算</w:t>
      </w:r>
      <w:bookmarkEnd w:id="49"/>
      <w:bookmarkEnd w:id="50"/>
      <w:bookmarkEnd w:id="51"/>
      <w:bookmarkEnd w:id="52"/>
      <w:r>
        <w:rPr>
          <w:rFonts w:hint="eastAsia" w:ascii="黑体" w:hAnsi="黑体" w:eastAsia="黑体" w:cs="黑体"/>
          <w:color w:val="000000" w:themeColor="text1"/>
          <w:sz w:val="32"/>
          <w:szCs w:val="32"/>
          <w14:textFill>
            <w14:solidFill>
              <w14:schemeClr w14:val="tx1"/>
            </w14:solidFill>
          </w14:textFill>
        </w:rPr>
        <w:t>公开表</w:t>
      </w:r>
      <w:bookmarkEnd w:id="53"/>
      <w:bookmarkEnd w:id="54"/>
      <w:bookmarkStart w:id="55" w:name="_Toc8373_WPSOffice_Level2"/>
      <w:bookmarkStart w:id="56" w:name="_Toc17833_WPSOffice_Level2"/>
      <w:bookmarkStart w:id="57" w:name="_Toc2632_WPSOffice_Level2"/>
      <w:bookmarkStart w:id="58" w:name="_Toc17283_WPSOffice_Level2"/>
      <w:bookmarkStart w:id="59" w:name="_Toc25362_WPSOffice_Level2"/>
      <w:bookmarkStart w:id="60" w:name="_Toc5343_WPSOffice_Level2"/>
    </w:p>
    <w:p>
      <w:pPr>
        <w:spacing w:line="578" w:lineRule="exact"/>
        <w:ind w:firstLine="645"/>
        <w:jc w:val="left"/>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六、一般公共预算财政拨款基本支出决算</w:t>
      </w:r>
      <w:bookmarkEnd w:id="55"/>
      <w:bookmarkEnd w:id="56"/>
      <w:bookmarkEnd w:id="57"/>
      <w:bookmarkEnd w:id="58"/>
      <w:bookmarkEnd w:id="59"/>
      <w:bookmarkEnd w:id="60"/>
      <w:r>
        <w:rPr>
          <w:rFonts w:hint="eastAsia" w:ascii="黑体" w:hAnsi="黑体" w:eastAsia="黑体" w:cs="黑体"/>
          <w:color w:val="000000" w:themeColor="text1"/>
          <w:sz w:val="32"/>
          <w:szCs w:val="32"/>
          <w14:textFill>
            <w14:solidFill>
              <w14:schemeClr w14:val="tx1"/>
            </w14:solidFill>
          </w14:textFill>
        </w:rPr>
        <w:t>公开表</w:t>
      </w:r>
    </w:p>
    <w:p>
      <w:pPr>
        <w:spacing w:line="578" w:lineRule="exact"/>
        <w:ind w:left="1118" w:leftChars="304" w:hanging="480" w:hangingChars="150"/>
        <w:jc w:val="left"/>
        <w:rPr>
          <w:rFonts w:hint="eastAsia" w:ascii="黑体" w:hAnsi="黑体" w:eastAsia="黑体" w:cs="黑体"/>
          <w:color w:val="000000" w:themeColor="text1"/>
          <w:sz w:val="32"/>
          <w:szCs w:val="32"/>
          <w14:textFill>
            <w14:solidFill>
              <w14:schemeClr w14:val="tx1"/>
            </w14:solidFill>
          </w14:textFill>
        </w:rPr>
      </w:pPr>
      <w:bookmarkStart w:id="61" w:name="_Toc1533_WPSOffice_Level2"/>
      <w:bookmarkStart w:id="62" w:name="_Toc21310_WPSOffice_Level2"/>
      <w:bookmarkStart w:id="63" w:name="_Toc5594_WPSOffice_Level2"/>
      <w:bookmarkStart w:id="64" w:name="_Toc13345_WPSOffice_Level2"/>
      <w:bookmarkStart w:id="65" w:name="_Toc6020_WPSOffice_Level2"/>
      <w:bookmarkStart w:id="66" w:name="_Toc11799_WPSOffice_Level2"/>
      <w:r>
        <w:rPr>
          <w:rFonts w:hint="eastAsia" w:ascii="黑体" w:hAnsi="黑体" w:eastAsia="黑体" w:cs="黑体"/>
          <w:color w:val="000000" w:themeColor="text1"/>
          <w:sz w:val="32"/>
          <w:szCs w:val="32"/>
          <w14:textFill>
            <w14:solidFill>
              <w14:schemeClr w14:val="tx1"/>
            </w14:solidFill>
          </w14:textFill>
        </w:rPr>
        <w:t>七、政府性基金预算财政拨款收入支出决算</w:t>
      </w:r>
      <w:bookmarkEnd w:id="61"/>
      <w:bookmarkEnd w:id="62"/>
      <w:bookmarkEnd w:id="63"/>
      <w:bookmarkEnd w:id="64"/>
      <w:bookmarkEnd w:id="65"/>
      <w:bookmarkEnd w:id="66"/>
      <w:r>
        <w:rPr>
          <w:rFonts w:hint="eastAsia" w:ascii="黑体" w:hAnsi="黑体" w:eastAsia="黑体" w:cs="黑体"/>
          <w:color w:val="000000" w:themeColor="text1"/>
          <w:sz w:val="32"/>
          <w:szCs w:val="32"/>
          <w14:textFill>
            <w14:solidFill>
              <w14:schemeClr w14:val="tx1"/>
            </w14:solidFill>
          </w14:textFill>
        </w:rPr>
        <w:t>公开表</w:t>
      </w:r>
    </w:p>
    <w:p>
      <w:pPr>
        <w:spacing w:line="578" w:lineRule="exact"/>
        <w:ind w:left="1118" w:leftChars="304" w:hanging="480" w:hangingChars="150"/>
        <w:jc w:val="left"/>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八、国有资本经营预算财政拨款收入支出决算公开表</w:t>
      </w:r>
    </w:p>
    <w:p>
      <w:pPr>
        <w:spacing w:line="578" w:lineRule="exact"/>
        <w:ind w:firstLine="640"/>
        <w:jc w:val="left"/>
        <w:rPr>
          <w:rFonts w:hint="eastAsia" w:ascii="黑体" w:hAnsi="黑体" w:eastAsia="黑体" w:cs="黑体"/>
          <w:color w:val="000000" w:themeColor="text1"/>
          <w:sz w:val="32"/>
          <w:szCs w:val="32"/>
          <w14:textFill>
            <w14:solidFill>
              <w14:schemeClr w14:val="tx1"/>
            </w14:solidFill>
          </w14:textFill>
        </w:rPr>
      </w:pPr>
      <w:bookmarkStart w:id="67" w:name="_Toc9377_WPSOffice_Level2"/>
      <w:bookmarkStart w:id="68" w:name="_Toc1820_WPSOffice_Level2"/>
      <w:bookmarkStart w:id="69" w:name="_Toc29886_WPSOffice_Level2"/>
      <w:bookmarkStart w:id="70" w:name="_Toc19961_WPSOffice_Level2"/>
      <w:r>
        <w:rPr>
          <w:rFonts w:hint="eastAsia" w:ascii="黑体" w:hAnsi="黑体" w:eastAsia="黑体" w:cs="黑体"/>
          <w:color w:val="000000" w:themeColor="text1"/>
          <w:sz w:val="32"/>
          <w:szCs w:val="32"/>
          <w14:textFill>
            <w14:solidFill>
              <w14:schemeClr w14:val="tx1"/>
            </w14:solidFill>
          </w14:textFill>
        </w:rPr>
        <w:t>九、财政拨款“三公”经费支出决算</w:t>
      </w:r>
      <w:bookmarkEnd w:id="67"/>
      <w:bookmarkEnd w:id="68"/>
      <w:bookmarkEnd w:id="69"/>
      <w:bookmarkEnd w:id="70"/>
      <w:r>
        <w:rPr>
          <w:rFonts w:hint="eastAsia" w:ascii="黑体" w:hAnsi="黑体" w:eastAsia="黑体" w:cs="黑体"/>
          <w:color w:val="000000" w:themeColor="text1"/>
          <w:sz w:val="32"/>
          <w:szCs w:val="32"/>
          <w14:textFill>
            <w14:solidFill>
              <w14:schemeClr w14:val="tx1"/>
            </w14:solidFill>
          </w14:textFill>
        </w:rPr>
        <w:t>公开表</w:t>
      </w:r>
    </w:p>
    <w:p>
      <w:pPr>
        <w:spacing w:line="578" w:lineRule="exact"/>
        <w:ind w:firstLine="640"/>
        <w:jc w:val="left"/>
        <w:rPr>
          <w:rFonts w:hint="eastAsia" w:ascii="仿宋" w:hAnsi="仿宋" w:eastAsia="仿宋" w:cs="仿宋"/>
          <w:color w:val="000000" w:themeColor="text1"/>
          <w:w w:val="100"/>
          <w:sz w:val="32"/>
          <w:szCs w:val="32"/>
          <w14:textFill>
            <w14:solidFill>
              <w14:schemeClr w14:val="tx1"/>
            </w14:solidFill>
          </w14:textFill>
        </w:rPr>
      </w:pPr>
      <w:r>
        <w:rPr>
          <w:rFonts w:hint="eastAsia" w:ascii="仿宋" w:hAnsi="仿宋" w:eastAsia="仿宋" w:cs="仿宋"/>
          <w:color w:val="000000" w:themeColor="text1"/>
          <w:w w:val="100"/>
          <w:sz w:val="32"/>
          <w:szCs w:val="32"/>
          <w14:textFill>
            <w14:solidFill>
              <w14:schemeClr w14:val="tx1"/>
            </w14:solidFill>
          </w14:textFill>
        </w:rPr>
        <w:t>以上报表见附件1。</w:t>
      </w:r>
    </w:p>
    <w:p>
      <w:pPr>
        <w:spacing w:line="578" w:lineRule="exact"/>
        <w:jc w:val="left"/>
        <w:rPr>
          <w:rFonts w:hint="eastAsia" w:ascii="黑体" w:hAnsi="黑体" w:eastAsia="黑体" w:cs="黑体"/>
          <w:color w:val="000000" w:themeColor="text1"/>
          <w:sz w:val="32"/>
          <w:szCs w:val="32"/>
          <w14:textFill>
            <w14:solidFill>
              <w14:schemeClr w14:val="tx1"/>
            </w14:solidFill>
          </w14:textFill>
        </w:rPr>
      </w:pPr>
    </w:p>
    <w:p>
      <w:pPr>
        <w:spacing w:line="578" w:lineRule="exact"/>
        <w:jc w:val="center"/>
        <w:rPr>
          <w:rFonts w:hint="eastAsia" w:ascii="黑体" w:hAnsi="ˎ̥" w:eastAsia="黑体"/>
          <w:color w:val="000000" w:themeColor="text1"/>
          <w:sz w:val="32"/>
          <w:szCs w:val="32"/>
          <w14:textFill>
            <w14:solidFill>
              <w14:schemeClr w14:val="tx1"/>
            </w14:solidFill>
          </w14:textFill>
        </w:rPr>
      </w:pPr>
      <w:bookmarkStart w:id="71" w:name="_Toc27590_WPSOffice_Level1"/>
      <w:bookmarkStart w:id="72" w:name="_Toc28629_WPSOffice_Level1"/>
      <w:bookmarkStart w:id="73" w:name="_Toc31264_WPSOffice_Level1"/>
      <w:bookmarkStart w:id="74" w:name="_Toc4402_WPSOffice_Level1"/>
      <w:bookmarkStart w:id="75" w:name="_Toc29683_WPSOffice_Level1"/>
      <w:bookmarkStart w:id="76" w:name="_Toc16686_WPSOffice_Level1"/>
      <w:r>
        <w:rPr>
          <w:rFonts w:hint="eastAsia" w:ascii="黑体" w:hAnsi="ˎ̥" w:eastAsia="黑体"/>
          <w:color w:val="000000" w:themeColor="text1"/>
          <w:sz w:val="32"/>
          <w:szCs w:val="32"/>
          <w14:textFill>
            <w14:solidFill>
              <w14:schemeClr w14:val="tx1"/>
            </w14:solidFill>
          </w14:textFill>
        </w:rPr>
        <w:t xml:space="preserve">第三部分  </w:t>
      </w:r>
      <w:r>
        <w:rPr>
          <w:rFonts w:hint="default" w:ascii="黑体" w:hAnsi="ˎ̥" w:eastAsia="黑体"/>
          <w:color w:val="000000" w:themeColor="text1"/>
          <w:sz w:val="32"/>
          <w:szCs w:val="32"/>
          <w:lang w:val="en-US"/>
          <w14:textFill>
            <w14:solidFill>
              <w14:schemeClr w14:val="tx1"/>
            </w14:solidFill>
          </w14:textFill>
        </w:rPr>
        <w:t>2024</w:t>
      </w:r>
      <w:r>
        <w:rPr>
          <w:rFonts w:hint="eastAsia" w:ascii="黑体" w:hAnsi="ˎ̥" w:eastAsia="黑体"/>
          <w:color w:val="000000" w:themeColor="text1"/>
          <w:sz w:val="32"/>
          <w:szCs w:val="32"/>
          <w14:textFill>
            <w14:solidFill>
              <w14:schemeClr w14:val="tx1"/>
            </w14:solidFill>
          </w14:textFill>
        </w:rPr>
        <w:t>年度部门决算情况说明</w:t>
      </w:r>
      <w:bookmarkEnd w:id="71"/>
      <w:bookmarkEnd w:id="72"/>
      <w:bookmarkEnd w:id="73"/>
      <w:bookmarkEnd w:id="74"/>
      <w:bookmarkEnd w:id="75"/>
      <w:bookmarkEnd w:id="76"/>
    </w:p>
    <w:p>
      <w:pPr>
        <w:spacing w:line="578" w:lineRule="exact"/>
        <w:jc w:val="center"/>
        <w:rPr>
          <w:rFonts w:hint="eastAsia" w:ascii="黑体" w:hAnsi="ˎ̥" w:eastAsia="黑体"/>
          <w:color w:val="000000" w:themeColor="text1"/>
          <w:sz w:val="32"/>
          <w:szCs w:val="32"/>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一、收入支出总体情况说明</w:t>
      </w:r>
      <w:r>
        <w:rPr>
          <w:rFonts w:hint="eastAsia" w:ascii="黑体" w:hAnsi="黑体" w:eastAsia="黑体" w:cs="黑体"/>
          <w:bCs/>
          <w:color w:val="000000" w:themeColor="text1"/>
          <w:sz w:val="32"/>
          <w:szCs w:val="32"/>
          <w14:textFill>
            <w14:solidFill>
              <w14:schemeClr w14:val="tx1"/>
            </w14:solidFill>
          </w14:textFill>
        </w:rPr>
        <w:br w:type="textWrapping"/>
      </w:r>
      <w:r>
        <w:rPr>
          <w:rFonts w:hint="eastAsia" w:ascii="楷体_GB2312" w:hAnsi="ˎ̥" w:eastAsia="楷体_GB2312"/>
          <w:color w:val="000000" w:themeColor="text1"/>
          <w:sz w:val="32"/>
          <w:szCs w:val="32"/>
          <w14:textFill>
            <w14:solidFill>
              <w14:schemeClr w14:val="tx1"/>
            </w14:solidFill>
          </w14:textFill>
        </w:rPr>
        <w:t xml:space="preserve">    </w:t>
      </w: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年度收入总计</w:t>
      </w:r>
      <w:r>
        <w:rPr>
          <w:rFonts w:hint="default" w:ascii="仿宋_GB2312" w:hAnsi="ˎ̥" w:eastAsia="仿宋_GB2312"/>
          <w:color w:val="000000" w:themeColor="text1"/>
          <w:sz w:val="32"/>
          <w:szCs w:val="32"/>
          <w:lang w:val="en-US"/>
          <w14:textFill>
            <w14:solidFill>
              <w14:schemeClr w14:val="tx1"/>
            </w14:solidFill>
          </w14:textFill>
        </w:rPr>
        <w:t>1,809.35</w:t>
      </w:r>
      <w:r>
        <w:rPr>
          <w:rFonts w:hint="eastAsia" w:ascii="仿宋_GB2312" w:hAnsi="ˎ̥" w:eastAsia="仿宋_GB2312"/>
          <w:color w:val="000000" w:themeColor="text1"/>
          <w:sz w:val="32"/>
          <w:szCs w:val="32"/>
          <w14:textFill>
            <w14:solidFill>
              <w14:schemeClr w14:val="tx1"/>
            </w14:solidFill>
          </w14:textFill>
        </w:rPr>
        <w:t>万元，支出总计</w:t>
      </w:r>
      <w:r>
        <w:rPr>
          <w:rFonts w:hint="default" w:ascii="仿宋_GB2312" w:hAnsi="ˎ̥" w:eastAsia="仿宋_GB2312"/>
          <w:color w:val="000000" w:themeColor="text1"/>
          <w:sz w:val="32"/>
          <w:szCs w:val="32"/>
          <w:lang w:val="en-US"/>
          <w14:textFill>
            <w14:solidFill>
              <w14:schemeClr w14:val="tx1"/>
            </w14:solidFill>
          </w14:textFill>
        </w:rPr>
        <w:t>1,809.35</w:t>
      </w:r>
      <w:r>
        <w:rPr>
          <w:rFonts w:hint="eastAsia" w:ascii="仿宋_GB2312" w:hAnsi="ˎ̥" w:eastAsia="仿宋_GB2312"/>
          <w:color w:val="000000" w:themeColor="text1"/>
          <w:sz w:val="32"/>
          <w:szCs w:val="32"/>
          <w14:textFill>
            <w14:solidFill>
              <w14:schemeClr w14:val="tx1"/>
            </w14:solidFill>
          </w14:textFill>
        </w:rPr>
        <w:t>万元，与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年度相比，收入、支出总计各增加</w:t>
      </w:r>
      <w:r>
        <w:rPr>
          <w:rFonts w:hint="eastAsia" w:ascii="仿宋_GB2312" w:hAnsi="ˎ̥" w:eastAsia="仿宋_GB2312"/>
          <w:color w:val="000000" w:themeColor="text1"/>
          <w:sz w:val="32"/>
          <w:szCs w:val="32"/>
          <w:lang w:val="en-US" w:eastAsia="zh-CN"/>
          <w14:textFill>
            <w14:solidFill>
              <w14:schemeClr w14:val="tx1"/>
            </w14:solidFill>
          </w14:textFill>
        </w:rPr>
        <w:t>344.89</w:t>
      </w:r>
      <w:r>
        <w:rPr>
          <w:rFonts w:hint="eastAsia" w:ascii="仿宋_GB2312" w:hAnsi="ˎ̥" w:eastAsia="仿宋_GB2312"/>
          <w:color w:val="000000" w:themeColor="text1"/>
          <w:sz w:val="32"/>
          <w:szCs w:val="32"/>
          <w14:textFill>
            <w14:solidFill>
              <w14:schemeClr w14:val="tx1"/>
            </w14:solidFill>
          </w14:textFill>
        </w:rPr>
        <w:t>万元，增长</w:t>
      </w:r>
      <w:r>
        <w:rPr>
          <w:rFonts w:hint="eastAsia" w:ascii="仿宋_GB2312" w:hAnsi="ˎ̥" w:eastAsia="仿宋_GB2312"/>
          <w:color w:val="000000" w:themeColor="text1"/>
          <w:sz w:val="32"/>
          <w:szCs w:val="32"/>
          <w:lang w:val="en-US" w:eastAsia="zh-CN"/>
          <w14:textFill>
            <w14:solidFill>
              <w14:schemeClr w14:val="tx1"/>
            </w14:solidFill>
          </w14:textFill>
        </w:rPr>
        <w:t>21.96</w:t>
      </w:r>
      <w:r>
        <w:rPr>
          <w:rFonts w:hint="eastAsia" w:ascii="仿宋_GB2312" w:hAnsi="ˎ̥" w:eastAsia="仿宋_GB2312"/>
          <w:color w:val="000000" w:themeColor="text1"/>
          <w:sz w:val="32"/>
          <w:szCs w:val="32"/>
          <w14:textFill>
            <w14:solidFill>
              <w14:schemeClr w14:val="tx1"/>
            </w14:solidFill>
          </w14:textFill>
        </w:rPr>
        <w:t>%。主要原因：一是</w:t>
      </w:r>
      <w:r>
        <w:rPr>
          <w:rFonts w:hint="eastAsia" w:ascii="仿宋_GB2312" w:hAnsi="ˎ̥" w:eastAsia="仿宋_GB2312"/>
          <w:color w:val="000000" w:themeColor="text1"/>
          <w:sz w:val="32"/>
          <w:szCs w:val="32"/>
          <w:lang w:val="en-US" w:eastAsia="zh-CN"/>
          <w14:textFill>
            <w14:solidFill>
              <w14:schemeClr w14:val="tx1"/>
            </w14:solidFill>
          </w14:textFill>
        </w:rPr>
        <w:t>2024年秋季扩班，学生人数增加，教职工人数增加、</w:t>
      </w:r>
      <w:bookmarkStart w:id="77" w:name="OLE_LINK1"/>
      <w:r>
        <w:rPr>
          <w:rFonts w:hint="eastAsia" w:ascii="仿宋_GB2312" w:hAnsi="ˎ̥" w:eastAsia="仿宋_GB2312"/>
          <w:color w:val="000000" w:themeColor="text1"/>
          <w:sz w:val="32"/>
          <w:szCs w:val="32"/>
          <w:lang w:val="en-US" w:eastAsia="zh-CN"/>
          <w14:textFill>
            <w14:solidFill>
              <w14:schemeClr w14:val="tx1"/>
            </w14:solidFill>
          </w14:textFill>
        </w:rPr>
        <w:t>教育支出和社会保障就业支出比上年增加</w:t>
      </w:r>
      <w:bookmarkEnd w:id="77"/>
      <w:r>
        <w:rPr>
          <w:rFonts w:hint="eastAsia" w:ascii="仿宋_GB2312" w:hAnsi="ˎ̥" w:eastAsia="仿宋_GB2312"/>
          <w:color w:val="000000" w:themeColor="text1"/>
          <w:sz w:val="32"/>
          <w:szCs w:val="32"/>
          <w:lang w:val="en-US" w:eastAsia="zh-CN"/>
          <w14:textFill>
            <w14:solidFill>
              <w14:schemeClr w14:val="tx1"/>
            </w14:solidFill>
          </w14:textFill>
        </w:rPr>
        <w:t>了</w:t>
      </w:r>
      <w:r>
        <w:rPr>
          <w:rFonts w:hint="eastAsia" w:ascii="仿宋_GB2312" w:hAnsi="ˎ̥" w:eastAsia="仿宋_GB2312"/>
          <w:color w:val="000000" w:themeColor="text1"/>
          <w:sz w:val="32"/>
          <w:szCs w:val="32"/>
          <w14:textFill>
            <w14:solidFill>
              <w14:schemeClr w14:val="tx1"/>
            </w14:solidFill>
          </w14:textFill>
        </w:rPr>
        <w:t>；二是</w:t>
      </w:r>
      <w:r>
        <w:rPr>
          <w:rFonts w:hint="eastAsia" w:ascii="仿宋_GB2312" w:hAnsi="ˎ̥" w:eastAsia="仿宋_GB2312"/>
          <w:color w:val="000000" w:themeColor="text1"/>
          <w:sz w:val="32"/>
          <w:szCs w:val="32"/>
          <w:lang w:val="en-US" w:eastAsia="zh-CN"/>
          <w14:textFill>
            <w14:solidFill>
              <w14:schemeClr w14:val="tx1"/>
            </w14:solidFill>
          </w14:textFill>
        </w:rPr>
        <w:t>工资福利支出，商品和服务支出增加。</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（一</w:t>
      </w:r>
      <w:r>
        <w:rPr>
          <w:rFonts w:ascii="楷体" w:hAnsi="楷体" w:eastAsia="楷体" w:cs="楷体"/>
          <w:color w:val="000000" w:themeColor="text1"/>
          <w:sz w:val="32"/>
          <w:szCs w:val="32"/>
          <w14:textFill>
            <w14:solidFill>
              <w14:schemeClr w14:val="tx1"/>
            </w14:solidFill>
          </w14:textFill>
        </w:rPr>
        <w:t>）</w:t>
      </w:r>
      <w:r>
        <w:rPr>
          <w:rFonts w:hint="eastAsia" w:ascii="楷体" w:hAnsi="楷体" w:eastAsia="楷体" w:cs="楷体"/>
          <w:color w:val="000000" w:themeColor="text1"/>
          <w:sz w:val="32"/>
          <w:szCs w:val="32"/>
          <w14:textFill>
            <w14:solidFill>
              <w14:schemeClr w14:val="tx1"/>
            </w14:solidFill>
          </w14:textFill>
        </w:rPr>
        <w:t>收入</w:t>
      </w:r>
      <w:r>
        <w:rPr>
          <w:rFonts w:ascii="楷体" w:hAnsi="楷体" w:eastAsia="楷体" w:cs="楷体"/>
          <w:color w:val="000000" w:themeColor="text1"/>
          <w:sz w:val="32"/>
          <w:szCs w:val="32"/>
          <w14:textFill>
            <w14:solidFill>
              <w14:schemeClr w14:val="tx1"/>
            </w14:solidFill>
          </w14:textFill>
        </w:rPr>
        <w:t>总计</w:t>
      </w:r>
      <w:r>
        <w:rPr>
          <w:rFonts w:hint="eastAsia" w:ascii="楷体" w:hAnsi="楷体" w:eastAsia="楷体" w:cs="楷体"/>
          <w:color w:val="000000" w:themeColor="text1"/>
          <w:sz w:val="32"/>
          <w:szCs w:val="32"/>
          <w14:textFill>
            <w14:solidFill>
              <w14:schemeClr w14:val="tx1"/>
            </w14:solidFill>
          </w14:textFill>
        </w:rPr>
        <w:t>主要</w:t>
      </w:r>
      <w:r>
        <w:rPr>
          <w:rFonts w:ascii="楷体" w:hAnsi="楷体" w:eastAsia="楷体" w:cs="楷体"/>
          <w:color w:val="000000" w:themeColor="text1"/>
          <w:sz w:val="32"/>
          <w:szCs w:val="32"/>
          <w14:textFill>
            <w14:solidFill>
              <w14:schemeClr w14:val="tx1"/>
            </w14:solidFill>
          </w14:textFill>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本年</w:t>
      </w:r>
      <w:r>
        <w:rPr>
          <w:rFonts w:ascii="仿宋_GB2312" w:hAnsi="ˎ̥" w:eastAsia="仿宋_GB2312"/>
          <w:color w:val="000000" w:themeColor="text1"/>
          <w:sz w:val="32"/>
          <w:szCs w:val="32"/>
          <w14:textFill>
            <w14:solidFill>
              <w14:schemeClr w14:val="tx1"/>
            </w14:solidFill>
          </w14:textFill>
        </w:rPr>
        <w:t>收入</w:t>
      </w:r>
      <w:r>
        <w:rPr>
          <w:rFonts w:hint="default" w:ascii="仿宋_GB2312" w:hAnsi="ˎ̥" w:eastAsia="仿宋_GB2312"/>
          <w:color w:val="000000" w:themeColor="text1"/>
          <w:sz w:val="32"/>
          <w:szCs w:val="32"/>
          <w:lang w:val="en-US"/>
          <w14:textFill>
            <w14:solidFill>
              <w14:schemeClr w14:val="tx1"/>
            </w14:solidFill>
          </w14:textFill>
        </w:rPr>
        <w:t>1,809.35</w:t>
      </w:r>
      <w:r>
        <w:rPr>
          <w:rFonts w:hint="eastAsia" w:ascii="仿宋_GB2312" w:hAnsi="ˎ̥" w:eastAsia="仿宋_GB2312"/>
          <w:color w:val="000000" w:themeColor="text1"/>
          <w:sz w:val="32"/>
          <w:szCs w:val="32"/>
          <w14:textFill>
            <w14:solidFill>
              <w14:schemeClr w14:val="tx1"/>
            </w14:solidFill>
          </w14:textFill>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使用非财政拨款结余</w:t>
      </w:r>
      <w:r>
        <w:rPr>
          <w:rFonts w:hint="default" w:ascii="仿宋_GB2312" w:hAnsi="ˎ̥" w:eastAsia="仿宋_GB2312"/>
          <w:color w:val="000000" w:themeColor="text1"/>
          <w:sz w:val="32"/>
          <w:szCs w:val="32"/>
          <w:lang w:val="en-US"/>
          <w14:textFill>
            <w14:solidFill>
              <w14:schemeClr w14:val="tx1"/>
            </w14:solidFill>
          </w14:textFill>
        </w:rPr>
        <w:t>0</w:t>
      </w:r>
      <w:r>
        <w:rPr>
          <w:rFonts w:hint="eastAsia" w:ascii="仿宋_GB2312" w:hAnsi="ˎ̥" w:eastAsia="仿宋_GB2312"/>
          <w:color w:val="000000" w:themeColor="text1"/>
          <w:sz w:val="32"/>
          <w:szCs w:val="32"/>
          <w:lang w:val="en-US" w:eastAsia="zh-CN"/>
          <w14:textFill>
            <w14:solidFill>
              <w14:schemeClr w14:val="tx1"/>
            </w14:solidFill>
          </w14:textFill>
        </w:rPr>
        <w:t>.00</w:t>
      </w:r>
      <w:r>
        <w:rPr>
          <w:rFonts w:hint="eastAsia" w:ascii="仿宋_GB2312" w:hAnsi="ˎ̥" w:eastAsia="仿宋_GB2312"/>
          <w:color w:val="000000" w:themeColor="text1"/>
          <w:sz w:val="32"/>
          <w:szCs w:val="32"/>
          <w14:textFill>
            <w14:solidFill>
              <w14:schemeClr w14:val="tx1"/>
            </w14:solidFill>
          </w14:textFill>
        </w:rPr>
        <w:t>万元，较</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年度决算数增加</w:t>
      </w:r>
      <w:r>
        <w:rPr>
          <w:rFonts w:hint="eastAsia" w:ascii="仿宋_GB2312" w:hAnsi="ˎ̥" w:eastAsia="仿宋_GB2312"/>
          <w:color w:val="000000" w:themeColor="text1"/>
          <w:sz w:val="32"/>
          <w:szCs w:val="32"/>
          <w:lang w:val="en-US" w:eastAsia="zh-CN"/>
          <w14:textFill>
            <w14:solidFill>
              <w14:schemeClr w14:val="tx1"/>
            </w14:solidFill>
          </w14:textFill>
        </w:rPr>
        <w:t>344.89</w:t>
      </w:r>
      <w:r>
        <w:rPr>
          <w:rFonts w:hint="eastAsia" w:ascii="仿宋_GB2312" w:hAnsi="ˎ̥" w:eastAsia="仿宋_GB2312"/>
          <w:color w:val="000000" w:themeColor="text1"/>
          <w:sz w:val="32"/>
          <w:szCs w:val="32"/>
          <w14:textFill>
            <w14:solidFill>
              <w14:schemeClr w14:val="tx1"/>
            </w14:solidFill>
          </w14:textFill>
        </w:rPr>
        <w:t>万元，主要原因是</w:t>
      </w:r>
      <w:r>
        <w:rPr>
          <w:rFonts w:hint="eastAsia" w:ascii="仿宋_GB2312" w:hAnsi="ˎ̥" w:eastAsia="仿宋_GB2312"/>
          <w:color w:val="000000" w:themeColor="text1"/>
          <w:sz w:val="32"/>
          <w:szCs w:val="32"/>
          <w:lang w:val="en-US" w:eastAsia="zh-CN"/>
          <w14:textFill>
            <w14:solidFill>
              <w14:schemeClr w14:val="tx1"/>
            </w14:solidFill>
          </w14:textFill>
        </w:rPr>
        <w:t>2024年秋季扩班，学生人数增加，教职工人数增加、教育支出和社会保障就业支出比上年增加</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年初结转结余</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万元，主要</w:t>
      </w:r>
      <w:r>
        <w:rPr>
          <w:rFonts w:hint="eastAsia" w:ascii="仿宋_GB2312" w:hAnsi="ˎ̥" w:eastAsia="仿宋_GB2312"/>
          <w:color w:val="000000" w:themeColor="text1"/>
          <w:sz w:val="32"/>
          <w:szCs w:val="32"/>
          <w:lang w:val="en-US" w:eastAsia="zh-CN"/>
          <w14:textFill>
            <w14:solidFill>
              <w14:schemeClr w14:val="tx1"/>
            </w14:solidFill>
          </w14:textFill>
        </w:rPr>
        <w:t>是没有年转结余。</w:t>
      </w:r>
      <w:r>
        <w:rPr>
          <w:rFonts w:hint="eastAsia" w:ascii="仿宋_GB2312" w:hAnsi="ˎ̥" w:eastAsia="仿宋_GB2312"/>
          <w:color w:val="000000" w:themeColor="text1"/>
          <w:sz w:val="32"/>
          <w:szCs w:val="32"/>
          <w14:textFill>
            <w14:solidFill>
              <w14:schemeClr w14:val="tx1"/>
            </w14:solidFill>
          </w14:textFill>
        </w:rPr>
        <w:t>较</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年度决算数增加</w:t>
      </w:r>
      <w:r>
        <w:rPr>
          <w:rFonts w:hint="eastAsia" w:ascii="仿宋_GB2312" w:hAnsi="ˎ̥" w:eastAsia="仿宋_GB2312"/>
          <w:color w:val="000000" w:themeColor="text1"/>
          <w:sz w:val="32"/>
          <w:szCs w:val="32"/>
          <w:lang w:val="en-US" w:eastAsia="zh-CN"/>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万元，增长</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%，主要原因</w:t>
      </w:r>
      <w:r>
        <w:rPr>
          <w:rFonts w:hint="eastAsia" w:ascii="仿宋_GB2312" w:hAnsi="ˎ̥" w:eastAsia="仿宋_GB2312"/>
          <w:color w:val="000000" w:themeColor="text1"/>
          <w:sz w:val="32"/>
          <w:szCs w:val="32"/>
          <w:lang w:val="en-US" w:eastAsia="zh-CN"/>
          <w14:textFill>
            <w14:solidFill>
              <w14:schemeClr w14:val="tx1"/>
            </w14:solidFill>
          </w14:textFill>
        </w:rPr>
        <w:t>是没有结余。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000000" w:themeColor="text1"/>
          <w:sz w:val="32"/>
          <w:szCs w:val="32"/>
          <w:lang w:eastAsia="zh-CN"/>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（二</w:t>
      </w:r>
      <w:r>
        <w:rPr>
          <w:rFonts w:ascii="楷体" w:hAnsi="楷体" w:eastAsia="楷体" w:cs="楷体"/>
          <w:color w:val="000000" w:themeColor="text1"/>
          <w:sz w:val="32"/>
          <w:szCs w:val="32"/>
          <w14:textFill>
            <w14:solidFill>
              <w14:schemeClr w14:val="tx1"/>
            </w14:solidFill>
          </w14:textFill>
        </w:rPr>
        <w:t>）</w:t>
      </w:r>
      <w:r>
        <w:rPr>
          <w:rFonts w:hint="eastAsia" w:ascii="楷体" w:hAnsi="楷体" w:eastAsia="楷体" w:cs="楷体"/>
          <w:color w:val="000000" w:themeColor="text1"/>
          <w:sz w:val="32"/>
          <w:szCs w:val="32"/>
          <w14:textFill>
            <w14:solidFill>
              <w14:schemeClr w14:val="tx1"/>
            </w14:solidFill>
          </w14:textFill>
        </w:rPr>
        <w:t>支出</w:t>
      </w:r>
      <w:r>
        <w:rPr>
          <w:rFonts w:ascii="楷体" w:hAnsi="楷体" w:eastAsia="楷体" w:cs="楷体"/>
          <w:color w:val="000000" w:themeColor="text1"/>
          <w:sz w:val="32"/>
          <w:szCs w:val="32"/>
          <w14:textFill>
            <w14:solidFill>
              <w14:schemeClr w14:val="tx1"/>
            </w14:solidFill>
          </w14:textFill>
        </w:rPr>
        <w:t>总计</w:t>
      </w:r>
      <w:r>
        <w:rPr>
          <w:rFonts w:hint="eastAsia" w:ascii="楷体" w:hAnsi="楷体" w:eastAsia="楷体" w:cs="楷体"/>
          <w:color w:val="000000" w:themeColor="text1"/>
          <w:sz w:val="32"/>
          <w:szCs w:val="32"/>
          <w14:textFill>
            <w14:solidFill>
              <w14:schemeClr w14:val="tx1"/>
            </w14:solidFill>
          </w14:textFill>
        </w:rPr>
        <w:t>主要</w:t>
      </w:r>
      <w:r>
        <w:rPr>
          <w:rFonts w:ascii="楷体" w:hAnsi="楷体" w:eastAsia="楷体" w:cs="楷体"/>
          <w:color w:val="000000" w:themeColor="text1"/>
          <w:sz w:val="32"/>
          <w:szCs w:val="32"/>
          <w14:textFill>
            <w14:solidFill>
              <w14:schemeClr w14:val="tx1"/>
            </w14:solidFill>
          </w14:textFill>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本年支出</w:t>
      </w:r>
      <w:r>
        <w:rPr>
          <w:rFonts w:hint="default" w:ascii="仿宋_GB2312" w:hAnsi="ˎ̥" w:eastAsia="仿宋_GB2312"/>
          <w:color w:val="000000" w:themeColor="text1"/>
          <w:sz w:val="32"/>
          <w:szCs w:val="32"/>
          <w:lang w:val="en-US"/>
          <w14:textFill>
            <w14:solidFill>
              <w14:schemeClr w14:val="tx1"/>
            </w14:solidFill>
          </w14:textFill>
        </w:rPr>
        <w:t>1,803.32</w:t>
      </w:r>
      <w:r>
        <w:rPr>
          <w:rFonts w:hint="eastAsia" w:ascii="仿宋_GB2312" w:hAnsi="ˎ̥" w:eastAsia="仿宋_GB2312"/>
          <w:color w:val="000000" w:themeColor="text1"/>
          <w:sz w:val="32"/>
          <w:szCs w:val="32"/>
          <w14:textFill>
            <w14:solidFill>
              <w14:schemeClr w14:val="tx1"/>
            </w14:solidFill>
          </w14:textFill>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结余分配</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万元，主要</w:t>
      </w:r>
      <w:r>
        <w:rPr>
          <w:rFonts w:hint="eastAsia" w:ascii="仿宋_GB2312" w:hAnsi="ˎ̥" w:eastAsia="仿宋_GB2312"/>
          <w:color w:val="000000" w:themeColor="text1"/>
          <w:sz w:val="32"/>
          <w:szCs w:val="32"/>
          <w:lang w:val="en-US" w:eastAsia="zh-CN"/>
          <w14:textFill>
            <w14:solidFill>
              <w14:schemeClr w14:val="tx1"/>
            </w14:solidFill>
          </w14:textFill>
        </w:rPr>
        <w:t>是没有年转结余</w:t>
      </w:r>
      <w:r>
        <w:rPr>
          <w:rFonts w:hint="eastAsia" w:ascii="仿宋_GB2312" w:hAnsi="ˎ̥" w:eastAsia="仿宋_GB2312"/>
          <w:color w:val="000000" w:themeColor="text1"/>
          <w:sz w:val="32"/>
          <w:szCs w:val="32"/>
          <w14:textFill>
            <w14:solidFill>
              <w14:schemeClr w14:val="tx1"/>
            </w14:solidFill>
          </w14:textFill>
        </w:rPr>
        <w:t>，较</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年度决算数增加</w:t>
      </w:r>
      <w:r>
        <w:rPr>
          <w:rFonts w:hint="eastAsia" w:ascii="仿宋_GB2312" w:hAnsi="ˎ̥" w:eastAsia="仿宋_GB2312"/>
          <w:color w:val="000000" w:themeColor="text1"/>
          <w:sz w:val="32"/>
          <w:szCs w:val="32"/>
          <w:lang w:val="en-US" w:eastAsia="zh-CN"/>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万元，增长</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%，主要原因</w:t>
      </w:r>
      <w:r>
        <w:rPr>
          <w:rFonts w:hint="eastAsia" w:ascii="仿宋_GB2312" w:hAnsi="ˎ̥" w:eastAsia="仿宋_GB2312"/>
          <w:color w:val="000000" w:themeColor="text1"/>
          <w:sz w:val="32"/>
          <w:szCs w:val="32"/>
          <w:lang w:val="en-US" w:eastAsia="zh-CN"/>
          <w14:textFill>
            <w14:solidFill>
              <w14:schemeClr w14:val="tx1"/>
            </w14:solidFill>
          </w14:textFill>
        </w:rPr>
        <w:t>是没有年转结余</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年末结转结余</w:t>
      </w:r>
      <w:r>
        <w:rPr>
          <w:rFonts w:hint="default" w:ascii="仿宋_GB2312" w:hAnsi="ˎ̥" w:eastAsia="仿宋_GB2312"/>
          <w:color w:val="000000" w:themeColor="text1"/>
          <w:sz w:val="32"/>
          <w:szCs w:val="32"/>
          <w:lang w:val="en-US"/>
          <w14:textFill>
            <w14:solidFill>
              <w14:schemeClr w14:val="tx1"/>
            </w14:solidFill>
          </w14:textFill>
        </w:rPr>
        <w:t>6.03</w:t>
      </w:r>
      <w:r>
        <w:rPr>
          <w:rFonts w:hint="eastAsia" w:ascii="仿宋_GB2312" w:hAnsi="ˎ̥" w:eastAsia="仿宋_GB2312"/>
          <w:color w:val="000000" w:themeColor="text1"/>
          <w:sz w:val="32"/>
          <w:szCs w:val="32"/>
          <w14:textFill>
            <w14:solidFill>
              <w14:schemeClr w14:val="tx1"/>
            </w14:solidFill>
          </w14:textFill>
        </w:rPr>
        <w:t>万元，</w:t>
      </w:r>
      <w:r>
        <w:rPr>
          <w:rFonts w:hint="eastAsia" w:ascii="仿宋_GB2312" w:hAnsi="ˎ̥" w:eastAsia="仿宋_GB2312"/>
          <w:color w:val="000000" w:themeColor="text1"/>
          <w:sz w:val="32"/>
          <w:szCs w:val="32"/>
          <w:lang w:val="en-US" w:eastAsia="zh-CN"/>
          <w14:textFill>
            <w14:solidFill>
              <w14:schemeClr w14:val="tx1"/>
            </w14:solidFill>
          </w14:textFill>
        </w:rPr>
        <w:t>主要原因是有未完工的项目，未能及时付款。</w:t>
      </w:r>
      <w:r>
        <w:rPr>
          <w:rFonts w:hint="eastAsia" w:ascii="仿宋_GB2312" w:hAnsi="ˎ̥" w:eastAsia="仿宋_GB2312"/>
          <w:color w:val="000000" w:themeColor="text1"/>
          <w:sz w:val="32"/>
          <w:szCs w:val="32"/>
          <w14:textFill>
            <w14:solidFill>
              <w14:schemeClr w14:val="tx1"/>
            </w14:solidFill>
          </w14:textFill>
        </w:rPr>
        <w:t>较</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年度决算数增加</w:t>
      </w:r>
      <w:r>
        <w:rPr>
          <w:rFonts w:hint="eastAsia" w:ascii="仿宋_GB2312" w:hAnsi="ˎ̥" w:eastAsia="仿宋_GB2312"/>
          <w:color w:val="000000" w:themeColor="text1"/>
          <w:sz w:val="32"/>
          <w:szCs w:val="32"/>
          <w:lang w:val="en-US" w:eastAsia="zh-CN"/>
          <w14:textFill>
            <w14:solidFill>
              <w14:schemeClr w14:val="tx1"/>
            </w14:solidFill>
          </w14:textFill>
        </w:rPr>
        <w:t>344.89</w:t>
      </w:r>
      <w:r>
        <w:rPr>
          <w:rFonts w:hint="eastAsia" w:ascii="仿宋_GB2312" w:hAnsi="ˎ̥" w:eastAsia="仿宋_GB2312"/>
          <w:color w:val="000000" w:themeColor="text1"/>
          <w:sz w:val="32"/>
          <w:szCs w:val="32"/>
          <w14:textFill>
            <w14:solidFill>
              <w14:schemeClr w14:val="tx1"/>
            </w14:solidFill>
          </w14:textFill>
        </w:rPr>
        <w:t>万元，增长</w:t>
      </w:r>
      <w:r>
        <w:rPr>
          <w:rFonts w:hint="eastAsia" w:ascii="仿宋_GB2312" w:hAnsi="ˎ̥" w:eastAsia="仿宋_GB2312"/>
          <w:color w:val="000000" w:themeColor="text1"/>
          <w:sz w:val="32"/>
          <w:szCs w:val="32"/>
          <w:lang w:val="en-US" w:eastAsia="zh-CN"/>
          <w14:textFill>
            <w14:solidFill>
              <w14:schemeClr w14:val="tx1"/>
            </w14:solidFill>
          </w14:textFill>
        </w:rPr>
        <w:t>21.96%</w:t>
      </w:r>
      <w:r>
        <w:rPr>
          <w:rFonts w:hint="eastAsia" w:ascii="仿宋_GB2312" w:hAnsi="ˎ̥" w:eastAsia="仿宋_GB2312"/>
          <w:color w:val="000000" w:themeColor="text1"/>
          <w:sz w:val="32"/>
          <w:szCs w:val="32"/>
          <w14:textFill>
            <w14:solidFill>
              <w14:schemeClr w14:val="tx1"/>
            </w14:solidFill>
          </w14:textFill>
        </w:rPr>
        <w:t>，主要原因</w:t>
      </w:r>
      <w:r>
        <w:rPr>
          <w:rFonts w:hint="eastAsia" w:ascii="仿宋_GB2312" w:hAnsi="ˎ̥" w:eastAsia="仿宋_GB2312"/>
          <w:color w:val="000000" w:themeColor="text1"/>
          <w:sz w:val="32"/>
          <w:szCs w:val="32"/>
          <w:lang w:val="en-US" w:eastAsia="zh-CN"/>
          <w14:textFill>
            <w14:solidFill>
              <w14:schemeClr w14:val="tx1"/>
            </w14:solidFill>
          </w14:textFill>
        </w:rPr>
        <w:t>是2024年秋季扩班，学生人数增加，教职工人数增加、教育支出和社会保障就业支出比上年增加</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二、收入决算情况说明</w:t>
      </w:r>
      <w:r>
        <w:rPr>
          <w:rFonts w:hint="eastAsia" w:ascii="黑体" w:hAnsi="黑体" w:eastAsia="黑体" w:cs="黑体"/>
          <w:bCs/>
          <w:color w:val="000000" w:themeColor="text1"/>
          <w:sz w:val="32"/>
          <w:szCs w:val="32"/>
          <w14:textFill>
            <w14:solidFill>
              <w14:schemeClr w14:val="tx1"/>
            </w14:solidFill>
          </w14:textFill>
        </w:rPr>
        <w:br w:type="textWrapping"/>
      </w:r>
      <w:r>
        <w:rPr>
          <w:rFonts w:hint="eastAsia" w:ascii="仿宋_GB2312" w:hAnsi="ˎ̥" w:eastAsia="仿宋_GB2312"/>
          <w:color w:val="000000" w:themeColor="text1"/>
          <w:sz w:val="32"/>
          <w:szCs w:val="32"/>
          <w14:textFill>
            <w14:solidFill>
              <w14:schemeClr w14:val="tx1"/>
            </w14:solidFill>
          </w14:textFill>
        </w:rPr>
        <w:t xml:space="preserve">    本年收入</w:t>
      </w:r>
      <w:r>
        <w:rPr>
          <w:rFonts w:hint="default" w:ascii="仿宋_GB2312" w:hAnsi="ˎ̥" w:eastAsia="仿宋_GB2312"/>
          <w:color w:val="000000" w:themeColor="text1"/>
          <w:sz w:val="32"/>
          <w:szCs w:val="32"/>
          <w:lang w:val="en-US"/>
          <w14:textFill>
            <w14:solidFill>
              <w14:schemeClr w14:val="tx1"/>
            </w14:solidFill>
          </w14:textFill>
        </w:rPr>
        <w:t>1,809.35</w:t>
      </w:r>
      <w:r>
        <w:rPr>
          <w:rFonts w:hint="eastAsia" w:ascii="仿宋_GB2312" w:hAnsi="ˎ̥" w:eastAsia="仿宋_GB2312"/>
          <w:color w:val="000000" w:themeColor="text1"/>
          <w:sz w:val="32"/>
          <w:szCs w:val="32"/>
          <w14:textFill>
            <w14:solidFill>
              <w14:schemeClr w14:val="tx1"/>
            </w14:solidFill>
          </w14:textFill>
        </w:rPr>
        <w:t>万元，其中：财政拨款收入</w:t>
      </w:r>
      <w:r>
        <w:rPr>
          <w:rFonts w:hint="default" w:ascii="仿宋_GB2312" w:hAnsi="ˎ̥" w:eastAsia="仿宋_GB2312"/>
          <w:color w:val="000000" w:themeColor="text1"/>
          <w:sz w:val="32"/>
          <w:szCs w:val="32"/>
          <w:lang w:val="en-US"/>
          <w14:textFill>
            <w14:solidFill>
              <w14:schemeClr w14:val="tx1"/>
            </w14:solidFill>
          </w14:textFill>
        </w:rPr>
        <w:t>1,791.05</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98.98</w:t>
      </w:r>
      <w:r>
        <w:rPr>
          <w:rFonts w:hint="eastAsia" w:ascii="仿宋_GB2312" w:hAnsi="ˎ̥" w:eastAsia="仿宋_GB2312"/>
          <w:color w:val="000000" w:themeColor="text1"/>
          <w:sz w:val="32"/>
          <w:szCs w:val="32"/>
          <w14:textFill>
            <w14:solidFill>
              <w14:schemeClr w14:val="tx1"/>
            </w14:solidFill>
          </w14:textFill>
        </w:rPr>
        <w:t>%；上级补助收入</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%；事业收入</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%；经营收入</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%；附属单位上缴收入</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%；其他收入</w:t>
      </w:r>
      <w:r>
        <w:rPr>
          <w:rFonts w:hint="default" w:ascii="仿宋_GB2312" w:hAnsi="ˎ̥" w:eastAsia="仿宋_GB2312"/>
          <w:color w:val="000000" w:themeColor="text1"/>
          <w:sz w:val="32"/>
          <w:szCs w:val="32"/>
          <w:lang w:val="en-US"/>
          <w14:textFill>
            <w14:solidFill>
              <w14:schemeClr w14:val="tx1"/>
            </w14:solidFill>
          </w14:textFill>
        </w:rPr>
        <w:t>18.30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1.01</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left="412" w:leftChars="196"/>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 xml:space="preserve">  （注</w:t>
      </w:r>
      <w:r>
        <w:rPr>
          <w:rFonts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14:textFill>
            <w14:solidFill>
              <w14:schemeClr w14:val="tx1"/>
            </w14:solidFill>
          </w14:textFill>
        </w:rPr>
        <w:t>上述各项收入数可取自财决公开02表</w:t>
      </w:r>
      <w:r>
        <w:rPr>
          <w:rFonts w:hint="eastAsia" w:ascii="仿宋_GB2312" w:hAnsi="ˎ̥" w:eastAsia="仿宋_GB2312"/>
          <w:color w:val="000000" w:themeColor="text1"/>
          <w:sz w:val="32"/>
          <w:szCs w:val="32"/>
          <w:lang w:eastAsia="zh-CN"/>
          <w14:textFill>
            <w14:solidFill>
              <w14:schemeClr w14:val="tx1"/>
            </w14:solidFill>
          </w14:textFill>
        </w:rPr>
        <w:t>。</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本年支出</w:t>
      </w:r>
      <w:r>
        <w:rPr>
          <w:rFonts w:hint="default" w:ascii="仿宋_GB2312" w:hAnsi="ˎ̥" w:eastAsia="仿宋_GB2312"/>
          <w:color w:val="000000" w:themeColor="text1"/>
          <w:sz w:val="32"/>
          <w:szCs w:val="32"/>
          <w:lang w:val="en-US"/>
          <w14:textFill>
            <w14:solidFill>
              <w14:schemeClr w14:val="tx1"/>
            </w14:solidFill>
          </w14:textFill>
        </w:rPr>
        <w:t>1,803.32</w:t>
      </w:r>
      <w:r>
        <w:rPr>
          <w:rFonts w:hint="eastAsia" w:ascii="仿宋_GB2312" w:hAnsi="ˎ̥" w:eastAsia="仿宋_GB2312"/>
          <w:color w:val="000000" w:themeColor="text1"/>
          <w:sz w:val="32"/>
          <w:szCs w:val="32"/>
          <w14:textFill>
            <w14:solidFill>
              <w14:schemeClr w14:val="tx1"/>
            </w14:solidFill>
          </w14:textFill>
        </w:rPr>
        <w:t>万元，其中：基本支出</w:t>
      </w:r>
      <w:r>
        <w:rPr>
          <w:rFonts w:hint="default" w:ascii="仿宋_GB2312" w:hAnsi="ˎ̥" w:eastAsia="仿宋_GB2312"/>
          <w:color w:val="000000" w:themeColor="text1"/>
          <w:sz w:val="32"/>
          <w:szCs w:val="32"/>
          <w:lang w:val="en-US"/>
          <w14:textFill>
            <w14:solidFill>
              <w14:schemeClr w14:val="tx1"/>
            </w14:solidFill>
          </w14:textFill>
        </w:rPr>
        <w:t>788.83</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43.74</w:t>
      </w:r>
      <w:r>
        <w:rPr>
          <w:rFonts w:hint="eastAsia" w:ascii="仿宋_GB2312" w:hAnsi="ˎ̥" w:eastAsia="仿宋_GB2312"/>
          <w:color w:val="000000" w:themeColor="text1"/>
          <w:sz w:val="32"/>
          <w:szCs w:val="32"/>
          <w14:textFill>
            <w14:solidFill>
              <w14:schemeClr w14:val="tx1"/>
            </w14:solidFill>
          </w14:textFill>
        </w:rPr>
        <w:t>%；项目支出</w:t>
      </w:r>
      <w:r>
        <w:rPr>
          <w:rFonts w:hint="default" w:ascii="仿宋_GB2312" w:hAnsi="ˎ̥" w:eastAsia="仿宋_GB2312"/>
          <w:color w:val="000000" w:themeColor="text1"/>
          <w:sz w:val="32"/>
          <w:szCs w:val="32"/>
          <w:lang w:val="en-US"/>
          <w14:textFill>
            <w14:solidFill>
              <w14:schemeClr w14:val="tx1"/>
            </w14:solidFill>
          </w14:textFill>
        </w:rPr>
        <w:t>1,014.49</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56.25</w:t>
      </w:r>
      <w:r>
        <w:rPr>
          <w:rFonts w:hint="eastAsia" w:ascii="仿宋_GB2312" w:hAnsi="ˎ̥" w:eastAsia="仿宋_GB2312"/>
          <w:color w:val="000000" w:themeColor="text1"/>
          <w:sz w:val="32"/>
          <w:szCs w:val="32"/>
          <w14:textFill>
            <w14:solidFill>
              <w14:schemeClr w14:val="tx1"/>
            </w14:solidFill>
          </w14:textFill>
        </w:rPr>
        <w:t>%；上缴上级支出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%；经营支出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%；对附属单位补助支出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年度财政拨款收入</w:t>
      </w:r>
      <w:r>
        <w:rPr>
          <w:rFonts w:hint="default" w:ascii="仿宋_GB2312" w:hAnsi="ˎ̥" w:eastAsia="仿宋_GB2312"/>
          <w:color w:val="000000" w:themeColor="text1"/>
          <w:sz w:val="32"/>
          <w:szCs w:val="32"/>
          <w:lang w:val="en-US"/>
          <w14:textFill>
            <w14:solidFill>
              <w14:schemeClr w14:val="tx1"/>
            </w14:solidFill>
          </w14:textFill>
        </w:rPr>
        <w:t>1,791.05</w:t>
      </w:r>
      <w:r>
        <w:rPr>
          <w:rFonts w:hint="eastAsia" w:ascii="仿宋_GB2312" w:hAnsi="ˎ̥" w:eastAsia="仿宋_GB2312"/>
          <w:color w:val="000000" w:themeColor="text1"/>
          <w:sz w:val="32"/>
          <w:szCs w:val="32"/>
          <w14:textFill>
            <w14:solidFill>
              <w14:schemeClr w14:val="tx1"/>
            </w14:solidFill>
          </w14:textFill>
        </w:rPr>
        <w:t>万元，支出</w:t>
      </w:r>
      <w:r>
        <w:rPr>
          <w:rFonts w:hint="default" w:ascii="仿宋_GB2312" w:hAnsi="ˎ̥" w:eastAsia="仿宋_GB2312"/>
          <w:color w:val="000000" w:themeColor="text1"/>
          <w:sz w:val="32"/>
          <w:szCs w:val="32"/>
          <w:lang w:val="en-US"/>
          <w14:textFill>
            <w14:solidFill>
              <w14:schemeClr w14:val="tx1"/>
            </w14:solidFill>
          </w14:textFill>
        </w:rPr>
        <w:t>1,791.05</w:t>
      </w:r>
      <w:r>
        <w:rPr>
          <w:rFonts w:hint="eastAsia" w:ascii="仿宋_GB2312" w:hAnsi="ˎ̥" w:eastAsia="仿宋_GB2312"/>
          <w:color w:val="000000" w:themeColor="text1"/>
          <w:sz w:val="32"/>
          <w:szCs w:val="32"/>
          <w14:textFill>
            <w14:solidFill>
              <w14:schemeClr w14:val="tx1"/>
            </w14:solidFill>
          </w14:textFill>
        </w:rPr>
        <w:t>万元。与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年度相比，财政拨款收入增加（减少）</w:t>
      </w:r>
      <w:r>
        <w:rPr>
          <w:rFonts w:hint="eastAsia" w:ascii="仿宋_GB2312" w:hAnsi="ˎ̥" w:eastAsia="仿宋_GB2312"/>
          <w:color w:val="000000" w:themeColor="text1"/>
          <w:sz w:val="32"/>
          <w:szCs w:val="32"/>
          <w:lang w:val="en-US" w:eastAsia="zh-CN"/>
          <w14:textFill>
            <w14:solidFill>
              <w14:schemeClr w14:val="tx1"/>
            </w14:solidFill>
          </w14:textFill>
        </w:rPr>
        <w:t>344.89</w:t>
      </w:r>
      <w:r>
        <w:rPr>
          <w:rFonts w:hint="eastAsia" w:ascii="仿宋_GB2312" w:hAnsi="ˎ̥" w:eastAsia="仿宋_GB2312"/>
          <w:color w:val="000000" w:themeColor="text1"/>
          <w:sz w:val="32"/>
          <w:szCs w:val="32"/>
          <w14:textFill>
            <w14:solidFill>
              <w14:schemeClr w14:val="tx1"/>
            </w14:solidFill>
          </w14:textFill>
        </w:rPr>
        <w:t>万元，增长</w:t>
      </w:r>
      <w:r>
        <w:rPr>
          <w:rFonts w:hint="eastAsia" w:ascii="仿宋_GB2312" w:hAnsi="ˎ̥" w:eastAsia="仿宋_GB2312"/>
          <w:color w:val="000000" w:themeColor="text1"/>
          <w:sz w:val="32"/>
          <w:szCs w:val="32"/>
          <w:lang w:val="en-US" w:eastAsia="zh-CN"/>
          <w14:textFill>
            <w14:solidFill>
              <w14:schemeClr w14:val="tx1"/>
            </w14:solidFill>
          </w14:textFill>
        </w:rPr>
        <w:t>21.96</w:t>
      </w:r>
      <w:r>
        <w:rPr>
          <w:rFonts w:hint="eastAsia" w:ascii="仿宋_GB2312" w:hAnsi="ˎ̥" w:eastAsia="仿宋_GB2312"/>
          <w:color w:val="000000" w:themeColor="text1"/>
          <w:sz w:val="32"/>
          <w:szCs w:val="32"/>
          <w14:textFill>
            <w14:solidFill>
              <w14:schemeClr w14:val="tx1"/>
            </w14:solidFill>
          </w14:textFill>
        </w:rPr>
        <w:t>%，主要原因：一是</w:t>
      </w:r>
      <w:r>
        <w:rPr>
          <w:rFonts w:hint="eastAsia" w:ascii="仿宋_GB2312" w:hAnsi="ˎ̥" w:eastAsia="仿宋_GB2312"/>
          <w:color w:val="000000" w:themeColor="text1"/>
          <w:sz w:val="32"/>
          <w:szCs w:val="32"/>
          <w:lang w:val="en-US" w:eastAsia="zh-CN"/>
          <w14:textFill>
            <w14:solidFill>
              <w14:schemeClr w14:val="tx1"/>
            </w14:solidFill>
          </w14:textFill>
        </w:rPr>
        <w:t>2024年秋季扩班，学生人数增加，教职工人数增加</w:t>
      </w:r>
      <w:r>
        <w:rPr>
          <w:rFonts w:hint="eastAsia" w:ascii="仿宋_GB2312" w:hAnsi="ˎ̥" w:eastAsia="仿宋_GB2312"/>
          <w:color w:val="000000" w:themeColor="text1"/>
          <w:sz w:val="32"/>
          <w:szCs w:val="32"/>
          <w14:textFill>
            <w14:solidFill>
              <w14:schemeClr w14:val="tx1"/>
            </w14:solidFill>
          </w14:textFill>
        </w:rPr>
        <w:t>；二是</w:t>
      </w:r>
      <w:r>
        <w:rPr>
          <w:rFonts w:hint="eastAsia" w:ascii="仿宋_GB2312" w:hAnsi="ˎ̥" w:eastAsia="仿宋_GB2312"/>
          <w:color w:val="000000" w:themeColor="text1"/>
          <w:sz w:val="32"/>
          <w:szCs w:val="32"/>
          <w:lang w:val="en-US" w:eastAsia="zh-CN"/>
          <w14:textFill>
            <w14:solidFill>
              <w14:schemeClr w14:val="tx1"/>
            </w14:solidFill>
          </w14:textFill>
        </w:rPr>
        <w:t>教育支出和社会保障就业支出比上年支出增加。</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财政拨款年初结转结余</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万元，主要是</w:t>
      </w:r>
      <w:r>
        <w:rPr>
          <w:rFonts w:hint="eastAsia" w:ascii="仿宋_GB2312" w:hAnsi="ˎ̥" w:eastAsia="仿宋_GB2312"/>
          <w:color w:val="000000" w:themeColor="text1"/>
          <w:sz w:val="32"/>
          <w:szCs w:val="32"/>
          <w:lang w:val="en-US" w:eastAsia="zh-CN"/>
          <w14:textFill>
            <w14:solidFill>
              <w14:schemeClr w14:val="tx1"/>
            </w14:solidFill>
          </w14:textFill>
        </w:rPr>
        <w:t>没有结余，</w:t>
      </w:r>
      <w:r>
        <w:rPr>
          <w:rFonts w:hint="eastAsia" w:ascii="仿宋_GB2312" w:hAnsi="ˎ̥" w:eastAsia="仿宋_GB2312"/>
          <w:color w:val="000000" w:themeColor="text1"/>
          <w:sz w:val="32"/>
          <w:szCs w:val="32"/>
          <w14:textFill>
            <w14:solidFill>
              <w14:schemeClr w14:val="tx1"/>
            </w14:solidFill>
          </w14:textFill>
        </w:rPr>
        <w:t>较</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年度决算数增加（减少）</w:t>
      </w:r>
      <w:r>
        <w:rPr>
          <w:rFonts w:hint="eastAsia" w:ascii="仿宋_GB2312" w:hAnsi="ˎ̥" w:eastAsia="仿宋_GB2312"/>
          <w:color w:val="000000" w:themeColor="text1"/>
          <w:sz w:val="32"/>
          <w:szCs w:val="32"/>
          <w:lang w:val="en-US" w:eastAsia="zh-CN"/>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万元，增长（下降）</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%，主要原因是</w:t>
      </w:r>
      <w:r>
        <w:rPr>
          <w:rFonts w:hint="eastAsia" w:ascii="仿宋_GB2312" w:hAnsi="ˎ̥" w:eastAsia="仿宋_GB2312"/>
          <w:color w:val="000000" w:themeColor="text1"/>
          <w:sz w:val="32"/>
          <w:szCs w:val="32"/>
          <w:lang w:val="en-US" w:eastAsia="zh-CN"/>
          <w14:textFill>
            <w14:solidFill>
              <w14:schemeClr w14:val="tx1"/>
            </w14:solidFill>
          </w14:textFill>
        </w:rPr>
        <w:t>没有年转结余</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财政拨款年末结转结余</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万元，主要是</w:t>
      </w:r>
      <w:r>
        <w:rPr>
          <w:rFonts w:hint="eastAsia" w:ascii="仿宋_GB2312" w:hAnsi="ˎ̥" w:eastAsia="仿宋_GB2312"/>
          <w:color w:val="000000" w:themeColor="text1"/>
          <w:sz w:val="32"/>
          <w:szCs w:val="32"/>
          <w:lang w:val="en-US" w:eastAsia="zh-CN"/>
          <w14:textFill>
            <w14:solidFill>
              <w14:schemeClr w14:val="tx1"/>
            </w14:solidFill>
          </w14:textFill>
        </w:rPr>
        <w:t>没有年转结余</w:t>
      </w:r>
      <w:r>
        <w:rPr>
          <w:rFonts w:hint="eastAsia" w:ascii="仿宋_GB2312" w:hAnsi="ˎ̥" w:eastAsia="仿宋_GB2312"/>
          <w:color w:val="000000" w:themeColor="text1"/>
          <w:sz w:val="32"/>
          <w:szCs w:val="32"/>
          <w14:textFill>
            <w14:solidFill>
              <w14:schemeClr w14:val="tx1"/>
            </w14:solidFill>
          </w14:textFill>
        </w:rPr>
        <w:t>，较</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年度决算数增加（减少）</w:t>
      </w:r>
      <w:r>
        <w:rPr>
          <w:rFonts w:hint="eastAsia" w:ascii="仿宋_GB2312" w:hAnsi="ˎ̥" w:eastAsia="仿宋_GB2312"/>
          <w:color w:val="000000" w:themeColor="text1"/>
          <w:sz w:val="32"/>
          <w:szCs w:val="32"/>
          <w:lang w:val="en-US" w:eastAsia="zh-CN"/>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万元，增长（下降）</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%，主要原因</w:t>
      </w:r>
      <w:r>
        <w:rPr>
          <w:rFonts w:hint="eastAsia" w:ascii="仿宋_GB2312" w:hAnsi="ˎ̥" w:eastAsia="仿宋_GB2312"/>
          <w:color w:val="000000" w:themeColor="text1"/>
          <w:sz w:val="32"/>
          <w:szCs w:val="32"/>
          <w:lang w:val="en-US" w:eastAsia="zh-CN"/>
          <w14:textFill>
            <w14:solidFill>
              <w14:schemeClr w14:val="tx1"/>
            </w14:solidFill>
          </w14:textFill>
        </w:rPr>
        <w:t>是没有年转结余</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000000" w:themeColor="text1"/>
          <w:sz w:val="32"/>
          <w:szCs w:val="32"/>
          <w14:textFill>
            <w14:solidFill>
              <w14:schemeClr w14:val="tx1"/>
            </w14:solidFill>
          </w14:textFill>
        </w:rPr>
      </w:pPr>
      <w:bookmarkStart w:id="78" w:name="_Toc23005_WPSOffice_Level2"/>
      <w:bookmarkStart w:id="79" w:name="_Toc13694_WPSOffice_Level2"/>
      <w:bookmarkStart w:id="80" w:name="_Toc9989_WPSOffice_Level2"/>
      <w:bookmarkStart w:id="81" w:name="_Toc21737_WPSOffice_Level2"/>
      <w:bookmarkStart w:id="82" w:name="_Toc19665_WPSOffice_Level2"/>
      <w:bookmarkStart w:id="83" w:name="_Toc17398_WPSOffice_Level2"/>
      <w:r>
        <w:rPr>
          <w:rFonts w:hint="eastAsia" w:ascii="楷体" w:hAnsi="楷体" w:eastAsia="楷体" w:cs="楷体"/>
          <w:color w:val="000000" w:themeColor="text1"/>
          <w:sz w:val="32"/>
          <w:szCs w:val="32"/>
          <w14:textFill>
            <w14:solidFill>
              <w14:schemeClr w14:val="tx1"/>
            </w14:solidFill>
          </w14:textFill>
        </w:rPr>
        <w:t>（一）一般公共预算财政拨款支出决算总体情况</w:t>
      </w:r>
      <w:bookmarkEnd w:id="78"/>
      <w:bookmarkEnd w:id="79"/>
      <w:bookmarkEnd w:id="80"/>
      <w:bookmarkEnd w:id="81"/>
      <w:bookmarkEnd w:id="82"/>
      <w:bookmarkEnd w:id="83"/>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年度一般公共预算财政拨款支出</w:t>
      </w:r>
      <w:r>
        <w:rPr>
          <w:rFonts w:hint="default" w:ascii="仿宋_GB2312" w:hAnsi="ˎ̥" w:eastAsia="仿宋_GB2312"/>
          <w:color w:val="000000" w:themeColor="text1"/>
          <w:sz w:val="32"/>
          <w:szCs w:val="32"/>
          <w:lang w:val="en-US"/>
          <w14:textFill>
            <w14:solidFill>
              <w14:schemeClr w14:val="tx1"/>
            </w14:solidFill>
          </w14:textFill>
        </w:rPr>
        <w:t>1,543.03</w:t>
      </w:r>
      <w:r>
        <w:rPr>
          <w:rFonts w:hint="eastAsia" w:ascii="仿宋_GB2312" w:hAnsi="ˎ̥" w:eastAsia="仿宋_GB2312"/>
          <w:color w:val="000000" w:themeColor="text1"/>
          <w:sz w:val="32"/>
          <w:szCs w:val="32"/>
          <w14:textFill>
            <w14:solidFill>
              <w14:schemeClr w14:val="tx1"/>
            </w14:solidFill>
          </w14:textFill>
        </w:rPr>
        <w:t>万元，占本年支出合计的</w:t>
      </w:r>
      <w:r>
        <w:rPr>
          <w:rFonts w:hint="eastAsia" w:ascii="仿宋_GB2312" w:hAnsi="ˎ̥" w:eastAsia="仿宋_GB2312"/>
          <w:color w:val="000000" w:themeColor="text1"/>
          <w:sz w:val="32"/>
          <w:szCs w:val="32"/>
          <w:lang w:val="en-US" w:eastAsia="zh-CN"/>
          <w14:textFill>
            <w14:solidFill>
              <w14:schemeClr w14:val="tx1"/>
            </w14:solidFill>
          </w14:textFill>
        </w:rPr>
        <w:t>85.28</w:t>
      </w:r>
      <w:r>
        <w:rPr>
          <w:rFonts w:hint="eastAsia" w:ascii="仿宋_GB2312" w:hAnsi="ˎ̥" w:eastAsia="仿宋_GB2312"/>
          <w:color w:val="000000" w:themeColor="text1"/>
          <w:sz w:val="32"/>
          <w:szCs w:val="32"/>
          <w14:textFill>
            <w14:solidFill>
              <w14:schemeClr w14:val="tx1"/>
            </w14:solidFill>
          </w14:textFill>
        </w:rPr>
        <w:t>%。与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年度相比，一般公共预算财政拨款支出增加</w:t>
      </w:r>
      <w:r>
        <w:rPr>
          <w:rFonts w:hint="eastAsia" w:ascii="仿宋_GB2312" w:hAnsi="ˎ̥" w:eastAsia="仿宋_GB2312"/>
          <w:color w:val="000000" w:themeColor="text1"/>
          <w:sz w:val="32"/>
          <w:szCs w:val="32"/>
          <w:lang w:val="en-US" w:eastAsia="zh-CN"/>
          <w14:textFill>
            <w14:solidFill>
              <w14:schemeClr w14:val="tx1"/>
            </w14:solidFill>
          </w14:textFill>
        </w:rPr>
        <w:t>132.23</w:t>
      </w:r>
      <w:r>
        <w:rPr>
          <w:rFonts w:hint="eastAsia" w:ascii="仿宋_GB2312" w:hAnsi="ˎ̥" w:eastAsia="仿宋_GB2312"/>
          <w:color w:val="000000" w:themeColor="text1"/>
          <w:sz w:val="32"/>
          <w:szCs w:val="32"/>
          <w14:textFill>
            <w14:solidFill>
              <w14:schemeClr w14:val="tx1"/>
            </w14:solidFill>
          </w14:textFill>
        </w:rPr>
        <w:t>元，增长</w:t>
      </w:r>
      <w:r>
        <w:rPr>
          <w:rFonts w:hint="eastAsia" w:ascii="仿宋_GB2312" w:hAnsi="ˎ̥" w:eastAsia="仿宋_GB2312"/>
          <w:color w:val="000000" w:themeColor="text1"/>
          <w:sz w:val="32"/>
          <w:szCs w:val="32"/>
          <w:lang w:val="en-US" w:eastAsia="zh-CN"/>
          <w14:textFill>
            <w14:solidFill>
              <w14:schemeClr w14:val="tx1"/>
            </w14:solidFill>
          </w14:textFill>
        </w:rPr>
        <w:t>9.37</w:t>
      </w:r>
      <w:r>
        <w:rPr>
          <w:rFonts w:hint="eastAsia" w:ascii="仿宋_GB2312" w:hAnsi="ˎ̥" w:eastAsia="仿宋_GB2312"/>
          <w:color w:val="000000" w:themeColor="text1"/>
          <w:sz w:val="32"/>
          <w:szCs w:val="32"/>
          <w14:textFill>
            <w14:solidFill>
              <w14:schemeClr w14:val="tx1"/>
            </w14:solidFill>
          </w14:textFill>
        </w:rPr>
        <w:t>%，主要原因</w:t>
      </w:r>
      <w:r>
        <w:rPr>
          <w:rFonts w:hint="eastAsia" w:ascii="仿宋_GB2312" w:hAnsi="ˎ̥" w:eastAsia="仿宋_GB2312"/>
          <w:color w:val="000000" w:themeColor="text1"/>
          <w:sz w:val="32"/>
          <w:szCs w:val="32"/>
          <w:lang w:val="en-US" w:eastAsia="zh-CN"/>
          <w14:textFill>
            <w14:solidFill>
              <w14:schemeClr w14:val="tx1"/>
            </w14:solidFill>
          </w14:textFill>
        </w:rPr>
        <w:t>是2024年秋季扩班，学生人数增加，教职工人数增加，教育支出和社会保障就业支出比上年增加</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000000" w:themeColor="text1"/>
          <w:sz w:val="32"/>
          <w:szCs w:val="32"/>
          <w14:textFill>
            <w14:solidFill>
              <w14:schemeClr w14:val="tx1"/>
            </w14:solidFill>
          </w14:textFill>
        </w:rPr>
      </w:pPr>
      <w:bookmarkStart w:id="84" w:name="_Toc27767_WPSOffice_Level2"/>
      <w:bookmarkStart w:id="85" w:name="_Toc19075_WPSOffice_Level2"/>
      <w:bookmarkStart w:id="86" w:name="_Toc2711_WPSOffice_Level2"/>
      <w:bookmarkStart w:id="87" w:name="_Toc18793_WPSOffice_Level2"/>
      <w:bookmarkStart w:id="88" w:name="_Toc23864_WPSOffice_Level2"/>
      <w:bookmarkStart w:id="89" w:name="_Toc19535_WPSOffice_Level2"/>
      <w:r>
        <w:rPr>
          <w:rFonts w:hint="eastAsia" w:ascii="楷体" w:hAnsi="楷体" w:eastAsia="楷体" w:cs="楷体"/>
          <w:color w:val="000000" w:themeColor="text1"/>
          <w:sz w:val="32"/>
          <w:szCs w:val="32"/>
          <w14:textFill>
            <w14:solidFill>
              <w14:schemeClr w14:val="tx1"/>
            </w14:solidFill>
          </w14:textFill>
        </w:rPr>
        <w:t>（二）一般公共预算财政拨款支出决算结构情况</w:t>
      </w:r>
      <w:bookmarkEnd w:id="84"/>
      <w:bookmarkEnd w:id="85"/>
      <w:bookmarkEnd w:id="86"/>
      <w:bookmarkEnd w:id="87"/>
      <w:bookmarkEnd w:id="88"/>
      <w:bookmarkEnd w:id="89"/>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年度一般公共预算财政拨款支出</w:t>
      </w:r>
      <w:r>
        <w:rPr>
          <w:rFonts w:hint="default" w:ascii="仿宋_GB2312" w:hAnsi="ˎ̥" w:eastAsia="仿宋_GB2312"/>
          <w:color w:val="000000" w:themeColor="text1"/>
          <w:sz w:val="32"/>
          <w:szCs w:val="32"/>
          <w:lang w:val="en-US"/>
          <w14:textFill>
            <w14:solidFill>
              <w14:schemeClr w14:val="tx1"/>
            </w14:solidFill>
          </w14:textFill>
        </w:rPr>
        <w:t>1,543.03</w:t>
      </w:r>
      <w:r>
        <w:rPr>
          <w:rFonts w:hint="eastAsia" w:ascii="仿宋_GB2312" w:hAnsi="ˎ̥" w:eastAsia="仿宋_GB2312"/>
          <w:color w:val="000000" w:themeColor="text1"/>
          <w:sz w:val="32"/>
          <w:szCs w:val="32"/>
          <w14:textFill>
            <w14:solidFill>
              <w14:schemeClr w14:val="tx1"/>
            </w14:solidFill>
          </w14:textFill>
        </w:rPr>
        <w:t>万元，主要用于以下方面：</w:t>
      </w:r>
      <w:r>
        <w:rPr>
          <w:rFonts w:hint="eastAsia" w:ascii="仿宋_GB2312" w:hAnsi="ˎ̥" w:eastAsia="仿宋_GB2312"/>
          <w:b/>
          <w:color w:val="000000" w:themeColor="text1"/>
          <w:sz w:val="32"/>
          <w:szCs w:val="32"/>
          <w14:textFill>
            <w14:solidFill>
              <w14:schemeClr w14:val="tx1"/>
            </w14:solidFill>
          </w14:textFill>
        </w:rPr>
        <w:t>一般公共服务（类）</w:t>
      </w:r>
      <w:r>
        <w:rPr>
          <w:rFonts w:hint="eastAsia" w:ascii="仿宋_GB2312" w:hAnsi="ˎ̥" w:eastAsia="仿宋_GB2312"/>
          <w:color w:val="000000" w:themeColor="text1"/>
          <w:sz w:val="32"/>
          <w:szCs w:val="32"/>
          <w14:textFill>
            <w14:solidFill>
              <w14:schemeClr w14:val="tx1"/>
            </w14:solidFill>
          </w14:textFill>
        </w:rPr>
        <w:t>支出</w:t>
      </w:r>
      <w:r>
        <w:rPr>
          <w:rFonts w:hint="eastAsia" w:ascii="仿宋_GB2312" w:hAnsi="ˎ̥" w:eastAsia="仿宋_GB2312"/>
          <w:color w:val="000000" w:themeColor="text1"/>
          <w:sz w:val="32"/>
          <w:szCs w:val="32"/>
          <w:lang w:val="en-US" w:eastAsia="zh-CN"/>
          <w14:textFill>
            <w14:solidFill>
              <w14:schemeClr w14:val="tx1"/>
            </w14:solidFill>
          </w14:textFill>
        </w:rPr>
        <w:t>1543.03</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100</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lang w:eastAsia="zh-CN"/>
          <w14:textFill>
            <w14:solidFill>
              <w14:schemeClr w14:val="tx1"/>
            </w14:solidFill>
          </w14:textFill>
        </w:rPr>
        <w:t>；</w:t>
      </w:r>
      <w:r>
        <w:rPr>
          <w:rFonts w:hint="eastAsia" w:ascii="仿宋_GB2312" w:hAnsi="ˎ̥" w:eastAsia="仿宋_GB2312"/>
          <w:color w:val="000000" w:themeColor="text1"/>
          <w:sz w:val="32"/>
          <w:szCs w:val="32"/>
          <w:lang w:val="en-US" w:eastAsia="zh-CN"/>
          <w14:textFill>
            <w14:solidFill>
              <w14:schemeClr w14:val="tx1"/>
            </w14:solidFill>
          </w14:textFill>
        </w:rPr>
        <w:t>其中：</w:t>
      </w:r>
      <w:r>
        <w:rPr>
          <w:rFonts w:hint="eastAsia" w:ascii="仿宋_GB2312" w:hAnsi="ˎ̥" w:eastAsia="仿宋_GB2312"/>
          <w:b/>
          <w:bCs/>
          <w:color w:val="000000" w:themeColor="text1"/>
          <w:sz w:val="32"/>
          <w:szCs w:val="32"/>
          <w:lang w:val="en-US" w:eastAsia="zh-CN"/>
          <w14:textFill>
            <w14:solidFill>
              <w14:schemeClr w14:val="tx1"/>
            </w14:solidFill>
          </w14:textFill>
        </w:rPr>
        <w:t>教育（类）</w:t>
      </w:r>
      <w:r>
        <w:rPr>
          <w:rFonts w:hint="eastAsia" w:ascii="仿宋_GB2312" w:hAnsi="ˎ̥" w:eastAsia="仿宋_GB2312"/>
          <w:color w:val="000000" w:themeColor="text1"/>
          <w:sz w:val="32"/>
          <w:szCs w:val="32"/>
          <w:lang w:val="en-US" w:eastAsia="zh-CN"/>
          <w14:textFill>
            <w14:solidFill>
              <w14:schemeClr w14:val="tx1"/>
            </w14:solidFill>
          </w14:textFill>
        </w:rPr>
        <w:t>支出1256.94万元，占81.45%；</w:t>
      </w:r>
      <w:r>
        <w:rPr>
          <w:rFonts w:hint="eastAsia" w:ascii="仿宋_GB2312" w:hAnsi="ˎ̥" w:eastAsia="仿宋_GB2312"/>
          <w:b/>
          <w:color w:val="000000" w:themeColor="text1"/>
          <w:sz w:val="32"/>
          <w:szCs w:val="32"/>
          <w14:textFill>
            <w14:solidFill>
              <w14:schemeClr w14:val="tx1"/>
            </w14:solidFill>
          </w14:textFill>
        </w:rPr>
        <w:t>社会保障和就业（类）</w:t>
      </w:r>
      <w:r>
        <w:rPr>
          <w:rFonts w:hint="eastAsia" w:ascii="仿宋_GB2312" w:hAnsi="ˎ̥" w:eastAsia="仿宋_GB2312"/>
          <w:color w:val="000000" w:themeColor="text1"/>
          <w:sz w:val="32"/>
          <w:szCs w:val="32"/>
          <w14:textFill>
            <w14:solidFill>
              <w14:schemeClr w14:val="tx1"/>
            </w14:solidFill>
          </w14:textFill>
        </w:rPr>
        <w:t>支出</w:t>
      </w:r>
      <w:r>
        <w:rPr>
          <w:rFonts w:hint="eastAsia" w:ascii="仿宋_GB2312" w:hAnsi="ˎ̥" w:eastAsia="仿宋_GB2312"/>
          <w:color w:val="000000" w:themeColor="text1"/>
          <w:sz w:val="32"/>
          <w:szCs w:val="32"/>
          <w:lang w:val="en-US" w:eastAsia="zh-CN"/>
          <w14:textFill>
            <w14:solidFill>
              <w14:schemeClr w14:val="tx1"/>
            </w14:solidFill>
          </w14:textFill>
        </w:rPr>
        <w:t>139.51</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9.04</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b/>
          <w:bCs/>
          <w:color w:val="000000" w:themeColor="text1"/>
          <w:sz w:val="32"/>
          <w:szCs w:val="32"/>
          <w:lang w:val="en-US" w:eastAsia="zh-CN"/>
          <w14:textFill>
            <w14:solidFill>
              <w14:schemeClr w14:val="tx1"/>
            </w14:solidFill>
          </w14:textFill>
        </w:rPr>
        <w:t>卫生健康（类）</w:t>
      </w:r>
      <w:r>
        <w:rPr>
          <w:rFonts w:hint="eastAsia" w:ascii="仿宋_GB2312" w:hAnsi="ˎ̥" w:eastAsia="仿宋_GB2312"/>
          <w:color w:val="000000" w:themeColor="text1"/>
          <w:sz w:val="32"/>
          <w:szCs w:val="32"/>
          <w:lang w:val="en-US" w:eastAsia="zh-CN"/>
          <w14:textFill>
            <w14:solidFill>
              <w14:schemeClr w14:val="tx1"/>
            </w14:solidFill>
          </w14:textFill>
        </w:rPr>
        <w:t>支出99.39万元，占6.44%；</w:t>
      </w:r>
      <w:r>
        <w:rPr>
          <w:rFonts w:hint="eastAsia" w:ascii="仿宋_GB2312" w:hAnsi="ˎ̥" w:eastAsia="仿宋_GB2312"/>
          <w:b/>
          <w:bCs/>
          <w:color w:val="000000" w:themeColor="text1"/>
          <w:sz w:val="32"/>
          <w:szCs w:val="32"/>
          <w14:textFill>
            <w14:solidFill>
              <w14:schemeClr w14:val="tx1"/>
            </w14:solidFill>
          </w14:textFill>
        </w:rPr>
        <w:t>住房保障（类）</w:t>
      </w:r>
      <w:r>
        <w:rPr>
          <w:rFonts w:hint="eastAsia" w:ascii="仿宋_GB2312" w:hAnsi="ˎ̥" w:eastAsia="仿宋_GB2312"/>
          <w:color w:val="000000" w:themeColor="text1"/>
          <w:sz w:val="32"/>
          <w:szCs w:val="32"/>
          <w14:textFill>
            <w14:solidFill>
              <w14:schemeClr w14:val="tx1"/>
            </w14:solidFill>
          </w14:textFill>
        </w:rPr>
        <w:t>支出</w:t>
      </w:r>
      <w:r>
        <w:rPr>
          <w:rFonts w:hint="eastAsia" w:ascii="仿宋_GB2312" w:hAnsi="ˎ̥" w:eastAsia="仿宋_GB2312"/>
          <w:color w:val="000000" w:themeColor="text1"/>
          <w:sz w:val="32"/>
          <w:szCs w:val="32"/>
          <w:lang w:val="en-US" w:eastAsia="zh-CN"/>
          <w14:textFill>
            <w14:solidFill>
              <w14:schemeClr w14:val="tx1"/>
            </w14:solidFill>
          </w14:textFill>
        </w:rPr>
        <w:t>47.18</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3.05</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000000" w:themeColor="text1"/>
          <w:sz w:val="32"/>
          <w:szCs w:val="32"/>
          <w14:textFill>
            <w14:solidFill>
              <w14:schemeClr w14:val="tx1"/>
            </w14:solidFill>
          </w14:textFill>
        </w:rPr>
      </w:pPr>
      <w:bookmarkStart w:id="90" w:name="_Toc15415_WPSOffice_Level2"/>
      <w:bookmarkStart w:id="91" w:name="_Toc25136_WPSOffice_Level2"/>
      <w:bookmarkStart w:id="92" w:name="_Toc9502_WPSOffice_Level2"/>
      <w:bookmarkStart w:id="93" w:name="_Toc21701_WPSOffice_Level2"/>
      <w:bookmarkStart w:id="94" w:name="_Toc22318_WPSOffice_Level2"/>
      <w:bookmarkStart w:id="95" w:name="_Toc29364_WPSOffice_Level2"/>
      <w:r>
        <w:rPr>
          <w:rFonts w:hint="eastAsia" w:ascii="楷体" w:hAnsi="楷体" w:eastAsia="楷体" w:cs="楷体"/>
          <w:color w:val="000000" w:themeColor="text1"/>
          <w:sz w:val="32"/>
          <w:szCs w:val="32"/>
          <w14:textFill>
            <w14:solidFill>
              <w14:schemeClr w14:val="tx1"/>
            </w14:solidFill>
          </w14:textFill>
        </w:rPr>
        <w:t>（三）一般公共预算财政拨款支出决算具体情况</w:t>
      </w:r>
      <w:bookmarkEnd w:id="90"/>
      <w:bookmarkEnd w:id="91"/>
      <w:bookmarkEnd w:id="92"/>
      <w:bookmarkEnd w:id="93"/>
      <w:bookmarkEnd w:id="94"/>
      <w:bookmarkEnd w:id="95"/>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年度一般公共预算财政拨款支出年初预算为</w:t>
      </w:r>
      <w:r>
        <w:rPr>
          <w:rFonts w:hint="eastAsia" w:ascii="仿宋_GB2312" w:hAnsi="ˎ̥" w:eastAsia="仿宋_GB2312"/>
          <w:color w:val="000000" w:themeColor="text1"/>
          <w:sz w:val="32"/>
          <w:szCs w:val="32"/>
          <w:lang w:val="en-US" w:eastAsia="zh-CN"/>
          <w14:textFill>
            <w14:solidFill>
              <w14:schemeClr w14:val="tx1"/>
            </w14:solidFill>
          </w14:textFill>
        </w:rPr>
        <w:t>1727.83</w:t>
      </w:r>
      <w:r>
        <w:rPr>
          <w:rFonts w:hint="eastAsia" w:ascii="仿宋_GB2312" w:hAnsi="ˎ̥" w:eastAsia="仿宋_GB2312"/>
          <w:color w:val="000000" w:themeColor="text1"/>
          <w:sz w:val="32"/>
          <w:szCs w:val="32"/>
          <w14:textFill>
            <w14:solidFill>
              <w14:schemeClr w14:val="tx1"/>
            </w14:solidFill>
          </w14:textFill>
        </w:rPr>
        <w:t>万元，支出决算为</w:t>
      </w:r>
      <w:r>
        <w:rPr>
          <w:rFonts w:hint="default" w:ascii="仿宋_GB2312" w:hAnsi="ˎ̥" w:eastAsia="仿宋_GB2312"/>
          <w:color w:val="000000" w:themeColor="text1"/>
          <w:sz w:val="32"/>
          <w:szCs w:val="32"/>
          <w:lang w:val="en-US"/>
          <w14:textFill>
            <w14:solidFill>
              <w14:schemeClr w14:val="tx1"/>
            </w14:solidFill>
          </w14:textFill>
        </w:rPr>
        <w:t>1,543.03</w:t>
      </w:r>
      <w:r>
        <w:rPr>
          <w:rFonts w:hint="eastAsia" w:ascii="仿宋_GB2312" w:hAnsi="ˎ̥" w:eastAsia="仿宋_GB2312"/>
          <w:color w:val="000000" w:themeColor="text1"/>
          <w:sz w:val="32"/>
          <w:szCs w:val="32"/>
          <w14:textFill>
            <w14:solidFill>
              <w14:schemeClr w14:val="tx1"/>
            </w14:solidFill>
          </w14:textFill>
        </w:rPr>
        <w:t>万元，完成年初预算的</w:t>
      </w:r>
      <w:r>
        <w:rPr>
          <w:rFonts w:hint="eastAsia" w:ascii="仿宋_GB2312" w:hAnsi="ˎ̥" w:eastAsia="仿宋_GB2312"/>
          <w:color w:val="000000" w:themeColor="text1"/>
          <w:sz w:val="32"/>
          <w:szCs w:val="32"/>
          <w:lang w:val="en-US" w:eastAsia="zh-CN"/>
          <w14:textFill>
            <w14:solidFill>
              <w14:schemeClr w14:val="tx1"/>
            </w14:solidFill>
          </w14:textFill>
        </w:rPr>
        <w:t>89.30</w:t>
      </w:r>
      <w:r>
        <w:rPr>
          <w:rFonts w:hint="eastAsia" w:ascii="仿宋_GB2312" w:hAnsi="ˎ̥" w:eastAsia="仿宋_GB2312"/>
          <w:color w:val="000000" w:themeColor="text1"/>
          <w:sz w:val="32"/>
          <w:szCs w:val="32"/>
          <w14:textFill>
            <w14:solidFill>
              <w14:schemeClr w14:val="tx1"/>
            </w14:solidFill>
          </w14:textFill>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1.</w:t>
      </w:r>
      <w:r>
        <w:rPr>
          <w:rFonts w:hint="eastAsia" w:ascii="仿宋_GB2312" w:hAnsi="ˎ̥" w:eastAsia="仿宋_GB2312"/>
          <w:b/>
          <w:bCs/>
          <w:color w:val="000000" w:themeColor="text1"/>
          <w:sz w:val="32"/>
          <w:szCs w:val="32"/>
          <w:lang w:val="en-US" w:eastAsia="zh-CN"/>
          <w14:textFill>
            <w14:solidFill>
              <w14:schemeClr w14:val="tx1"/>
            </w14:solidFill>
          </w14:textFill>
        </w:rPr>
        <w:t>教育（类）</w:t>
      </w:r>
      <w:r>
        <w:rPr>
          <w:rFonts w:hint="eastAsia" w:ascii="仿宋_GB2312" w:hAnsi="ˎ̥" w:eastAsia="仿宋_GB2312"/>
          <w:color w:val="000000" w:themeColor="text1"/>
          <w:sz w:val="32"/>
          <w:szCs w:val="32"/>
          <w:lang w:val="en-US" w:eastAsia="zh-CN"/>
          <w14:textFill>
            <w14:solidFill>
              <w14:schemeClr w14:val="tx1"/>
            </w14:solidFill>
          </w14:textFill>
        </w:rPr>
        <w:t>支出</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lang w:val="en-US" w:eastAsia="zh-CN"/>
          <w14:textFill>
            <w14:solidFill>
              <w14:schemeClr w14:val="tx1"/>
            </w14:solidFill>
          </w14:textFill>
        </w:rPr>
        <w:t xml:space="preserve">      </w:t>
      </w:r>
      <w:bookmarkStart w:id="96" w:name="OLE_LINK2"/>
      <w:r>
        <w:rPr>
          <w:rFonts w:hint="eastAsia" w:ascii="仿宋_GB2312" w:hAnsi="ˎ̥" w:eastAsia="仿宋_GB2312"/>
          <w:color w:val="000000" w:themeColor="text1"/>
          <w:sz w:val="32"/>
          <w:szCs w:val="32"/>
          <w14:textFill>
            <w14:solidFill>
              <w14:schemeClr w14:val="tx1"/>
            </w14:solidFill>
          </w14:textFill>
        </w:rPr>
        <w:t>年初预算为</w:t>
      </w:r>
      <w:r>
        <w:rPr>
          <w:rFonts w:hint="eastAsia" w:ascii="仿宋_GB2312" w:hAnsi="ˎ̥" w:eastAsia="仿宋_GB2312"/>
          <w:color w:val="000000" w:themeColor="text1"/>
          <w:sz w:val="32"/>
          <w:szCs w:val="32"/>
          <w:lang w:val="en-US" w:eastAsia="zh-CN"/>
          <w14:textFill>
            <w14:solidFill>
              <w14:schemeClr w14:val="tx1"/>
            </w14:solidFill>
          </w14:textFill>
        </w:rPr>
        <w:t>1436.20</w:t>
      </w:r>
      <w:r>
        <w:rPr>
          <w:rFonts w:hint="eastAsia" w:ascii="仿宋_GB2312" w:hAnsi="ˎ̥" w:eastAsia="仿宋_GB2312"/>
          <w:color w:val="000000" w:themeColor="text1"/>
          <w:sz w:val="32"/>
          <w:szCs w:val="32"/>
          <w14:textFill>
            <w14:solidFill>
              <w14:schemeClr w14:val="tx1"/>
            </w14:solidFill>
          </w14:textFill>
        </w:rPr>
        <w:t>万元，支出决算为</w:t>
      </w:r>
      <w:r>
        <w:rPr>
          <w:rFonts w:hint="eastAsia" w:ascii="仿宋_GB2312" w:hAnsi="ˎ̥" w:eastAsia="仿宋_GB2312"/>
          <w:color w:val="000000" w:themeColor="text1"/>
          <w:sz w:val="32"/>
          <w:szCs w:val="32"/>
          <w:lang w:val="en-US" w:eastAsia="zh-CN"/>
          <w14:textFill>
            <w14:solidFill>
              <w14:schemeClr w14:val="tx1"/>
            </w14:solidFill>
          </w14:textFill>
        </w:rPr>
        <w:t>1256.94</w:t>
      </w:r>
      <w:r>
        <w:rPr>
          <w:rFonts w:hint="eastAsia" w:ascii="仿宋_GB2312" w:hAnsi="ˎ̥" w:eastAsia="仿宋_GB2312"/>
          <w:color w:val="000000" w:themeColor="text1"/>
          <w:sz w:val="32"/>
          <w:szCs w:val="32"/>
          <w14:textFill>
            <w14:solidFill>
              <w14:schemeClr w14:val="tx1"/>
            </w14:solidFill>
          </w14:textFill>
        </w:rPr>
        <w:t>万元，完成年初预算的</w:t>
      </w:r>
      <w:r>
        <w:rPr>
          <w:rFonts w:hint="eastAsia" w:ascii="仿宋_GB2312" w:hAnsi="ˎ̥" w:eastAsia="仿宋_GB2312"/>
          <w:color w:val="000000" w:themeColor="text1"/>
          <w:sz w:val="32"/>
          <w:szCs w:val="32"/>
          <w:lang w:val="en-US" w:eastAsia="zh-CN"/>
          <w14:textFill>
            <w14:solidFill>
              <w14:schemeClr w14:val="tx1"/>
            </w14:solidFill>
          </w14:textFill>
        </w:rPr>
        <w:t>87.52</w:t>
      </w:r>
      <w:r>
        <w:rPr>
          <w:rFonts w:hint="eastAsia" w:ascii="仿宋_GB2312" w:hAnsi="ˎ̥" w:eastAsia="仿宋_GB2312"/>
          <w:color w:val="000000" w:themeColor="text1"/>
          <w:sz w:val="32"/>
          <w:szCs w:val="32"/>
          <w14:textFill>
            <w14:solidFill>
              <w14:schemeClr w14:val="tx1"/>
            </w14:solidFill>
          </w14:textFill>
        </w:rPr>
        <w:t>%。决算数小于预算数的主要原因</w:t>
      </w:r>
      <w:r>
        <w:rPr>
          <w:rFonts w:hint="eastAsia" w:ascii="仿宋_GB2312" w:hAnsi="ˎ̥" w:eastAsia="仿宋_GB2312"/>
          <w:color w:val="000000" w:themeColor="text1"/>
          <w:sz w:val="32"/>
          <w:szCs w:val="32"/>
          <w:lang w:eastAsia="zh-CN"/>
          <w14:textFill>
            <w14:solidFill>
              <w14:schemeClr w14:val="tx1"/>
            </w14:solidFill>
          </w14:textFill>
        </w:rPr>
        <w:t>：</w:t>
      </w:r>
      <w:r>
        <w:rPr>
          <w:rFonts w:hint="eastAsia" w:ascii="仿宋_GB2312" w:hAnsi="ˎ̥" w:eastAsia="仿宋_GB2312"/>
          <w:color w:val="000000" w:themeColor="text1"/>
          <w:sz w:val="32"/>
          <w:szCs w:val="32"/>
          <w:lang w:val="en-US" w:eastAsia="zh-CN"/>
          <w14:textFill>
            <w14:solidFill>
              <w14:schemeClr w14:val="tx1"/>
            </w14:solidFill>
          </w14:textFill>
        </w:rPr>
        <w:t>当年有退休人员，支出金额减少。</w:t>
      </w:r>
      <w:bookmarkEnd w:id="96"/>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color w:val="000000" w:themeColor="text1"/>
          <w:sz w:val="32"/>
          <w:szCs w:val="32"/>
          <w14:textFill>
            <w14:solidFill>
              <w14:schemeClr w14:val="tx1"/>
            </w14:solidFill>
          </w14:textFill>
        </w:rPr>
      </w:pPr>
      <w:r>
        <w:rPr>
          <w:rFonts w:hint="eastAsia" w:ascii="仿宋_GB2312" w:hAnsi="ˎ̥" w:eastAsia="仿宋_GB2312"/>
          <w:b/>
          <w:color w:val="000000" w:themeColor="text1"/>
          <w:sz w:val="32"/>
          <w:szCs w:val="32"/>
          <w14:textFill>
            <w14:solidFill>
              <w14:schemeClr w14:val="tx1"/>
            </w14:solidFill>
          </w14:textFill>
        </w:rPr>
        <w:t>社会保障和就业（类）</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b/>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lang w:val="en-US" w:eastAsia="zh-CN"/>
          <w14:textFill>
            <w14:solidFill>
              <w14:schemeClr w14:val="tx1"/>
            </w14:solidFill>
          </w14:textFill>
        </w:rPr>
        <w:t xml:space="preserve">       </w:t>
      </w:r>
      <w:r>
        <w:rPr>
          <w:rFonts w:hint="eastAsia" w:ascii="仿宋_GB2312" w:hAnsi="ˎ̥" w:eastAsia="仿宋_GB2312"/>
          <w:color w:val="000000" w:themeColor="text1"/>
          <w:sz w:val="32"/>
          <w:szCs w:val="32"/>
          <w14:textFill>
            <w14:solidFill>
              <w14:schemeClr w14:val="tx1"/>
            </w14:solidFill>
          </w14:textFill>
        </w:rPr>
        <w:t>年初预算为</w:t>
      </w:r>
      <w:r>
        <w:rPr>
          <w:rFonts w:hint="eastAsia" w:ascii="仿宋_GB2312" w:hAnsi="ˎ̥" w:eastAsia="仿宋_GB2312"/>
          <w:color w:val="000000" w:themeColor="text1"/>
          <w:sz w:val="32"/>
          <w:szCs w:val="32"/>
          <w:lang w:val="en-US" w:eastAsia="zh-CN"/>
          <w14:textFill>
            <w14:solidFill>
              <w14:schemeClr w14:val="tx1"/>
            </w14:solidFill>
          </w14:textFill>
        </w:rPr>
        <w:t>139.06</w:t>
      </w:r>
      <w:r>
        <w:rPr>
          <w:rFonts w:hint="eastAsia" w:ascii="仿宋_GB2312" w:hAnsi="ˎ̥" w:eastAsia="仿宋_GB2312"/>
          <w:color w:val="000000" w:themeColor="text1"/>
          <w:sz w:val="32"/>
          <w:szCs w:val="32"/>
          <w14:textFill>
            <w14:solidFill>
              <w14:schemeClr w14:val="tx1"/>
            </w14:solidFill>
          </w14:textFill>
        </w:rPr>
        <w:t>万元，支出决算为</w:t>
      </w:r>
      <w:r>
        <w:rPr>
          <w:rFonts w:hint="eastAsia" w:ascii="仿宋_GB2312" w:hAnsi="ˎ̥" w:eastAsia="仿宋_GB2312"/>
          <w:color w:val="000000" w:themeColor="text1"/>
          <w:sz w:val="32"/>
          <w:szCs w:val="32"/>
          <w:lang w:val="en-US" w:eastAsia="zh-CN"/>
          <w14:textFill>
            <w14:solidFill>
              <w14:schemeClr w14:val="tx1"/>
            </w14:solidFill>
          </w14:textFill>
        </w:rPr>
        <w:t>139.51</w:t>
      </w:r>
      <w:r>
        <w:rPr>
          <w:rFonts w:hint="eastAsia" w:ascii="仿宋_GB2312" w:hAnsi="ˎ̥" w:eastAsia="仿宋_GB2312"/>
          <w:color w:val="000000" w:themeColor="text1"/>
          <w:sz w:val="32"/>
          <w:szCs w:val="32"/>
          <w14:textFill>
            <w14:solidFill>
              <w14:schemeClr w14:val="tx1"/>
            </w14:solidFill>
          </w14:textFill>
        </w:rPr>
        <w:t>万元，完成年初预算的</w:t>
      </w:r>
      <w:r>
        <w:rPr>
          <w:rFonts w:hint="eastAsia" w:ascii="仿宋_GB2312" w:hAnsi="ˎ̥" w:eastAsia="仿宋_GB2312"/>
          <w:color w:val="000000" w:themeColor="text1"/>
          <w:sz w:val="32"/>
          <w:szCs w:val="32"/>
          <w:lang w:val="en-US" w:eastAsia="zh-CN"/>
          <w14:textFill>
            <w14:solidFill>
              <w14:schemeClr w14:val="tx1"/>
            </w14:solidFill>
          </w14:textFill>
        </w:rPr>
        <w:t>100.32</w:t>
      </w:r>
      <w:r>
        <w:rPr>
          <w:rFonts w:hint="eastAsia" w:ascii="仿宋_GB2312" w:hAnsi="ˎ̥" w:eastAsia="仿宋_GB2312"/>
          <w:color w:val="000000" w:themeColor="text1"/>
          <w:sz w:val="32"/>
          <w:szCs w:val="32"/>
          <w14:textFill>
            <w14:solidFill>
              <w14:schemeClr w14:val="tx1"/>
            </w14:solidFill>
          </w14:textFill>
        </w:rPr>
        <w:t>%。决算数</w:t>
      </w:r>
      <w:r>
        <w:rPr>
          <w:rFonts w:hint="eastAsia" w:ascii="仿宋_GB2312" w:hAnsi="ˎ̥" w:eastAsia="仿宋_GB2312"/>
          <w:color w:val="000000" w:themeColor="text1"/>
          <w:sz w:val="32"/>
          <w:szCs w:val="32"/>
          <w:lang w:val="en-US" w:eastAsia="zh-CN"/>
          <w14:textFill>
            <w14:solidFill>
              <w14:schemeClr w14:val="tx1"/>
            </w14:solidFill>
          </w14:textFill>
        </w:rPr>
        <w:t>大于</w:t>
      </w:r>
      <w:r>
        <w:rPr>
          <w:rFonts w:hint="eastAsia" w:ascii="仿宋_GB2312" w:hAnsi="ˎ̥" w:eastAsia="仿宋_GB2312"/>
          <w:color w:val="000000" w:themeColor="text1"/>
          <w:sz w:val="32"/>
          <w:szCs w:val="32"/>
          <w14:textFill>
            <w14:solidFill>
              <w14:schemeClr w14:val="tx1"/>
            </w14:solidFill>
          </w14:textFill>
        </w:rPr>
        <w:t>预算数的主要原因：</w:t>
      </w:r>
      <w:r>
        <w:rPr>
          <w:rFonts w:hint="eastAsia" w:ascii="仿宋_GB2312" w:hAnsi="ˎ̥" w:eastAsia="仿宋_GB2312"/>
          <w:color w:val="000000" w:themeColor="text1"/>
          <w:sz w:val="32"/>
          <w:szCs w:val="32"/>
          <w:lang w:val="en-US" w:eastAsia="zh-CN"/>
          <w14:textFill>
            <w14:solidFill>
              <w14:schemeClr w14:val="tx1"/>
            </w14:solidFill>
          </w14:textFill>
        </w:rPr>
        <w:t>教职工人员增加，实际支付增加。。</w:t>
      </w: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bCs/>
          <w:color w:val="000000" w:themeColor="text1"/>
          <w:sz w:val="32"/>
          <w:szCs w:val="32"/>
          <w:lang w:val="en-US" w:eastAsia="zh-CN"/>
          <w14:textFill>
            <w14:solidFill>
              <w14:schemeClr w14:val="tx1"/>
            </w14:solidFill>
          </w14:textFill>
        </w:rPr>
      </w:pPr>
      <w:r>
        <w:rPr>
          <w:rFonts w:hint="eastAsia" w:ascii="仿宋_GB2312" w:hAnsi="ˎ̥" w:eastAsia="仿宋_GB2312"/>
          <w:b/>
          <w:bCs/>
          <w:color w:val="000000" w:themeColor="text1"/>
          <w:sz w:val="32"/>
          <w:szCs w:val="32"/>
          <w:lang w:val="en-US" w:eastAsia="zh-CN"/>
          <w14:textFill>
            <w14:solidFill>
              <w14:schemeClr w14:val="tx1"/>
            </w14:solidFill>
          </w14:textFill>
        </w:rPr>
        <w:t>卫生健康（类）</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b/>
          <w:bCs/>
          <w:color w:val="000000" w:themeColor="text1"/>
          <w:sz w:val="32"/>
          <w:szCs w:val="32"/>
          <w:lang w:val="en-US" w:eastAsia="zh-CN"/>
          <w14:textFill>
            <w14:solidFill>
              <w14:schemeClr w14:val="tx1"/>
            </w14:solidFill>
          </w14:textFill>
        </w:rPr>
      </w:pPr>
      <w:r>
        <w:rPr>
          <w:rFonts w:hint="eastAsia" w:ascii="仿宋_GB2312" w:hAnsi="ˎ̥" w:eastAsia="仿宋_GB2312"/>
          <w:b/>
          <w:bCs/>
          <w:color w:val="000000" w:themeColor="text1"/>
          <w:sz w:val="32"/>
          <w:szCs w:val="32"/>
          <w:lang w:val="en-US" w:eastAsia="zh-CN"/>
          <w14:textFill>
            <w14:solidFill>
              <w14:schemeClr w14:val="tx1"/>
            </w14:solidFill>
          </w14:textFill>
        </w:rPr>
        <w:t xml:space="preserve">      </w:t>
      </w:r>
      <w:r>
        <w:rPr>
          <w:rFonts w:hint="eastAsia" w:ascii="仿宋_GB2312" w:hAnsi="ˎ̥" w:eastAsia="仿宋_GB2312"/>
          <w:color w:val="000000" w:themeColor="text1"/>
          <w:sz w:val="32"/>
          <w:szCs w:val="32"/>
          <w14:textFill>
            <w14:solidFill>
              <w14:schemeClr w14:val="tx1"/>
            </w14:solidFill>
          </w14:textFill>
        </w:rPr>
        <w:t>年初预算为</w:t>
      </w:r>
      <w:r>
        <w:rPr>
          <w:rFonts w:hint="eastAsia" w:ascii="仿宋_GB2312" w:hAnsi="ˎ̥" w:eastAsia="仿宋_GB2312"/>
          <w:color w:val="000000" w:themeColor="text1"/>
          <w:sz w:val="32"/>
          <w:szCs w:val="32"/>
          <w:lang w:val="en-US" w:eastAsia="zh-CN"/>
          <w14:textFill>
            <w14:solidFill>
              <w14:schemeClr w14:val="tx1"/>
            </w14:solidFill>
          </w14:textFill>
        </w:rPr>
        <w:t>105.39</w:t>
      </w:r>
      <w:r>
        <w:rPr>
          <w:rFonts w:hint="eastAsia" w:ascii="仿宋_GB2312" w:hAnsi="ˎ̥" w:eastAsia="仿宋_GB2312"/>
          <w:color w:val="000000" w:themeColor="text1"/>
          <w:sz w:val="32"/>
          <w:szCs w:val="32"/>
          <w14:textFill>
            <w14:solidFill>
              <w14:schemeClr w14:val="tx1"/>
            </w14:solidFill>
          </w14:textFill>
        </w:rPr>
        <w:t>万元，支出决算为</w:t>
      </w:r>
      <w:r>
        <w:rPr>
          <w:rFonts w:hint="eastAsia" w:ascii="仿宋_GB2312" w:hAnsi="ˎ̥" w:eastAsia="仿宋_GB2312"/>
          <w:color w:val="000000" w:themeColor="text1"/>
          <w:sz w:val="32"/>
          <w:szCs w:val="32"/>
          <w:lang w:val="en-US" w:eastAsia="zh-CN"/>
          <w14:textFill>
            <w14:solidFill>
              <w14:schemeClr w14:val="tx1"/>
            </w14:solidFill>
          </w14:textFill>
        </w:rPr>
        <w:t>99.39</w:t>
      </w:r>
      <w:r>
        <w:rPr>
          <w:rFonts w:hint="eastAsia" w:ascii="仿宋_GB2312" w:hAnsi="ˎ̥" w:eastAsia="仿宋_GB2312"/>
          <w:color w:val="000000" w:themeColor="text1"/>
          <w:sz w:val="32"/>
          <w:szCs w:val="32"/>
          <w14:textFill>
            <w14:solidFill>
              <w14:schemeClr w14:val="tx1"/>
            </w14:solidFill>
          </w14:textFill>
        </w:rPr>
        <w:t>万元，完成年初预算的</w:t>
      </w:r>
      <w:r>
        <w:rPr>
          <w:rFonts w:hint="eastAsia" w:ascii="仿宋_GB2312" w:hAnsi="ˎ̥" w:eastAsia="仿宋_GB2312"/>
          <w:color w:val="000000" w:themeColor="text1"/>
          <w:sz w:val="32"/>
          <w:szCs w:val="32"/>
          <w:lang w:val="en-US" w:eastAsia="zh-CN"/>
          <w14:textFill>
            <w14:solidFill>
              <w14:schemeClr w14:val="tx1"/>
            </w14:solidFill>
          </w14:textFill>
        </w:rPr>
        <w:t>94.30</w:t>
      </w:r>
      <w:r>
        <w:rPr>
          <w:rFonts w:hint="eastAsia" w:ascii="仿宋_GB2312" w:hAnsi="ˎ̥" w:eastAsia="仿宋_GB2312"/>
          <w:color w:val="000000" w:themeColor="text1"/>
          <w:sz w:val="32"/>
          <w:szCs w:val="32"/>
          <w14:textFill>
            <w14:solidFill>
              <w14:schemeClr w14:val="tx1"/>
            </w14:solidFill>
          </w14:textFill>
        </w:rPr>
        <w:t>%。决算数小于预算数的主要原因：</w:t>
      </w:r>
      <w:r>
        <w:rPr>
          <w:rFonts w:hint="eastAsia" w:ascii="仿宋_GB2312" w:hAnsi="ˎ̥" w:eastAsia="仿宋_GB2312"/>
          <w:color w:val="000000" w:themeColor="text1"/>
          <w:sz w:val="32"/>
          <w:szCs w:val="32"/>
          <w:lang w:val="en-US" w:eastAsia="zh-CN"/>
          <w14:textFill>
            <w14:solidFill>
              <w14:schemeClr w14:val="tx1"/>
            </w14:solidFill>
          </w14:textFill>
        </w:rPr>
        <w:t>是当年有退休人员，支付金额减少。</w:t>
      </w: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bCs/>
          <w:color w:val="000000" w:themeColor="text1"/>
          <w:sz w:val="32"/>
          <w:szCs w:val="32"/>
          <w14:textFill>
            <w14:solidFill>
              <w14:schemeClr w14:val="tx1"/>
            </w14:solidFill>
          </w14:textFill>
        </w:rPr>
      </w:pPr>
      <w:r>
        <w:rPr>
          <w:rFonts w:hint="eastAsia" w:ascii="仿宋_GB2312" w:hAnsi="ˎ̥" w:eastAsia="仿宋_GB2312"/>
          <w:b/>
          <w:bCs/>
          <w:color w:val="000000" w:themeColor="text1"/>
          <w:sz w:val="32"/>
          <w:szCs w:val="32"/>
          <w14:textFill>
            <w14:solidFill>
              <w14:schemeClr w14:val="tx1"/>
            </w14:solidFill>
          </w14:textFill>
        </w:rPr>
        <w:t>住房保障（类）</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b/>
          <w:bCs/>
          <w:color w:val="000000" w:themeColor="text1"/>
          <w:sz w:val="32"/>
          <w:szCs w:val="32"/>
          <w:lang w:val="en-US" w:eastAsia="zh-CN"/>
          <w14:textFill>
            <w14:solidFill>
              <w14:schemeClr w14:val="tx1"/>
            </w14:solidFill>
          </w14:textFill>
        </w:rPr>
      </w:pPr>
      <w:r>
        <w:rPr>
          <w:rFonts w:hint="eastAsia" w:ascii="仿宋_GB2312" w:hAnsi="ˎ̥" w:eastAsia="仿宋_GB2312"/>
          <w:color w:val="000000" w:themeColor="text1"/>
          <w:sz w:val="32"/>
          <w:szCs w:val="32"/>
          <w:lang w:val="en-US" w:eastAsia="zh-CN"/>
          <w14:textFill>
            <w14:solidFill>
              <w14:schemeClr w14:val="tx1"/>
            </w14:solidFill>
          </w14:textFill>
        </w:rPr>
        <w:t xml:space="preserve">      </w:t>
      </w:r>
      <w:r>
        <w:rPr>
          <w:rFonts w:hint="eastAsia" w:ascii="仿宋_GB2312" w:hAnsi="ˎ̥" w:eastAsia="仿宋_GB2312"/>
          <w:color w:val="000000" w:themeColor="text1"/>
          <w:sz w:val="32"/>
          <w:szCs w:val="32"/>
          <w14:textFill>
            <w14:solidFill>
              <w14:schemeClr w14:val="tx1"/>
            </w14:solidFill>
          </w14:textFill>
        </w:rPr>
        <w:t>年初预算为</w:t>
      </w:r>
      <w:r>
        <w:rPr>
          <w:rFonts w:hint="eastAsia" w:ascii="仿宋_GB2312" w:hAnsi="ˎ̥" w:eastAsia="仿宋_GB2312"/>
          <w:color w:val="000000" w:themeColor="text1"/>
          <w:sz w:val="32"/>
          <w:szCs w:val="32"/>
          <w:lang w:val="en-US" w:eastAsia="zh-CN"/>
          <w14:textFill>
            <w14:solidFill>
              <w14:schemeClr w14:val="tx1"/>
            </w14:solidFill>
          </w14:textFill>
        </w:rPr>
        <w:t>47.18</w:t>
      </w:r>
      <w:r>
        <w:rPr>
          <w:rFonts w:hint="eastAsia" w:ascii="仿宋_GB2312" w:hAnsi="ˎ̥" w:eastAsia="仿宋_GB2312"/>
          <w:color w:val="000000" w:themeColor="text1"/>
          <w:sz w:val="32"/>
          <w:szCs w:val="32"/>
          <w14:textFill>
            <w14:solidFill>
              <w14:schemeClr w14:val="tx1"/>
            </w14:solidFill>
          </w14:textFill>
        </w:rPr>
        <w:t>万元，支出决算为</w:t>
      </w:r>
      <w:r>
        <w:rPr>
          <w:rFonts w:hint="eastAsia" w:ascii="仿宋_GB2312" w:hAnsi="ˎ̥" w:eastAsia="仿宋_GB2312"/>
          <w:color w:val="000000" w:themeColor="text1"/>
          <w:sz w:val="32"/>
          <w:szCs w:val="32"/>
          <w:lang w:val="en-US" w:eastAsia="zh-CN"/>
          <w14:textFill>
            <w14:solidFill>
              <w14:schemeClr w14:val="tx1"/>
            </w14:solidFill>
          </w14:textFill>
        </w:rPr>
        <w:t>47.18</w:t>
      </w:r>
      <w:r>
        <w:rPr>
          <w:rFonts w:hint="eastAsia" w:ascii="仿宋_GB2312" w:hAnsi="ˎ̥" w:eastAsia="仿宋_GB2312"/>
          <w:color w:val="000000" w:themeColor="text1"/>
          <w:sz w:val="32"/>
          <w:szCs w:val="32"/>
          <w14:textFill>
            <w14:solidFill>
              <w14:schemeClr w14:val="tx1"/>
            </w14:solidFill>
          </w14:textFill>
        </w:rPr>
        <w:t>万元，完成年初预算的</w:t>
      </w:r>
      <w:r>
        <w:rPr>
          <w:rFonts w:hint="eastAsia" w:ascii="仿宋_GB2312" w:hAnsi="ˎ̥" w:eastAsia="仿宋_GB2312"/>
          <w:color w:val="000000" w:themeColor="text1"/>
          <w:sz w:val="32"/>
          <w:szCs w:val="32"/>
          <w:lang w:val="en-US" w:eastAsia="zh-CN"/>
          <w14:textFill>
            <w14:solidFill>
              <w14:schemeClr w14:val="tx1"/>
            </w14:solidFill>
          </w14:textFill>
        </w:rPr>
        <w:t>100</w:t>
      </w:r>
      <w:r>
        <w:rPr>
          <w:rFonts w:hint="eastAsia" w:ascii="仿宋_GB2312" w:hAnsi="ˎ̥" w:eastAsia="仿宋_GB2312"/>
          <w:color w:val="000000" w:themeColor="text1"/>
          <w:sz w:val="32"/>
          <w:szCs w:val="32"/>
          <w14:textFill>
            <w14:solidFill>
              <w14:schemeClr w14:val="tx1"/>
            </w14:solidFill>
          </w14:textFill>
        </w:rPr>
        <w:t>%。决算数</w:t>
      </w:r>
      <w:r>
        <w:rPr>
          <w:rFonts w:hint="eastAsia" w:ascii="仿宋_GB2312" w:hAnsi="ˎ̥" w:eastAsia="仿宋_GB2312"/>
          <w:color w:val="000000" w:themeColor="text1"/>
          <w:sz w:val="32"/>
          <w:szCs w:val="32"/>
          <w:lang w:val="en-US" w:eastAsia="zh-CN"/>
          <w14:textFill>
            <w14:solidFill>
              <w14:schemeClr w14:val="tx1"/>
            </w14:solidFill>
          </w14:textFill>
        </w:rPr>
        <w:t>与</w:t>
      </w:r>
      <w:r>
        <w:rPr>
          <w:rFonts w:hint="eastAsia" w:ascii="仿宋_GB2312" w:hAnsi="ˎ̥" w:eastAsia="仿宋_GB2312"/>
          <w:color w:val="000000" w:themeColor="text1"/>
          <w:sz w:val="32"/>
          <w:szCs w:val="32"/>
          <w14:textFill>
            <w14:solidFill>
              <w14:schemeClr w14:val="tx1"/>
            </w14:solidFill>
          </w14:textFill>
        </w:rPr>
        <w:t>预算数</w:t>
      </w:r>
      <w:r>
        <w:rPr>
          <w:rFonts w:hint="eastAsia" w:ascii="仿宋_GB2312" w:hAnsi="ˎ̥" w:eastAsia="仿宋_GB2312"/>
          <w:color w:val="000000" w:themeColor="text1"/>
          <w:sz w:val="32"/>
          <w:szCs w:val="32"/>
          <w:lang w:val="en-US" w:eastAsia="zh-CN"/>
          <w14:textFill>
            <w14:solidFill>
              <w14:schemeClr w14:val="tx1"/>
            </w14:solidFill>
          </w14:textFill>
        </w:rPr>
        <w:t>一致</w:t>
      </w:r>
      <w:r>
        <w:rPr>
          <w:rFonts w:hint="eastAsia" w:ascii="仿宋_GB2312" w:hAnsi="ˎ̥" w:eastAsia="仿宋_GB2312"/>
          <w:color w:val="000000" w:themeColor="text1"/>
          <w:sz w:val="32"/>
          <w:szCs w:val="32"/>
          <w14:textFill>
            <w14:solidFill>
              <w14:schemeClr w14:val="tx1"/>
            </w14:solidFill>
          </w14:textFill>
        </w:rPr>
        <w:t>的主要原因：</w:t>
      </w:r>
      <w:r>
        <w:rPr>
          <w:rFonts w:hint="eastAsia" w:ascii="仿宋_GB2312" w:hAnsi="ˎ̥" w:eastAsia="仿宋_GB2312"/>
          <w:color w:val="000000" w:themeColor="text1"/>
          <w:sz w:val="32"/>
          <w:szCs w:val="32"/>
          <w:lang w:val="en-US" w:eastAsia="zh-CN"/>
          <w14:textFill>
            <w14:solidFill>
              <w14:schemeClr w14:val="tx1"/>
            </w14:solidFill>
          </w14:textFill>
        </w:rPr>
        <w:t>预算数据精准。</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年度财政拨款基本支出</w:t>
      </w:r>
      <w:r>
        <w:rPr>
          <w:rFonts w:hint="eastAsia" w:ascii="仿宋_GB2312" w:hAnsi="ˎ̥" w:eastAsia="仿宋_GB2312"/>
          <w:color w:val="000000" w:themeColor="text1"/>
          <w:sz w:val="32"/>
          <w:szCs w:val="32"/>
          <w:lang w:val="en-US"/>
          <w14:textFill>
            <w14:solidFill>
              <w14:schemeClr w14:val="tx1"/>
            </w14:solidFill>
          </w14:textFill>
        </w:rPr>
        <w:t>788.83</w:t>
      </w:r>
      <w:r>
        <w:rPr>
          <w:rFonts w:hint="eastAsia" w:ascii="仿宋_GB2312" w:hAnsi="ˎ̥" w:eastAsia="仿宋_GB2312"/>
          <w:color w:val="000000" w:themeColor="text1"/>
          <w:sz w:val="32"/>
          <w:szCs w:val="32"/>
          <w14:textFill>
            <w14:solidFill>
              <w14:schemeClr w14:val="tx1"/>
            </w14:solidFill>
          </w14:textFill>
        </w:rPr>
        <w:t>万元，其中：人员经费</w:t>
      </w:r>
      <w:r>
        <w:rPr>
          <w:rFonts w:ascii="仿宋_GB2312" w:hAnsi="ˎ̥" w:eastAsia="仿宋_GB2312"/>
          <w:color w:val="000000" w:themeColor="text1"/>
          <w:sz w:val="32"/>
          <w:szCs w:val="32"/>
          <w:lang w:val="en-US"/>
          <w14:textFill>
            <w14:solidFill>
              <w14:schemeClr w14:val="tx1"/>
            </w14:solidFill>
          </w14:textFill>
        </w:rPr>
        <w:t>747.33</w:t>
      </w:r>
      <w:r>
        <w:rPr>
          <w:rFonts w:hint="eastAsia" w:ascii="仿宋_GB2312" w:hAnsi="ˎ̥" w:eastAsia="仿宋_GB2312"/>
          <w:color w:val="000000" w:themeColor="text1"/>
          <w:sz w:val="32"/>
          <w:szCs w:val="32"/>
          <w14:textFill>
            <w14:solidFill>
              <w14:schemeClr w14:val="tx1"/>
            </w14:solidFill>
          </w14:textFill>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color w:val="000000" w:themeColor="text1"/>
          <w:sz w:val="32"/>
          <w:szCs w:val="32"/>
          <w:lang w:val="en-US"/>
          <w14:textFill>
            <w14:solidFill>
              <w14:schemeClr w14:val="tx1"/>
            </w14:solidFill>
          </w14:textFill>
        </w:rPr>
        <w:t>41.50</w:t>
      </w:r>
      <w:r>
        <w:rPr>
          <w:rFonts w:hint="eastAsia" w:ascii="仿宋_GB2312" w:hAnsi="ˎ̥" w:eastAsia="仿宋_GB2312"/>
          <w:color w:val="000000" w:themeColor="text1"/>
          <w:sz w:val="32"/>
          <w:szCs w:val="32"/>
          <w14:textFill>
            <w14:solidFill>
              <w14:schemeClr w14:val="tx1"/>
            </w14:solidFill>
          </w14:textFill>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color w:val="000000" w:themeColor="text1"/>
          <w:sz w:val="32"/>
          <w:szCs w:val="32"/>
          <w:lang w:val="en-US" w:eastAsia="zh-CN"/>
          <w14:textFill>
            <w14:solidFill>
              <w14:schemeClr w14:val="tx1"/>
            </w14:solidFill>
          </w14:textFill>
        </w:rPr>
        <w:t>购</w:t>
      </w:r>
      <w:r>
        <w:rPr>
          <w:rFonts w:hint="eastAsia" w:ascii="仿宋_GB2312" w:hAnsi="ˎ̥" w:eastAsia="仿宋_GB2312"/>
          <w:color w:val="000000" w:themeColor="text1"/>
          <w:sz w:val="32"/>
          <w:szCs w:val="32"/>
          <w14:textFill>
            <w14:solidFill>
              <w14:schemeClr w14:val="tx1"/>
            </w14:solidFill>
          </w14:textFill>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（一）政府性基金预算财政拨款支出决算总体情况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年度政府性基金预算财政拨款支出</w:t>
      </w:r>
      <w:r>
        <w:rPr>
          <w:rFonts w:hint="default" w:ascii="仿宋_GB2312" w:hAnsi="ˎ̥" w:eastAsia="仿宋_GB2312"/>
          <w:color w:val="000000" w:themeColor="text1"/>
          <w:sz w:val="32"/>
          <w:szCs w:val="32"/>
          <w:lang w:val="en-US"/>
          <w14:textFill>
            <w14:solidFill>
              <w14:schemeClr w14:val="tx1"/>
            </w14:solidFill>
          </w14:textFill>
        </w:rPr>
        <w:t>248.03</w:t>
      </w:r>
      <w:r>
        <w:rPr>
          <w:rFonts w:hint="eastAsia" w:ascii="仿宋_GB2312" w:hAnsi="ˎ̥" w:eastAsia="仿宋_GB2312"/>
          <w:color w:val="000000" w:themeColor="text1"/>
          <w:sz w:val="32"/>
          <w:szCs w:val="32"/>
          <w14:textFill>
            <w14:solidFill>
              <w14:schemeClr w14:val="tx1"/>
            </w14:solidFill>
          </w14:textFill>
        </w:rPr>
        <w:t>万元，占本年支出合计的</w:t>
      </w:r>
      <w:r>
        <w:rPr>
          <w:rFonts w:hint="eastAsia" w:ascii="仿宋_GB2312" w:hAnsi="ˎ̥" w:eastAsia="仿宋_GB2312"/>
          <w:color w:val="000000" w:themeColor="text1"/>
          <w:sz w:val="32"/>
          <w:szCs w:val="32"/>
          <w:lang w:val="en-US" w:eastAsia="zh-CN"/>
          <w14:textFill>
            <w14:solidFill>
              <w14:schemeClr w14:val="tx1"/>
            </w14:solidFill>
          </w14:textFill>
        </w:rPr>
        <w:t>13.70</w:t>
      </w:r>
      <w:r>
        <w:rPr>
          <w:rFonts w:hint="eastAsia" w:ascii="仿宋_GB2312" w:hAnsi="ˎ̥" w:eastAsia="仿宋_GB2312"/>
          <w:color w:val="000000" w:themeColor="text1"/>
          <w:sz w:val="32"/>
          <w:szCs w:val="32"/>
          <w14:textFill>
            <w14:solidFill>
              <w14:schemeClr w14:val="tx1"/>
            </w14:solidFill>
          </w14:textFill>
        </w:rPr>
        <w:t>%。与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年度相比，政府性基金预算财政拨款支出增加（减少）</w:t>
      </w:r>
      <w:r>
        <w:rPr>
          <w:rFonts w:hint="eastAsia" w:ascii="仿宋_GB2312" w:hAnsi="ˎ̥" w:eastAsia="仿宋_GB2312"/>
          <w:color w:val="000000" w:themeColor="text1"/>
          <w:sz w:val="32"/>
          <w:szCs w:val="32"/>
          <w:lang w:val="en-US" w:eastAsia="zh-CN"/>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万元，增长（下降）</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%，主要原因</w:t>
      </w:r>
      <w:r>
        <w:rPr>
          <w:rFonts w:hint="eastAsia" w:ascii="仿宋_GB2312" w:hAnsi="ˎ̥" w:eastAsia="仿宋_GB2312"/>
          <w:color w:val="000000" w:themeColor="text1"/>
          <w:sz w:val="32"/>
          <w:szCs w:val="32"/>
          <w:lang w:val="en-US" w:eastAsia="zh-CN"/>
          <w14:textFill>
            <w14:solidFill>
              <w14:schemeClr w14:val="tx1"/>
            </w14:solidFill>
          </w14:textFill>
        </w:rPr>
        <w:t>是2023年无该笔资金</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（二）政府性基金预算财政拨款支出决算结构情况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年度政府性基金预算财政拨款支出</w:t>
      </w:r>
      <w:r>
        <w:rPr>
          <w:rFonts w:hint="default" w:ascii="仿宋_GB2312" w:hAnsi="ˎ̥" w:eastAsia="仿宋_GB2312"/>
          <w:color w:val="000000" w:themeColor="text1"/>
          <w:sz w:val="32"/>
          <w:szCs w:val="32"/>
          <w:lang w:val="en-US"/>
          <w14:textFill>
            <w14:solidFill>
              <w14:schemeClr w14:val="tx1"/>
            </w14:solidFill>
          </w14:textFill>
        </w:rPr>
        <w:t>248.03</w:t>
      </w:r>
      <w:r>
        <w:rPr>
          <w:rFonts w:hint="eastAsia" w:ascii="仿宋_GB2312" w:hAnsi="ˎ̥" w:eastAsia="仿宋_GB2312"/>
          <w:color w:val="000000" w:themeColor="text1"/>
          <w:sz w:val="32"/>
          <w:szCs w:val="32"/>
          <w14:textFill>
            <w14:solidFill>
              <w14:schemeClr w14:val="tx1"/>
            </w14:solidFill>
          </w14:textFill>
        </w:rPr>
        <w:t>万元，主要用于以下方面：</w:t>
      </w:r>
      <w:r>
        <w:rPr>
          <w:rFonts w:hint="eastAsia" w:ascii="仿宋_GB2312" w:hAnsi="ˎ̥" w:eastAsia="仿宋_GB2312"/>
          <w:color w:val="000000" w:themeColor="text1"/>
          <w:sz w:val="32"/>
          <w:szCs w:val="32"/>
          <w:lang w:val="en-US" w:eastAsia="zh-CN"/>
          <w14:textFill>
            <w14:solidFill>
              <w14:schemeClr w14:val="tx1"/>
            </w14:solidFill>
          </w14:textFill>
        </w:rPr>
        <w:t>民生</w:t>
      </w:r>
      <w:r>
        <w:rPr>
          <w:rFonts w:hint="eastAsia" w:ascii="仿宋_GB2312" w:hAnsi="ˎ̥" w:eastAsia="仿宋_GB2312"/>
          <w:color w:val="000000" w:themeColor="text1"/>
          <w:sz w:val="32"/>
          <w:szCs w:val="32"/>
          <w14:textFill>
            <w14:solidFill>
              <w14:schemeClr w14:val="tx1"/>
            </w14:solidFill>
          </w14:textFill>
        </w:rPr>
        <w:t>（类）支出</w:t>
      </w:r>
      <w:r>
        <w:rPr>
          <w:rFonts w:hint="eastAsia" w:ascii="仿宋_GB2312" w:hAnsi="ˎ̥" w:eastAsia="仿宋_GB2312"/>
          <w:color w:val="000000" w:themeColor="text1"/>
          <w:sz w:val="32"/>
          <w:szCs w:val="32"/>
          <w:lang w:val="en-US" w:eastAsia="zh-CN"/>
          <w14:textFill>
            <w14:solidFill>
              <w14:schemeClr w14:val="tx1"/>
            </w14:solidFill>
          </w14:textFill>
        </w:rPr>
        <w:t>248.03</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100</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（三）政府性基金预算财政拨款支出决算具体情况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年度政府性基金预算财政拨款支出年初预算为</w:t>
      </w:r>
      <w:r>
        <w:rPr>
          <w:rFonts w:hint="eastAsia" w:ascii="仿宋_GB2312" w:hAnsi="ˎ̥" w:eastAsia="仿宋_GB2312"/>
          <w:color w:val="000000" w:themeColor="text1"/>
          <w:sz w:val="32"/>
          <w:szCs w:val="32"/>
          <w:lang w:val="en-US" w:eastAsia="zh-CN"/>
          <w14:textFill>
            <w14:solidFill>
              <w14:schemeClr w14:val="tx1"/>
            </w14:solidFill>
          </w14:textFill>
        </w:rPr>
        <w:t>248.30</w:t>
      </w:r>
      <w:r>
        <w:rPr>
          <w:rFonts w:hint="eastAsia" w:ascii="仿宋_GB2312" w:hAnsi="ˎ̥" w:eastAsia="仿宋_GB2312"/>
          <w:color w:val="000000" w:themeColor="text1"/>
          <w:sz w:val="32"/>
          <w:szCs w:val="32"/>
          <w14:textFill>
            <w14:solidFill>
              <w14:schemeClr w14:val="tx1"/>
            </w14:solidFill>
          </w14:textFill>
        </w:rPr>
        <w:t>万元，支出决算为</w:t>
      </w:r>
      <w:r>
        <w:rPr>
          <w:rFonts w:hint="default" w:ascii="仿宋_GB2312" w:hAnsi="ˎ̥" w:eastAsia="仿宋_GB2312"/>
          <w:color w:val="000000" w:themeColor="text1"/>
          <w:sz w:val="32"/>
          <w:szCs w:val="32"/>
          <w:lang w:val="en-US"/>
          <w14:textFill>
            <w14:solidFill>
              <w14:schemeClr w14:val="tx1"/>
            </w14:solidFill>
          </w14:textFill>
        </w:rPr>
        <w:t>248.03</w:t>
      </w:r>
      <w:r>
        <w:rPr>
          <w:rFonts w:hint="eastAsia" w:ascii="仿宋_GB2312" w:hAnsi="ˎ̥" w:eastAsia="仿宋_GB2312"/>
          <w:color w:val="000000" w:themeColor="text1"/>
          <w:sz w:val="32"/>
          <w:szCs w:val="32"/>
          <w14:textFill>
            <w14:solidFill>
              <w14:schemeClr w14:val="tx1"/>
            </w14:solidFill>
          </w14:textFill>
        </w:rPr>
        <w:t>万元，完成年初预算的</w:t>
      </w:r>
      <w:r>
        <w:rPr>
          <w:rFonts w:hint="eastAsia" w:ascii="仿宋_GB2312" w:hAnsi="ˎ̥" w:eastAsia="仿宋_GB2312"/>
          <w:color w:val="000000" w:themeColor="text1"/>
          <w:sz w:val="32"/>
          <w:szCs w:val="32"/>
          <w:lang w:val="en-US" w:eastAsia="zh-CN"/>
          <w14:textFill>
            <w14:solidFill>
              <w14:schemeClr w14:val="tx1"/>
            </w14:solidFill>
          </w14:textFill>
        </w:rPr>
        <w:t>99.89</w:t>
      </w:r>
      <w:r>
        <w:rPr>
          <w:rFonts w:hint="eastAsia" w:ascii="仿宋_GB2312" w:hAnsi="ˎ̥" w:eastAsia="仿宋_GB2312"/>
          <w:color w:val="000000" w:themeColor="text1"/>
          <w:sz w:val="32"/>
          <w:szCs w:val="32"/>
          <w14:textFill>
            <w14:solidFill>
              <w14:schemeClr w14:val="tx1"/>
            </w14:solidFill>
          </w14:textFill>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1.</w:t>
      </w:r>
      <w:r>
        <w:rPr>
          <w:rFonts w:hint="eastAsia" w:ascii="仿宋_GB2312" w:hAnsi="ˎ̥" w:eastAsia="仿宋_GB2312"/>
          <w:color w:val="000000" w:themeColor="text1"/>
          <w:sz w:val="32"/>
          <w:szCs w:val="32"/>
          <w:lang w:val="en-US" w:eastAsia="zh-CN"/>
          <w14:textFill>
            <w14:solidFill>
              <w14:schemeClr w14:val="tx1"/>
            </w14:solidFill>
          </w14:textFill>
        </w:rPr>
        <w:t>民生</w:t>
      </w:r>
      <w:r>
        <w:rPr>
          <w:rFonts w:hint="eastAsia" w:ascii="仿宋_GB2312" w:hAnsi="ˎ̥" w:eastAsia="仿宋_GB2312"/>
          <w:color w:val="000000" w:themeColor="text1"/>
          <w:sz w:val="32"/>
          <w:szCs w:val="32"/>
          <w14:textFill>
            <w14:solidFill>
              <w14:schemeClr w14:val="tx1"/>
            </w14:solidFill>
          </w14:textFill>
        </w:rPr>
        <w:t>（类）</w:t>
      </w:r>
      <w:r>
        <w:rPr>
          <w:rFonts w:hint="eastAsia" w:ascii="仿宋_GB2312" w:hAnsi="ˎ̥" w:eastAsia="仿宋_GB2312"/>
          <w:color w:val="000000" w:themeColor="text1"/>
          <w:sz w:val="32"/>
          <w:szCs w:val="32"/>
          <w:lang w:val="en-US" w:eastAsia="zh-CN"/>
          <w14:textFill>
            <w14:solidFill>
              <w14:schemeClr w14:val="tx1"/>
            </w14:solidFill>
          </w14:textFill>
        </w:rPr>
        <w:t>248.03万元</w:t>
      </w:r>
      <w:r>
        <w:rPr>
          <w:rFonts w:hint="eastAsia" w:ascii="仿宋_GB2312" w:hAnsi="ˎ̥" w:eastAsia="仿宋_GB2312"/>
          <w:color w:val="000000" w:themeColor="text1"/>
          <w:sz w:val="32"/>
          <w:szCs w:val="32"/>
          <w14:textFill>
            <w14:solidFill>
              <w14:schemeClr w14:val="tx1"/>
            </w14:solidFill>
          </w14:textFill>
        </w:rPr>
        <w:t>（款）</w:t>
      </w:r>
      <w:r>
        <w:rPr>
          <w:rFonts w:hint="eastAsia" w:ascii="仿宋_GB2312" w:hAnsi="ˎ̥" w:eastAsia="仿宋_GB2312"/>
          <w:color w:val="000000" w:themeColor="text1"/>
          <w:sz w:val="32"/>
          <w:szCs w:val="32"/>
          <w:lang w:val="en-US" w:eastAsia="zh-CN"/>
          <w14:textFill>
            <w14:solidFill>
              <w14:schemeClr w14:val="tx1"/>
            </w14:solidFill>
          </w14:textFill>
        </w:rPr>
        <w:t>11</w:t>
      </w:r>
      <w:r>
        <w:rPr>
          <w:rFonts w:hint="eastAsia" w:ascii="仿宋_GB2312" w:hAnsi="ˎ̥" w:eastAsia="仿宋_GB2312"/>
          <w:color w:val="000000" w:themeColor="text1"/>
          <w:sz w:val="32"/>
          <w:szCs w:val="32"/>
          <w14:textFill>
            <w14:solidFill>
              <w14:schemeClr w14:val="tx1"/>
            </w14:solidFill>
          </w14:textFill>
        </w:rPr>
        <w:t>（项）。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年初预算为</w:t>
      </w:r>
      <w:r>
        <w:rPr>
          <w:rFonts w:hint="eastAsia" w:ascii="仿宋_GB2312" w:hAnsi="ˎ̥" w:eastAsia="仿宋_GB2312"/>
          <w:color w:val="000000" w:themeColor="text1"/>
          <w:sz w:val="32"/>
          <w:szCs w:val="32"/>
          <w:lang w:val="en-US" w:eastAsia="zh-CN"/>
          <w14:textFill>
            <w14:solidFill>
              <w14:schemeClr w14:val="tx1"/>
            </w14:solidFill>
          </w14:textFill>
        </w:rPr>
        <w:t>248.30</w:t>
      </w:r>
      <w:r>
        <w:rPr>
          <w:rFonts w:hint="eastAsia" w:ascii="仿宋_GB2312" w:hAnsi="ˎ̥" w:eastAsia="仿宋_GB2312"/>
          <w:color w:val="000000" w:themeColor="text1"/>
          <w:sz w:val="32"/>
          <w:szCs w:val="32"/>
          <w14:textFill>
            <w14:solidFill>
              <w14:schemeClr w14:val="tx1"/>
            </w14:solidFill>
          </w14:textFill>
        </w:rPr>
        <w:t>万元，支出决算为</w:t>
      </w:r>
      <w:r>
        <w:rPr>
          <w:rFonts w:hint="eastAsia" w:ascii="仿宋_GB2312" w:hAnsi="ˎ̥" w:eastAsia="仿宋_GB2312"/>
          <w:color w:val="000000" w:themeColor="text1"/>
          <w:sz w:val="32"/>
          <w:szCs w:val="32"/>
          <w:lang w:val="en-US" w:eastAsia="zh-CN"/>
          <w14:textFill>
            <w14:solidFill>
              <w14:schemeClr w14:val="tx1"/>
            </w14:solidFill>
          </w14:textFill>
        </w:rPr>
        <w:t>248.03</w:t>
      </w:r>
      <w:r>
        <w:rPr>
          <w:rFonts w:hint="eastAsia" w:ascii="仿宋_GB2312" w:hAnsi="ˎ̥" w:eastAsia="仿宋_GB2312"/>
          <w:color w:val="000000" w:themeColor="text1"/>
          <w:sz w:val="32"/>
          <w:szCs w:val="32"/>
          <w14:textFill>
            <w14:solidFill>
              <w14:schemeClr w14:val="tx1"/>
            </w14:solidFill>
          </w14:textFill>
        </w:rPr>
        <w:t>万元，完成年初预算的</w:t>
      </w:r>
      <w:r>
        <w:rPr>
          <w:rFonts w:hint="eastAsia" w:ascii="仿宋_GB2312" w:hAnsi="ˎ̥" w:eastAsia="仿宋_GB2312"/>
          <w:color w:val="000000" w:themeColor="text1"/>
          <w:sz w:val="32"/>
          <w:szCs w:val="32"/>
          <w:lang w:val="en-US" w:eastAsia="zh-CN"/>
          <w14:textFill>
            <w14:solidFill>
              <w14:schemeClr w14:val="tx1"/>
            </w14:solidFill>
          </w14:textFill>
        </w:rPr>
        <w:t>99.89</w:t>
      </w:r>
      <w:r>
        <w:rPr>
          <w:rFonts w:hint="eastAsia" w:ascii="仿宋_GB2312" w:hAnsi="ˎ̥" w:eastAsia="仿宋_GB2312"/>
          <w:color w:val="000000" w:themeColor="text1"/>
          <w:sz w:val="32"/>
          <w:szCs w:val="32"/>
          <w14:textFill>
            <w14:solidFill>
              <w14:schemeClr w14:val="tx1"/>
            </w14:solidFill>
          </w14:textFill>
        </w:rPr>
        <w:t>%。决算数小于预算数的主要原因：</w:t>
      </w:r>
      <w:r>
        <w:rPr>
          <w:rFonts w:hint="eastAsia" w:ascii="仿宋_GB2312" w:hAnsi="ˎ̥" w:eastAsia="仿宋_GB2312"/>
          <w:color w:val="000000" w:themeColor="text1"/>
          <w:sz w:val="32"/>
          <w:szCs w:val="32"/>
          <w:lang w:eastAsia="zh-CN"/>
          <w14:textFill>
            <w14:solidFill>
              <w14:schemeClr w14:val="tx1"/>
            </w14:solidFill>
          </w14:textFill>
        </w:rPr>
        <w:t>是</w:t>
      </w:r>
      <w:r>
        <w:rPr>
          <w:rFonts w:hint="eastAsia" w:ascii="仿宋_GB2312" w:hAnsi="ˎ̥" w:eastAsia="仿宋_GB2312"/>
          <w:color w:val="000000" w:themeColor="text1"/>
          <w:sz w:val="32"/>
          <w:szCs w:val="32"/>
          <w:lang w:val="en-US" w:eastAsia="zh-CN"/>
          <w14:textFill>
            <w14:solidFill>
              <w14:schemeClr w14:val="tx1"/>
            </w14:solidFill>
          </w14:textFill>
        </w:rPr>
        <w:t>未到质保期，质保金未支付</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（一）国有资本经营预算财政拨款支出决算总体情况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年度国有资本经营预算财政拨款支出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万元，占本年支出合计的</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年度相比，国有资本经营预算财政拨款支出增加（减少）</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万元，增长（下降）</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%，主要原因</w:t>
      </w:r>
      <w:r>
        <w:rPr>
          <w:rFonts w:hint="eastAsia" w:ascii="仿宋_GB2312" w:hAnsi="ˎ̥" w:eastAsia="仿宋_GB2312"/>
          <w:color w:val="000000" w:themeColor="text1"/>
          <w:sz w:val="32"/>
          <w:szCs w:val="32"/>
          <w:lang w:eastAsia="zh-CN"/>
          <w14:textFill>
            <w14:solidFill>
              <w14:schemeClr w14:val="tx1"/>
            </w14:solidFill>
          </w14:textFill>
        </w:rPr>
        <w:t>：</w:t>
      </w:r>
      <w:r>
        <w:rPr>
          <w:rFonts w:hint="eastAsia" w:ascii="仿宋_GB2312" w:hAnsi="ˎ̥" w:eastAsia="仿宋_GB2312"/>
          <w:color w:val="000000" w:themeColor="text1"/>
          <w:sz w:val="32"/>
          <w:szCs w:val="32"/>
          <w:lang w:val="en-US" w:eastAsia="zh-CN"/>
          <w14:textFill>
            <w14:solidFill>
              <w14:schemeClr w14:val="tx1"/>
            </w14:solidFill>
          </w14:textFill>
        </w:rPr>
        <w:t>无</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（二）国有资本经营预算财政拨款支出决算结构情况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年度国有资本经营预算财政拨款支出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万元，主要用于以下方面：</w:t>
      </w:r>
      <w:r>
        <w:rPr>
          <w:rFonts w:hint="eastAsia" w:ascii="仿宋_GB2312" w:hAnsi="ˎ̥" w:eastAsia="仿宋_GB2312"/>
          <w:color w:val="000000" w:themeColor="text1"/>
          <w:sz w:val="32"/>
          <w:szCs w:val="32"/>
          <w:lang w:val="en-US" w:eastAsia="zh-CN"/>
          <w14:textFill>
            <w14:solidFill>
              <w14:schemeClr w14:val="tx1"/>
            </w14:solidFill>
          </w14:textFill>
        </w:rPr>
        <w:t>无</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（三）国有资本经营预算财政拨款支出决算具体情况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年度国有资本经营预算财政拨款支出年初预算为</w:t>
      </w:r>
      <w:r>
        <w:rPr>
          <w:rFonts w:hint="eastAsia" w:ascii="仿宋_GB2312" w:hAnsi="ˎ̥" w:eastAsia="仿宋_GB2312"/>
          <w:color w:val="000000" w:themeColor="text1"/>
          <w:sz w:val="32"/>
          <w:szCs w:val="32"/>
          <w:lang w:val="en-US" w:eastAsia="zh-CN"/>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万元，支出决算为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万元，完成年初预算的</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lang w:val="en-US" w:eastAsia="zh-CN"/>
          <w14:textFill>
            <w14:solidFill>
              <w14:schemeClr w14:val="tx1"/>
            </w14:solidFill>
          </w14:textFill>
        </w:rPr>
        <w:t xml:space="preserve">  </w:t>
      </w:r>
      <w:r>
        <w:rPr>
          <w:rFonts w:hint="eastAsia" w:ascii="仿宋_GB2312" w:hAnsi="ˎ̥" w:eastAsia="仿宋_GB2312"/>
          <w:color w:val="000000" w:themeColor="text1"/>
          <w:sz w:val="32"/>
          <w:szCs w:val="32"/>
          <w14:textFill>
            <w14:solidFill>
              <w14:schemeClr w14:val="tx1"/>
            </w14:solidFill>
          </w14:textFill>
        </w:rPr>
        <w:t>年初预算为</w:t>
      </w:r>
      <w:r>
        <w:rPr>
          <w:rFonts w:hint="eastAsia" w:ascii="仿宋_GB2312" w:hAnsi="ˎ̥" w:eastAsia="仿宋_GB2312"/>
          <w:color w:val="000000" w:themeColor="text1"/>
          <w:sz w:val="32"/>
          <w:szCs w:val="32"/>
          <w:lang w:val="en-US" w:eastAsia="zh-CN"/>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万元，支出决算为</w:t>
      </w:r>
      <w:r>
        <w:rPr>
          <w:rFonts w:hint="eastAsia" w:ascii="仿宋_GB2312" w:hAnsi="ˎ̥" w:eastAsia="仿宋_GB2312"/>
          <w:color w:val="000000" w:themeColor="text1"/>
          <w:sz w:val="32"/>
          <w:szCs w:val="32"/>
          <w:lang w:val="en-US" w:eastAsia="zh-CN"/>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万元，完成年初预算的</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%。决算数大于（小于）预算数的主要原因：</w:t>
      </w:r>
      <w:r>
        <w:rPr>
          <w:rFonts w:hint="eastAsia" w:ascii="仿宋_GB2312" w:hAnsi="ˎ̥" w:eastAsia="仿宋_GB2312"/>
          <w:color w:val="000000" w:themeColor="text1"/>
          <w:sz w:val="32"/>
          <w:szCs w:val="32"/>
          <w:lang w:val="en-US" w:eastAsia="zh-CN"/>
          <w14:textFill>
            <w14:solidFill>
              <w14:schemeClr w14:val="tx1"/>
            </w14:solidFill>
          </w14:textFill>
        </w:rPr>
        <w:t>无</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000000" w:themeColor="text1"/>
          <w:sz w:val="32"/>
          <w:szCs w:val="32"/>
          <w14:textFill>
            <w14:solidFill>
              <w14:schemeClr w14:val="tx1"/>
            </w14:solidFill>
          </w14:textFill>
        </w:rPr>
      </w:pPr>
      <w:r>
        <w:rPr>
          <w:rFonts w:hint="eastAsia" w:ascii="楷体" w:hAnsi="楷体" w:eastAsia="楷体" w:cs="楷体"/>
          <w:bCs/>
          <w:color w:val="000000" w:themeColor="text1"/>
          <w:sz w:val="32"/>
          <w:szCs w:val="32"/>
          <w14:textFill>
            <w14:solidFill>
              <w14:schemeClr w14:val="tx1"/>
            </w14:solidFill>
          </w14:textFill>
        </w:rPr>
        <w:t>（一）财政拨款“三公”经费支出决算总体情况说明</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 xml:space="preserve">    </w:t>
      </w: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年度财政拨款“三公”经费支出预算为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万元，支出决算为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万元，完成预算的</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w:t>
      </w:r>
      <w:r>
        <w:rPr>
          <w:rFonts w:ascii="仿宋_GB2312" w:hAnsi="ˎ̥" w:eastAsia="仿宋_GB2312"/>
          <w:color w:val="000000" w:themeColor="text1"/>
          <w:sz w:val="32"/>
          <w:szCs w:val="32"/>
          <w14:textFill>
            <w14:solidFill>
              <w14:schemeClr w14:val="tx1"/>
            </w14:solidFill>
          </w14:textFill>
        </w:rPr>
        <w:t>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w:t>
      </w:r>
      <w:r>
        <w:rPr>
          <w:rFonts w:ascii="仿宋_GB2312" w:hAnsi="ˎ̥" w:eastAsia="仿宋_GB2312"/>
          <w:color w:val="000000" w:themeColor="text1"/>
          <w:sz w:val="32"/>
          <w:szCs w:val="32"/>
          <w14:textFill>
            <w14:solidFill>
              <w14:schemeClr w14:val="tx1"/>
            </w14:solidFill>
          </w14:textFill>
        </w:rPr>
        <w:t>相比，</w:t>
      </w:r>
      <w:r>
        <w:rPr>
          <w:rFonts w:hint="eastAsia" w:ascii="仿宋_GB2312" w:hAnsi="ˎ̥" w:eastAsia="仿宋_GB2312"/>
          <w:color w:val="000000" w:themeColor="text1"/>
          <w:sz w:val="32"/>
          <w:szCs w:val="32"/>
          <w14:textFill>
            <w14:solidFill>
              <w14:schemeClr w14:val="tx1"/>
            </w14:solidFill>
          </w14:textFill>
        </w:rPr>
        <w:t>“三公”经费支出增加</w:t>
      </w:r>
      <w:r>
        <w:rPr>
          <w:rFonts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14:textFill>
            <w14:solidFill>
              <w14:schemeClr w14:val="tx1"/>
            </w14:solidFill>
          </w14:textFill>
        </w:rPr>
        <w:t>减少</w:t>
      </w:r>
      <w:r>
        <w:rPr>
          <w:rFonts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w:t>
      </w:r>
      <w:r>
        <w:rPr>
          <w:rFonts w:ascii="仿宋_GB2312" w:hAnsi="ˎ̥" w:eastAsia="仿宋_GB2312"/>
          <w:color w:val="000000" w:themeColor="text1"/>
          <w:sz w:val="32"/>
          <w:szCs w:val="32"/>
          <w14:textFill>
            <w14:solidFill>
              <w14:schemeClr w14:val="tx1"/>
            </w14:solidFill>
          </w14:textFill>
        </w:rPr>
        <w:t>，增长（</w:t>
      </w:r>
      <w:r>
        <w:rPr>
          <w:rFonts w:hint="eastAsia" w:ascii="仿宋_GB2312" w:hAnsi="ˎ̥" w:eastAsia="仿宋_GB2312"/>
          <w:color w:val="000000" w:themeColor="text1"/>
          <w:sz w:val="32"/>
          <w:szCs w:val="32"/>
          <w14:textFill>
            <w14:solidFill>
              <w14:schemeClr w14:val="tx1"/>
            </w14:solidFill>
          </w14:textFill>
        </w:rPr>
        <w:t>下降</w:t>
      </w:r>
      <w:r>
        <w:rPr>
          <w:rFonts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b/>
          <w:bCs/>
          <w:color w:val="000000" w:themeColor="text1"/>
          <w:sz w:val="32"/>
          <w:szCs w:val="32"/>
          <w14:textFill>
            <w14:solidFill>
              <w14:schemeClr w14:val="tx1"/>
            </w14:solidFill>
          </w14:textFill>
        </w:rPr>
        <w:t xml:space="preserve">   </w:t>
      </w:r>
      <w:r>
        <w:rPr>
          <w:rFonts w:hint="eastAsia" w:ascii="楷体" w:hAnsi="楷体" w:eastAsia="楷体" w:cs="楷体"/>
          <w:color w:val="000000" w:themeColor="text1"/>
          <w:sz w:val="32"/>
          <w:szCs w:val="32"/>
          <w14:textFill>
            <w14:solidFill>
              <w14:schemeClr w14:val="tx1"/>
            </w14:solidFill>
          </w14:textFill>
        </w:rPr>
        <w:t xml:space="preserve">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年度财政拨款“三公”经费支出决算中，因公出国（境）费支出决算</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%；公务用车购置及运行维护费支出决算</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%；公务接待费支出决算</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%。具体情况如下：</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b/>
          <w:color w:val="000000" w:themeColor="text1"/>
          <w:sz w:val="32"/>
          <w:szCs w:val="32"/>
          <w14:textFill>
            <w14:solidFill>
              <w14:schemeClr w14:val="tx1"/>
            </w14:solidFill>
          </w14:textFill>
        </w:rPr>
        <w:t>1.因公出国（境）费</w:t>
      </w:r>
      <w:r>
        <w:rPr>
          <w:rFonts w:hint="eastAsia" w:ascii="仿宋_GB2312" w:hAnsi="ˎ̥" w:eastAsia="仿宋_GB2312"/>
          <w:color w:val="000000" w:themeColor="text1"/>
          <w:sz w:val="32"/>
          <w:szCs w:val="32"/>
          <w14:textFill>
            <w14:solidFill>
              <w14:schemeClr w14:val="tx1"/>
            </w14:solidFill>
          </w14:textFill>
        </w:rPr>
        <w:t>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万元。全年安排因公出国（境）团组</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个，因公出国（境）</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人次。开支内容包括：</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支出</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支出</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w:t>
      </w:r>
      <w:r>
        <w:rPr>
          <w:rFonts w:hint="eastAsia" w:ascii="仿宋_GB2312" w:hAnsi="ˎ̥" w:eastAsia="仿宋_GB2312"/>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因公出国（境）费支出决算</w:t>
      </w:r>
      <w:r>
        <w:rPr>
          <w:rFonts w:hint="eastAsia" w:ascii="仿宋_GB2312" w:hAnsi="ˎ̥" w:eastAsia="仿宋_GB2312"/>
          <w:color w:val="000000" w:themeColor="text1"/>
          <w:sz w:val="32"/>
          <w:szCs w:val="32"/>
          <w:lang w:val="en-US" w:eastAsia="zh-CN"/>
          <w14:textFill>
            <w14:solidFill>
              <w14:schemeClr w14:val="tx1"/>
            </w14:solidFill>
          </w14:textFill>
        </w:rPr>
        <w:t>数</w:t>
      </w:r>
      <w:r>
        <w:rPr>
          <w:rFonts w:hint="eastAsia" w:ascii="仿宋_GB2312" w:hAnsi="ˎ̥" w:eastAsia="仿宋_GB2312"/>
          <w:color w:val="000000" w:themeColor="text1"/>
          <w:sz w:val="32"/>
          <w:szCs w:val="32"/>
          <w14:textFill>
            <w14:solidFill>
              <w14:schemeClr w14:val="tx1"/>
            </w14:solidFill>
          </w14:textFill>
        </w:rPr>
        <w:t>比预算数增加（减少）</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w:t>
      </w:r>
      <w:r>
        <w:rPr>
          <w:rFonts w:hint="eastAsia" w:ascii="仿宋_GB2312" w:hAnsi="ˎ̥" w:eastAsia="仿宋_GB2312"/>
          <w:color w:val="000000" w:themeColor="text1"/>
          <w:sz w:val="32"/>
          <w:szCs w:val="32"/>
          <w:lang w:val="en-US" w:eastAsia="zh-CN"/>
          <w14:textFill>
            <w14:solidFill>
              <w14:schemeClr w14:val="tx1"/>
            </w14:solidFill>
          </w14:textFill>
        </w:rPr>
        <w:t>完成预算的0</w:t>
      </w:r>
      <w:r>
        <w:rPr>
          <w:rFonts w:hint="default" w:ascii="仿宋_GB2312" w:hAnsi="ˎ̥" w:eastAsia="仿宋_GB2312"/>
          <w:color w:val="000000" w:themeColor="text1"/>
          <w:sz w:val="32"/>
          <w:szCs w:val="32"/>
          <w:lang w:val="en-US" w:eastAsia="zh-CN"/>
          <w14:textFill>
            <w14:solidFill>
              <w14:schemeClr w14:val="tx1"/>
            </w14:solidFill>
          </w14:textFill>
        </w:rPr>
        <w:t>%</w:t>
      </w:r>
      <w:r>
        <w:rPr>
          <w:rFonts w:hint="eastAsia" w:ascii="仿宋_GB2312" w:hAnsi="ˎ̥" w:eastAsia="仿宋_GB2312"/>
          <w:color w:val="000000" w:themeColor="text1"/>
          <w:sz w:val="32"/>
          <w:szCs w:val="32"/>
          <w14:textFill>
            <w14:solidFill>
              <w14:schemeClr w14:val="tx1"/>
            </w14:solidFill>
          </w14:textFill>
        </w:rPr>
        <w:t>。与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w:t>
      </w:r>
      <w:r>
        <w:rPr>
          <w:rFonts w:ascii="仿宋_GB2312" w:hAnsi="ˎ̥" w:eastAsia="仿宋_GB2312"/>
          <w:color w:val="000000" w:themeColor="text1"/>
          <w:sz w:val="32"/>
          <w:szCs w:val="32"/>
          <w14:textFill>
            <w14:solidFill>
              <w14:schemeClr w14:val="tx1"/>
            </w14:solidFill>
          </w14:textFill>
        </w:rPr>
        <w:t>相比，</w:t>
      </w:r>
      <w:r>
        <w:rPr>
          <w:rFonts w:hint="eastAsia" w:ascii="仿宋_GB2312" w:hAnsi="ˎ̥" w:eastAsia="仿宋_GB2312"/>
          <w:color w:val="000000" w:themeColor="text1"/>
          <w:sz w:val="32"/>
          <w:szCs w:val="32"/>
          <w14:textFill>
            <w14:solidFill>
              <w14:schemeClr w14:val="tx1"/>
            </w14:solidFill>
          </w14:textFill>
        </w:rPr>
        <w:t>因公出国（境）费支出增加</w:t>
      </w:r>
      <w:r>
        <w:rPr>
          <w:rFonts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14:textFill>
            <w14:solidFill>
              <w14:schemeClr w14:val="tx1"/>
            </w14:solidFill>
          </w14:textFill>
        </w:rPr>
        <w:t>减少</w:t>
      </w:r>
      <w:r>
        <w:rPr>
          <w:rFonts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w:t>
      </w:r>
      <w:r>
        <w:rPr>
          <w:rFonts w:ascii="仿宋_GB2312" w:hAnsi="ˎ̥" w:eastAsia="仿宋_GB2312"/>
          <w:color w:val="000000" w:themeColor="text1"/>
          <w:sz w:val="32"/>
          <w:szCs w:val="32"/>
          <w14:textFill>
            <w14:solidFill>
              <w14:schemeClr w14:val="tx1"/>
            </w14:solidFill>
          </w14:textFill>
        </w:rPr>
        <w:t>，增长（</w:t>
      </w:r>
      <w:r>
        <w:rPr>
          <w:rFonts w:hint="eastAsia" w:ascii="仿宋_GB2312" w:hAnsi="ˎ̥" w:eastAsia="仿宋_GB2312"/>
          <w:color w:val="000000" w:themeColor="text1"/>
          <w:sz w:val="32"/>
          <w:szCs w:val="32"/>
          <w14:textFill>
            <w14:solidFill>
              <w14:schemeClr w14:val="tx1"/>
            </w14:solidFill>
          </w14:textFill>
        </w:rPr>
        <w:t>下降</w:t>
      </w:r>
      <w:r>
        <w:rPr>
          <w:rFonts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lang w:val="en-US" w:eastAsia="zh-CN"/>
          <w14:textFill>
            <w14:solidFill>
              <w14:schemeClr w14:val="tx1"/>
            </w14:solidFill>
          </w14:textFill>
        </w:rPr>
        <w:t>0</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b/>
          <w:color w:val="000000" w:themeColor="text1"/>
          <w:sz w:val="32"/>
          <w:szCs w:val="32"/>
          <w14:textFill>
            <w14:solidFill>
              <w14:schemeClr w14:val="tx1"/>
            </w14:solidFill>
          </w14:textFill>
        </w:rPr>
        <w:t xml:space="preserve">    2.公务用车购置及运行维护费</w:t>
      </w:r>
      <w:r>
        <w:rPr>
          <w:rFonts w:hint="eastAsia" w:ascii="仿宋_GB2312" w:hAnsi="ˎ̥" w:eastAsia="仿宋_GB2312"/>
          <w:b w:val="0"/>
          <w:bCs/>
          <w:color w:val="000000" w:themeColor="text1"/>
          <w:sz w:val="32"/>
          <w:szCs w:val="32"/>
          <w14:textFill>
            <w14:solidFill>
              <w14:schemeClr w14:val="tx1"/>
            </w14:solidFill>
          </w14:textFill>
        </w:rPr>
        <w:t>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b/>
          <w:color w:val="000000" w:themeColor="text1"/>
          <w:sz w:val="32"/>
          <w:szCs w:val="32"/>
          <w14:textFill>
            <w14:solidFill>
              <w14:schemeClr w14:val="tx1"/>
            </w14:solidFill>
          </w14:textFill>
        </w:rPr>
        <w:t>公务用车购置</w:t>
      </w:r>
      <w:r>
        <w:rPr>
          <w:rFonts w:hint="eastAsia" w:ascii="仿宋_GB2312" w:hAnsi="ˎ̥" w:eastAsia="仿宋_GB2312"/>
          <w:b w:val="0"/>
          <w:bCs/>
          <w:color w:val="000000" w:themeColor="text1"/>
          <w:sz w:val="32"/>
          <w:szCs w:val="32"/>
          <w14:textFill>
            <w14:solidFill>
              <w14:schemeClr w14:val="tx1"/>
            </w14:solidFill>
          </w14:textFill>
        </w:rPr>
        <w:t>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万元，全年购置公务用车</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辆，年末公务用车保有量</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辆。</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b/>
          <w:color w:val="000000" w:themeColor="text1"/>
          <w:sz w:val="32"/>
          <w:szCs w:val="32"/>
          <w14:textFill>
            <w14:solidFill>
              <w14:schemeClr w14:val="tx1"/>
            </w14:solidFill>
          </w14:textFill>
        </w:rPr>
        <w:t>公务用车运行维护费</w:t>
      </w:r>
      <w:r>
        <w:rPr>
          <w:rFonts w:hint="eastAsia" w:ascii="仿宋_GB2312" w:hAnsi="ˎ̥" w:eastAsia="仿宋_GB2312"/>
          <w:color w:val="000000" w:themeColor="text1"/>
          <w:sz w:val="32"/>
          <w:szCs w:val="32"/>
          <w14:textFill>
            <w14:solidFill>
              <w14:schemeClr w14:val="tx1"/>
            </w14:solidFill>
          </w14:textFill>
        </w:rPr>
        <w:t>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w:t>
      </w:r>
      <w:r>
        <w:rPr>
          <w:rFonts w:hint="eastAsia" w:ascii="仿宋_GB2312" w:hAnsi="ˎ̥" w:eastAsia="仿宋_GB2312"/>
          <w:color w:val="000000" w:themeColor="text1"/>
          <w:sz w:val="32"/>
          <w:szCs w:val="32"/>
          <w:lang w:val="en-US" w:eastAsia="zh-CN"/>
          <w14:textFill>
            <w14:solidFill>
              <w14:schemeClr w14:val="tx1"/>
            </w14:solidFill>
          </w14:textFill>
        </w:rPr>
        <w:t>元</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Cs/>
          <w:color w:val="000000" w:themeColor="text1"/>
          <w:sz w:val="32"/>
          <w:szCs w:val="32"/>
          <w14:textFill>
            <w14:solidFill>
              <w14:schemeClr w14:val="tx1"/>
            </w14:solidFill>
          </w14:textFill>
        </w:rPr>
      </w:pPr>
      <w:r>
        <w:rPr>
          <w:rFonts w:hint="eastAsia" w:ascii="仿宋_GB2312" w:hAnsi="ˎ̥" w:eastAsia="仿宋_GB2312"/>
          <w:bCs/>
          <w:color w:val="000000" w:themeColor="text1"/>
          <w:sz w:val="32"/>
          <w:szCs w:val="32"/>
          <w14:textFill>
            <w14:solidFill>
              <w14:schemeClr w14:val="tx1"/>
            </w14:solidFill>
          </w14:textFill>
        </w:rPr>
        <w:t>公务用车购置及运行维护费支出决算数</w:t>
      </w:r>
      <w:r>
        <w:rPr>
          <w:rFonts w:hint="eastAsia" w:ascii="仿宋_GB2312" w:hAnsi="ˎ̥" w:eastAsia="仿宋_GB2312"/>
          <w:color w:val="000000" w:themeColor="text1"/>
          <w:sz w:val="32"/>
          <w:szCs w:val="32"/>
          <w14:textFill>
            <w14:solidFill>
              <w14:schemeClr w14:val="tx1"/>
            </w14:solidFill>
          </w14:textFill>
        </w:rPr>
        <w:t>比预算数增加（减少）</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w:t>
      </w:r>
      <w:r>
        <w:rPr>
          <w:rFonts w:hint="eastAsia" w:ascii="仿宋_GB2312" w:hAnsi="ˎ̥" w:eastAsia="仿宋_GB2312"/>
          <w:color w:val="000000" w:themeColor="text1"/>
          <w:sz w:val="32"/>
          <w:szCs w:val="32"/>
          <w:lang w:val="en-US" w:eastAsia="zh-CN"/>
          <w14:textFill>
            <w14:solidFill>
              <w14:schemeClr w14:val="tx1"/>
            </w14:solidFill>
          </w14:textFill>
        </w:rPr>
        <w:t>完成预算的0</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lang w:val="en-US" w:eastAsia="zh-CN"/>
          <w14:textFill>
            <w14:solidFill>
              <w14:schemeClr w14:val="tx1"/>
            </w14:solidFill>
          </w14:textFill>
        </w:rPr>
        <w:t>。</w:t>
      </w:r>
      <w:r>
        <w:rPr>
          <w:rFonts w:hint="eastAsia" w:ascii="仿宋_GB2312" w:hAnsi="ˎ̥" w:eastAsia="仿宋_GB2312"/>
          <w:color w:val="000000" w:themeColor="text1"/>
          <w:sz w:val="32"/>
          <w:szCs w:val="32"/>
          <w14:textFill>
            <w14:solidFill>
              <w14:schemeClr w14:val="tx1"/>
            </w14:solidFill>
          </w14:textFill>
        </w:rPr>
        <w:t>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w:t>
      </w:r>
      <w:r>
        <w:rPr>
          <w:rFonts w:ascii="仿宋_GB2312" w:hAnsi="ˎ̥" w:eastAsia="仿宋_GB2312"/>
          <w:color w:val="000000" w:themeColor="text1"/>
          <w:sz w:val="32"/>
          <w:szCs w:val="32"/>
          <w14:textFill>
            <w14:solidFill>
              <w14:schemeClr w14:val="tx1"/>
            </w14:solidFill>
          </w14:textFill>
        </w:rPr>
        <w:t>相比，</w:t>
      </w:r>
      <w:r>
        <w:rPr>
          <w:rFonts w:hint="eastAsia" w:ascii="仿宋_GB2312" w:hAnsi="ˎ̥" w:eastAsia="仿宋_GB2312"/>
          <w:bCs/>
          <w:color w:val="000000" w:themeColor="text1"/>
          <w:sz w:val="32"/>
          <w:szCs w:val="32"/>
          <w14:textFill>
            <w14:solidFill>
              <w14:schemeClr w14:val="tx1"/>
            </w14:solidFill>
          </w14:textFill>
        </w:rPr>
        <w:t>公务用车购置及运行维护费</w:t>
      </w:r>
      <w:r>
        <w:rPr>
          <w:rFonts w:hint="eastAsia" w:ascii="仿宋_GB2312" w:hAnsi="ˎ̥" w:eastAsia="仿宋_GB2312"/>
          <w:color w:val="000000" w:themeColor="text1"/>
          <w:sz w:val="32"/>
          <w:szCs w:val="32"/>
          <w14:textFill>
            <w14:solidFill>
              <w14:schemeClr w14:val="tx1"/>
            </w14:solidFill>
          </w14:textFill>
        </w:rPr>
        <w:t>支出增加</w:t>
      </w:r>
      <w:r>
        <w:rPr>
          <w:rFonts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14:textFill>
            <w14:solidFill>
              <w14:schemeClr w14:val="tx1"/>
            </w14:solidFill>
          </w14:textFill>
        </w:rPr>
        <w:t>减少</w:t>
      </w:r>
      <w:r>
        <w:rPr>
          <w:rFonts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w:t>
      </w:r>
      <w:r>
        <w:rPr>
          <w:rFonts w:ascii="仿宋_GB2312" w:hAnsi="ˎ̥" w:eastAsia="仿宋_GB2312"/>
          <w:color w:val="000000" w:themeColor="text1"/>
          <w:sz w:val="32"/>
          <w:szCs w:val="32"/>
          <w14:textFill>
            <w14:solidFill>
              <w14:schemeClr w14:val="tx1"/>
            </w14:solidFill>
          </w14:textFill>
        </w:rPr>
        <w:t>，增长（</w:t>
      </w:r>
      <w:r>
        <w:rPr>
          <w:rFonts w:hint="eastAsia" w:ascii="仿宋_GB2312" w:hAnsi="ˎ̥" w:eastAsia="仿宋_GB2312"/>
          <w:color w:val="000000" w:themeColor="text1"/>
          <w:sz w:val="32"/>
          <w:szCs w:val="32"/>
          <w14:textFill>
            <w14:solidFill>
              <w14:schemeClr w14:val="tx1"/>
            </w14:solidFill>
          </w14:textFill>
        </w:rPr>
        <w:t>下降</w:t>
      </w:r>
      <w:r>
        <w:rPr>
          <w:rFonts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b/>
          <w:color w:val="000000" w:themeColor="text1"/>
          <w:sz w:val="32"/>
          <w:szCs w:val="32"/>
          <w14:textFill>
            <w14:solidFill>
              <w14:schemeClr w14:val="tx1"/>
            </w14:solidFill>
          </w14:textFill>
        </w:rPr>
        <w:t xml:space="preserve">    3.公务接待费</w:t>
      </w:r>
      <w:r>
        <w:rPr>
          <w:rFonts w:hint="eastAsia" w:ascii="仿宋_GB2312" w:hAnsi="ˎ̥" w:eastAsia="仿宋_GB2312"/>
          <w:b w:val="0"/>
          <w:bCs/>
          <w:color w:val="000000" w:themeColor="text1"/>
          <w:sz w:val="32"/>
          <w:szCs w:val="32"/>
          <w14:textFill>
            <w14:solidFill>
              <w14:schemeClr w14:val="tx1"/>
            </w14:solidFill>
          </w14:textFill>
        </w:rPr>
        <w:t>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b/>
          <w:color w:val="000000" w:themeColor="text1"/>
          <w:sz w:val="32"/>
          <w:szCs w:val="32"/>
          <w14:textFill>
            <w14:solidFill>
              <w14:schemeClr w14:val="tx1"/>
            </w14:solidFill>
          </w14:textFill>
        </w:rPr>
        <w:t>国内接待费</w:t>
      </w:r>
      <w:r>
        <w:rPr>
          <w:rFonts w:hint="eastAsia" w:ascii="仿宋_GB2312" w:hAnsi="ˎ̥" w:eastAsia="仿宋_GB2312"/>
          <w:color w:val="000000" w:themeColor="text1"/>
          <w:sz w:val="32"/>
          <w:szCs w:val="32"/>
          <w14:textFill>
            <w14:solidFill>
              <w14:schemeClr w14:val="tx1"/>
            </w14:solidFill>
          </w14:textFill>
        </w:rPr>
        <w:t>支出</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万元，国内公务接待</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批次，接待</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人次</w:t>
      </w:r>
      <w:r>
        <w:rPr>
          <w:rFonts w:hint="eastAsia" w:ascii="仿宋_GB2312" w:hAnsi="ˎ̥" w:eastAsia="仿宋_GB2312"/>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b/>
          <w:bCs/>
          <w:color w:val="000000" w:themeColor="text1"/>
          <w:sz w:val="32"/>
          <w:szCs w:val="32"/>
          <w14:textFill>
            <w14:solidFill>
              <w14:schemeClr w14:val="tx1"/>
            </w14:solidFill>
          </w14:textFill>
        </w:rPr>
        <w:t>国（境）外接待费</w:t>
      </w:r>
      <w:r>
        <w:rPr>
          <w:rFonts w:hint="eastAsia" w:ascii="仿宋_GB2312" w:hAnsi="ˎ̥" w:eastAsia="仿宋_GB2312"/>
          <w:color w:val="000000" w:themeColor="text1"/>
          <w:sz w:val="32"/>
          <w:szCs w:val="32"/>
          <w14:textFill>
            <w14:solidFill>
              <w14:schemeClr w14:val="tx1"/>
            </w14:solidFill>
          </w14:textFill>
        </w:rPr>
        <w:t>支出</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万元，国（境）外公务接待</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批次，接待</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人次。</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公务接待费支出决算数比预算数增加（减少）</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w:t>
      </w:r>
      <w:r>
        <w:rPr>
          <w:rFonts w:hint="eastAsia" w:ascii="仿宋_GB2312" w:hAnsi="ˎ̥" w:eastAsia="仿宋_GB2312"/>
          <w:color w:val="000000" w:themeColor="text1"/>
          <w:sz w:val="32"/>
          <w:szCs w:val="32"/>
          <w:lang w:val="en-US" w:eastAsia="zh-CN"/>
          <w14:textFill>
            <w14:solidFill>
              <w14:schemeClr w14:val="tx1"/>
            </w14:solidFill>
          </w14:textFill>
        </w:rPr>
        <w:t>完成预算的0</w:t>
      </w:r>
      <w:r>
        <w:rPr>
          <w:rFonts w:hint="eastAsia" w:ascii="仿宋_GB2312" w:hAnsi="ˎ̥" w:eastAsia="仿宋_GB2312"/>
          <w:color w:val="000000" w:themeColor="text1"/>
          <w:sz w:val="32"/>
          <w:szCs w:val="32"/>
          <w14:textFill>
            <w14:solidFill>
              <w14:schemeClr w14:val="tx1"/>
            </w14:solidFill>
          </w14:textFill>
        </w:rPr>
        <w:t>%。与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w:t>
      </w:r>
      <w:r>
        <w:rPr>
          <w:rFonts w:ascii="仿宋_GB2312" w:hAnsi="ˎ̥" w:eastAsia="仿宋_GB2312"/>
          <w:color w:val="000000" w:themeColor="text1"/>
          <w:sz w:val="32"/>
          <w:szCs w:val="32"/>
          <w14:textFill>
            <w14:solidFill>
              <w14:schemeClr w14:val="tx1"/>
            </w14:solidFill>
          </w14:textFill>
        </w:rPr>
        <w:t>相比，</w:t>
      </w:r>
      <w:r>
        <w:rPr>
          <w:rFonts w:hint="eastAsia" w:ascii="仿宋_GB2312" w:hAnsi="ˎ̥" w:eastAsia="仿宋_GB2312"/>
          <w:bCs/>
          <w:color w:val="000000" w:themeColor="text1"/>
          <w:sz w:val="32"/>
          <w:szCs w:val="32"/>
          <w14:textFill>
            <w14:solidFill>
              <w14:schemeClr w14:val="tx1"/>
            </w14:solidFill>
          </w14:textFill>
        </w:rPr>
        <w:t>公务接待费</w:t>
      </w:r>
      <w:r>
        <w:rPr>
          <w:rFonts w:hint="eastAsia" w:ascii="仿宋_GB2312" w:hAnsi="ˎ̥" w:eastAsia="仿宋_GB2312"/>
          <w:color w:val="000000" w:themeColor="text1"/>
          <w:sz w:val="32"/>
          <w:szCs w:val="32"/>
          <w14:textFill>
            <w14:solidFill>
              <w14:schemeClr w14:val="tx1"/>
            </w14:solidFill>
          </w14:textFill>
        </w:rPr>
        <w:t>支出增加</w:t>
      </w:r>
      <w:r>
        <w:rPr>
          <w:rFonts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14:textFill>
            <w14:solidFill>
              <w14:schemeClr w14:val="tx1"/>
            </w14:solidFill>
          </w14:textFill>
        </w:rPr>
        <w:t>减少</w:t>
      </w:r>
      <w:r>
        <w:rPr>
          <w:rFonts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w:t>
      </w:r>
      <w:r>
        <w:rPr>
          <w:rFonts w:ascii="仿宋_GB2312" w:hAnsi="ˎ̥" w:eastAsia="仿宋_GB2312"/>
          <w:color w:val="000000" w:themeColor="text1"/>
          <w:sz w:val="32"/>
          <w:szCs w:val="32"/>
          <w14:textFill>
            <w14:solidFill>
              <w14:schemeClr w14:val="tx1"/>
            </w14:solidFill>
          </w14:textFill>
        </w:rPr>
        <w:t>，增长（</w:t>
      </w:r>
      <w:r>
        <w:rPr>
          <w:rFonts w:hint="eastAsia" w:ascii="仿宋_GB2312" w:hAnsi="ˎ̥" w:eastAsia="仿宋_GB2312"/>
          <w:color w:val="000000" w:themeColor="text1"/>
          <w:sz w:val="32"/>
          <w:szCs w:val="32"/>
          <w14:textFill>
            <w14:solidFill>
              <w14:schemeClr w14:val="tx1"/>
            </w14:solidFill>
          </w14:textFill>
        </w:rPr>
        <w:t>下降</w:t>
      </w:r>
      <w:r>
        <w:rPr>
          <w:rFonts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000000" w:themeColor="text1"/>
          <w:sz w:val="32"/>
          <w:szCs w:val="32"/>
          <w14:textFill>
            <w14:solidFill>
              <w14:schemeClr w14:val="tx1"/>
            </w14:solidFill>
          </w14:textFill>
        </w:rPr>
      </w:pPr>
      <w:r>
        <w:rPr>
          <w:rFonts w:hint="eastAsia" w:ascii="楷体" w:hAnsi="楷体" w:eastAsia="楷体" w:cs="楷体"/>
          <w:bCs/>
          <w:color w:val="000000" w:themeColor="text1"/>
          <w:sz w:val="32"/>
          <w:szCs w:val="32"/>
          <w14:textFill>
            <w14:solidFill>
              <w14:schemeClr w14:val="tx1"/>
            </w14:solidFill>
          </w14:textFill>
        </w:rPr>
        <w:t>（一）绩效管理工作开展情况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根据财政预算绩效管理要求，可按照如下格式说明：根据预算管理要求，我单位组织对</w:t>
      </w:r>
      <w:r>
        <w:rPr>
          <w:rFonts w:hint="default" w:ascii="仿宋_GB2312" w:eastAsia="仿宋_GB2312"/>
          <w:color w:val="000000" w:themeColor="text1"/>
          <w:sz w:val="32"/>
          <w:szCs w:val="32"/>
          <w:lang w:val="en-US"/>
          <w14:textFill>
            <w14:solidFill>
              <w14:schemeClr w14:val="tx1"/>
            </w14:solidFill>
          </w14:textFill>
        </w:rPr>
        <w:t>2024</w:t>
      </w:r>
      <w:r>
        <w:rPr>
          <w:rFonts w:hint="eastAsia" w:ascii="仿宋_GB2312" w:eastAsia="仿宋_GB2312"/>
          <w:color w:val="000000" w:themeColor="text1"/>
          <w:sz w:val="32"/>
          <w:szCs w:val="32"/>
          <w14:textFill>
            <w14:solidFill>
              <w14:schemeClr w14:val="tx1"/>
            </w14:solidFill>
          </w14:textFill>
        </w:rPr>
        <w:t>年度一般公共预算项目支出全面开展绩效自评</w:t>
      </w:r>
      <w:r>
        <w:rPr>
          <w:rFonts w:hint="default" w:ascii="仿宋_GB2312" w:eastAsia="仿宋_GB2312"/>
          <w:color w:val="000000" w:themeColor="text1"/>
          <w:sz w:val="32"/>
          <w:szCs w:val="32"/>
          <w:lang w:val="en-US"/>
          <w14:textFill>
            <w14:solidFill>
              <w14:schemeClr w14:val="tx1"/>
            </w14:solidFill>
          </w14:textFill>
        </w:rPr>
        <w:t>,</w:t>
      </w:r>
      <w:r>
        <w:rPr>
          <w:rFonts w:hint="eastAsia" w:ascii="仿宋_GB2312" w:eastAsia="仿宋_GB2312"/>
          <w:color w:val="000000" w:themeColor="text1"/>
          <w:sz w:val="32"/>
          <w:szCs w:val="32"/>
          <w:lang w:val="en-US" w:eastAsia="zh-CN"/>
          <w14:textFill>
            <w14:solidFill>
              <w14:schemeClr w14:val="tx1"/>
            </w14:solidFill>
          </w14:textFill>
        </w:rPr>
        <w:t>共涉及资金1082.17万元，占一般公共预算项目支出总额的70.13%</w:t>
      </w:r>
      <w:r>
        <w:rPr>
          <w:rFonts w:hint="eastAsia" w:ascii="仿宋_GB2312" w:eastAsia="仿宋_GB2312"/>
          <w:color w:val="000000" w:themeColor="text1"/>
          <w:sz w:val="32"/>
          <w:szCs w:val="32"/>
          <w14:textFill>
            <w14:solidFill>
              <w14:schemeClr w14:val="tx1"/>
            </w14:solidFill>
          </w14:textFill>
        </w:rPr>
        <w:t>。</w:t>
      </w:r>
      <w:r>
        <w:rPr>
          <w:rFonts w:hint="eastAsia" w:ascii="仿宋_GB2312" w:eastAsia="仿宋_GB2312"/>
          <w:color w:val="000000" w:themeColor="text1"/>
          <w:sz w:val="32"/>
          <w:szCs w:val="32"/>
          <w:lang w:bidi="ar"/>
          <w14:textFill>
            <w14:solidFill>
              <w14:schemeClr w14:val="tx1"/>
            </w14:solidFill>
          </w14:textFill>
        </w:rPr>
        <w:t>组织对</w:t>
      </w:r>
      <w:r>
        <w:rPr>
          <w:rFonts w:hint="default" w:ascii="仿宋_GB2312" w:eastAsia="仿宋_GB2312"/>
          <w:color w:val="000000" w:themeColor="text1"/>
          <w:sz w:val="32"/>
          <w:szCs w:val="32"/>
          <w:lang w:val="en-US" w:bidi="ar"/>
          <w14:textFill>
            <w14:solidFill>
              <w14:schemeClr w14:val="tx1"/>
            </w14:solidFill>
          </w14:textFill>
        </w:rPr>
        <w:t>2024</w:t>
      </w:r>
      <w:r>
        <w:rPr>
          <w:rFonts w:hint="eastAsia" w:ascii="仿宋_GB2312" w:eastAsia="仿宋_GB2312"/>
          <w:color w:val="000000" w:themeColor="text1"/>
          <w:sz w:val="32"/>
          <w:szCs w:val="32"/>
          <w:lang w:bidi="ar"/>
          <w14:textFill>
            <w14:solidFill>
              <w14:schemeClr w14:val="tx1"/>
            </w14:solidFill>
          </w14:textFill>
        </w:rPr>
        <w:t>年度</w:t>
      </w:r>
      <w:r>
        <w:rPr>
          <w:rFonts w:hint="eastAsia" w:ascii="仿宋_GB2312" w:eastAsia="仿宋_GB2312"/>
          <w:color w:val="000000" w:themeColor="text1"/>
          <w:sz w:val="32"/>
          <w:szCs w:val="32"/>
          <w:lang w:val="en-US" w:eastAsia="zh-CN" w:bidi="ar"/>
          <w14:textFill>
            <w14:solidFill>
              <w14:schemeClr w14:val="tx1"/>
            </w14:solidFill>
          </w14:textFill>
        </w:rPr>
        <w:t>新建校区项目</w:t>
      </w:r>
      <w:r>
        <w:rPr>
          <w:rFonts w:hint="eastAsia" w:ascii="仿宋_GB2312" w:eastAsia="仿宋_GB2312"/>
          <w:color w:val="000000" w:themeColor="text1"/>
          <w:sz w:val="32"/>
          <w:szCs w:val="32"/>
          <w:lang w:bidi="ar"/>
          <w14:textFill>
            <w14:solidFill>
              <w14:schemeClr w14:val="tx1"/>
            </w14:solidFill>
          </w14:textFill>
        </w:rPr>
        <w:t>等</w:t>
      </w:r>
      <w:r>
        <w:rPr>
          <w:rFonts w:hint="eastAsia" w:ascii="仿宋_GB2312" w:eastAsia="仿宋_GB2312"/>
          <w:color w:val="000000" w:themeColor="text1"/>
          <w:sz w:val="32"/>
          <w:szCs w:val="32"/>
          <w:lang w:val="en-US" w:eastAsia="zh-CN" w:bidi="ar"/>
          <w14:textFill>
            <w14:solidFill>
              <w14:schemeClr w14:val="tx1"/>
            </w14:solidFill>
          </w14:textFill>
        </w:rPr>
        <w:t>11</w:t>
      </w:r>
      <w:r>
        <w:rPr>
          <w:rFonts w:hint="eastAsia" w:ascii="仿宋_GB2312" w:eastAsia="仿宋_GB2312"/>
          <w:color w:val="000000" w:themeColor="text1"/>
          <w:sz w:val="32"/>
          <w:szCs w:val="32"/>
          <w:lang w:bidi="ar"/>
          <w14:textFill>
            <w14:solidFill>
              <w14:schemeClr w14:val="tx1"/>
            </w14:solidFill>
          </w14:textFill>
        </w:rPr>
        <w:t>个政府性基金预算项目开展绩效自评，共涉及资金</w:t>
      </w:r>
      <w:r>
        <w:rPr>
          <w:rFonts w:hint="eastAsia" w:ascii="仿宋_GB2312" w:eastAsia="仿宋_GB2312"/>
          <w:color w:val="000000" w:themeColor="text1"/>
          <w:sz w:val="32"/>
          <w:szCs w:val="32"/>
          <w:lang w:val="en-US" w:eastAsia="zh-CN" w:bidi="ar"/>
          <w14:textFill>
            <w14:solidFill>
              <w14:schemeClr w14:val="tx1"/>
            </w14:solidFill>
          </w14:textFill>
        </w:rPr>
        <w:t>248.03</w:t>
      </w:r>
      <w:r>
        <w:rPr>
          <w:rFonts w:hint="eastAsia" w:ascii="仿宋_GB2312" w:eastAsia="仿宋_GB2312"/>
          <w:color w:val="000000" w:themeColor="text1"/>
          <w:sz w:val="32"/>
          <w:szCs w:val="32"/>
          <w:lang w:bidi="ar"/>
          <w14:textFill>
            <w14:solidFill>
              <w14:schemeClr w14:val="tx1"/>
            </w14:solidFill>
          </w14:textFill>
        </w:rPr>
        <w:t>万元，占政府性基金预算项目支出总额的</w:t>
      </w:r>
      <w:r>
        <w:rPr>
          <w:rFonts w:hint="eastAsia" w:ascii="仿宋_GB2312" w:eastAsia="仿宋_GB2312"/>
          <w:color w:val="000000" w:themeColor="text1"/>
          <w:sz w:val="32"/>
          <w:szCs w:val="32"/>
          <w:lang w:val="en-US" w:eastAsia="zh-CN" w:bidi="ar"/>
          <w14:textFill>
            <w14:solidFill>
              <w14:schemeClr w14:val="tx1"/>
            </w14:solidFill>
          </w14:textFill>
        </w:rPr>
        <w:t>100</w:t>
      </w:r>
      <w:r>
        <w:rPr>
          <w:rFonts w:hint="eastAsia" w:ascii="仿宋_GB2312" w:eastAsia="仿宋_GB2312"/>
          <w:color w:val="000000" w:themeColor="text1"/>
          <w:sz w:val="32"/>
          <w:szCs w:val="32"/>
          <w:lang w:bidi="ar"/>
          <w14:textFill>
            <w14:solidFill>
              <w14:schemeClr w14:val="tx1"/>
            </w14:solidFill>
          </w14:textFill>
        </w:rPr>
        <w:t>%。组织对</w:t>
      </w:r>
      <w:r>
        <w:rPr>
          <w:rFonts w:hint="default" w:ascii="仿宋_GB2312" w:eastAsia="仿宋_GB2312"/>
          <w:color w:val="000000" w:themeColor="text1"/>
          <w:sz w:val="32"/>
          <w:szCs w:val="32"/>
          <w:lang w:val="en-US" w:bidi="ar"/>
          <w14:textFill>
            <w14:solidFill>
              <w14:schemeClr w14:val="tx1"/>
            </w14:solidFill>
          </w14:textFill>
        </w:rPr>
        <w:t>2024</w:t>
      </w:r>
      <w:r>
        <w:rPr>
          <w:rFonts w:hint="eastAsia" w:ascii="仿宋_GB2312" w:eastAsia="仿宋_GB2312"/>
          <w:color w:val="000000" w:themeColor="text1"/>
          <w:sz w:val="32"/>
          <w:szCs w:val="32"/>
          <w:lang w:bidi="ar"/>
          <w14:textFill>
            <w14:solidFill>
              <w14:schemeClr w14:val="tx1"/>
            </w14:solidFill>
          </w14:textFill>
        </w:rPr>
        <w:t>年度</w:t>
      </w:r>
      <w:r>
        <w:rPr>
          <w:rFonts w:hint="eastAsia" w:ascii="仿宋_GB2312" w:eastAsia="仿宋_GB2312"/>
          <w:color w:val="000000" w:themeColor="text1"/>
          <w:sz w:val="32"/>
          <w:szCs w:val="32"/>
          <w:lang w:val="en-US" w:eastAsia="zh-CN" w:bidi="ar"/>
          <w14:textFill>
            <w14:solidFill>
              <w14:schemeClr w14:val="tx1"/>
            </w14:solidFill>
          </w14:textFill>
        </w:rPr>
        <w:t>0</w:t>
      </w:r>
      <w:r>
        <w:rPr>
          <w:rFonts w:hint="eastAsia" w:ascii="仿宋_GB2312" w:eastAsia="仿宋_GB2312"/>
          <w:color w:val="000000" w:themeColor="text1"/>
          <w:sz w:val="32"/>
          <w:szCs w:val="32"/>
          <w:lang w:bidi="ar"/>
          <w14:textFill>
            <w14:solidFill>
              <w14:schemeClr w14:val="tx1"/>
            </w14:solidFill>
          </w14:textFill>
        </w:rPr>
        <w:t>等</w:t>
      </w:r>
      <w:r>
        <w:rPr>
          <w:rFonts w:hint="eastAsia" w:ascii="仿宋_GB2312" w:eastAsia="仿宋_GB2312"/>
          <w:color w:val="000000" w:themeColor="text1"/>
          <w:sz w:val="32"/>
          <w:szCs w:val="32"/>
          <w:lang w:val="en-US" w:eastAsia="zh-CN" w:bidi="ar"/>
          <w14:textFill>
            <w14:solidFill>
              <w14:schemeClr w14:val="tx1"/>
            </w14:solidFill>
          </w14:textFill>
        </w:rPr>
        <w:t>0</w:t>
      </w:r>
      <w:r>
        <w:rPr>
          <w:rFonts w:hint="eastAsia" w:ascii="仿宋_GB2312" w:eastAsia="仿宋_GB2312"/>
          <w:color w:val="000000" w:themeColor="text1"/>
          <w:sz w:val="32"/>
          <w:szCs w:val="32"/>
          <w:lang w:bidi="ar"/>
          <w14:textFill>
            <w14:solidFill>
              <w14:schemeClr w14:val="tx1"/>
            </w14:solidFill>
          </w14:textFill>
        </w:rPr>
        <w:t xml:space="preserve">个国有资本经营预算项目开展绩效自评，共涉及资金 </w:t>
      </w:r>
      <w:r>
        <w:rPr>
          <w:rFonts w:hint="eastAsia" w:ascii="仿宋_GB2312" w:eastAsia="仿宋_GB2312"/>
          <w:color w:val="000000" w:themeColor="text1"/>
          <w:sz w:val="32"/>
          <w:szCs w:val="32"/>
          <w:lang w:val="en-US" w:eastAsia="zh-CN" w:bidi="ar"/>
          <w14:textFill>
            <w14:solidFill>
              <w14:schemeClr w14:val="tx1"/>
            </w14:solidFill>
          </w14:textFill>
        </w:rPr>
        <w:t>0</w:t>
      </w:r>
      <w:r>
        <w:rPr>
          <w:rFonts w:hint="eastAsia" w:ascii="仿宋_GB2312" w:eastAsia="仿宋_GB2312"/>
          <w:color w:val="000000" w:themeColor="text1"/>
          <w:sz w:val="32"/>
          <w:szCs w:val="32"/>
          <w:lang w:bidi="ar"/>
          <w14:textFill>
            <w14:solidFill>
              <w14:schemeClr w14:val="tx1"/>
            </w14:solidFill>
          </w14:textFill>
        </w:rPr>
        <w:t>万元，占国有资本经营预算项目支出总额的</w:t>
      </w:r>
      <w:r>
        <w:rPr>
          <w:rFonts w:hint="eastAsia" w:ascii="仿宋_GB2312" w:eastAsia="仿宋_GB2312"/>
          <w:color w:val="000000" w:themeColor="text1"/>
          <w:sz w:val="32"/>
          <w:szCs w:val="32"/>
          <w:lang w:val="en-US" w:eastAsia="zh-CN" w:bidi="ar"/>
          <w14:textFill>
            <w14:solidFill>
              <w14:schemeClr w14:val="tx1"/>
            </w14:solidFill>
          </w14:textFill>
        </w:rPr>
        <w:t>0</w:t>
      </w:r>
      <w:r>
        <w:rPr>
          <w:rFonts w:hint="eastAsia" w:ascii="仿宋_GB2312" w:eastAsia="仿宋_GB2312"/>
          <w:color w:val="000000" w:themeColor="text1"/>
          <w:sz w:val="32"/>
          <w:szCs w:val="32"/>
          <w:lang w:bidi="ar"/>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共组织对“</w:t>
      </w:r>
      <w:r>
        <w:rPr>
          <w:rFonts w:hint="eastAsia" w:ascii="仿宋_GB2312" w:eastAsia="仿宋_GB2312"/>
          <w:color w:val="000000" w:themeColor="text1"/>
          <w:sz w:val="32"/>
          <w:szCs w:val="32"/>
          <w:lang w:val="en-US" w:eastAsia="zh-CN"/>
          <w14:textFill>
            <w14:solidFill>
              <w14:schemeClr w14:val="tx1"/>
            </w14:solidFill>
          </w14:textFill>
        </w:rPr>
        <w:t>新建校区项目</w:t>
      </w:r>
      <w:r>
        <w:rPr>
          <w:rFonts w:hint="eastAsia" w:ascii="仿宋_GB2312" w:eastAsia="仿宋_GB2312"/>
          <w:color w:val="000000" w:themeColor="text1"/>
          <w:sz w:val="32"/>
          <w:szCs w:val="32"/>
          <w14:textFill>
            <w14:solidFill>
              <w14:schemeClr w14:val="tx1"/>
            </w14:solidFill>
          </w14:textFill>
        </w:rPr>
        <w:t>等</w:t>
      </w:r>
      <w:r>
        <w:rPr>
          <w:rFonts w:hint="eastAsia" w:ascii="仿宋_GB2312" w:eastAsia="仿宋_GB2312"/>
          <w:color w:val="000000" w:themeColor="text1"/>
          <w:sz w:val="32"/>
          <w:szCs w:val="32"/>
          <w:lang w:val="en-US" w:eastAsia="zh-CN"/>
          <w14:textFill>
            <w14:solidFill>
              <w14:schemeClr w14:val="tx1"/>
            </w14:solidFill>
          </w14:textFill>
        </w:rPr>
        <w:t>11</w:t>
      </w:r>
      <w:r>
        <w:rPr>
          <w:rFonts w:hint="eastAsia" w:ascii="仿宋_GB2312" w:eastAsia="仿宋_GB2312"/>
          <w:color w:val="000000" w:themeColor="text1"/>
          <w:sz w:val="32"/>
          <w:szCs w:val="32"/>
          <w14:textFill>
            <w14:solidFill>
              <w14:schemeClr w14:val="tx1"/>
            </w14:solidFill>
          </w14:textFill>
        </w:rPr>
        <w:t>个项目开展了部门评价，</w:t>
      </w:r>
      <w:r>
        <w:rPr>
          <w:rFonts w:hint="eastAsia" w:ascii="仿宋_GB2312" w:eastAsia="仿宋_GB2312"/>
          <w:color w:val="000000" w:themeColor="text1"/>
          <w:sz w:val="32"/>
          <w:szCs w:val="32"/>
          <w:lang w:bidi="ar"/>
          <w14:textFill>
            <w14:solidFill>
              <w14:schemeClr w14:val="tx1"/>
            </w14:solidFill>
          </w14:textFill>
        </w:rPr>
        <w:t>涉及一般公共预算支出</w:t>
      </w:r>
      <w:r>
        <w:rPr>
          <w:rFonts w:hint="eastAsia" w:ascii="仿宋_GB2312" w:eastAsia="仿宋_GB2312"/>
          <w:color w:val="000000" w:themeColor="text1"/>
          <w:sz w:val="32"/>
          <w:szCs w:val="32"/>
          <w:lang w:val="en-US" w:eastAsia="zh-CN" w:bidi="ar"/>
          <w14:textFill>
            <w14:solidFill>
              <w14:schemeClr w14:val="tx1"/>
            </w14:solidFill>
          </w14:textFill>
        </w:rPr>
        <w:t>1082.17</w:t>
      </w:r>
      <w:r>
        <w:rPr>
          <w:rFonts w:hint="eastAsia" w:ascii="仿宋_GB2312" w:eastAsia="仿宋_GB2312"/>
          <w:color w:val="000000" w:themeColor="text1"/>
          <w:sz w:val="32"/>
          <w:szCs w:val="32"/>
          <w:lang w:bidi="ar"/>
          <w14:textFill>
            <w14:solidFill>
              <w14:schemeClr w14:val="tx1"/>
            </w14:solidFill>
          </w14:textFill>
        </w:rPr>
        <w:t>万元，政府性基金预算支出</w:t>
      </w:r>
      <w:r>
        <w:rPr>
          <w:rFonts w:hint="eastAsia" w:ascii="仿宋_GB2312" w:eastAsia="仿宋_GB2312"/>
          <w:color w:val="000000" w:themeColor="text1"/>
          <w:sz w:val="32"/>
          <w:szCs w:val="32"/>
          <w:lang w:val="en-US" w:eastAsia="zh-CN" w:bidi="ar"/>
          <w14:textFill>
            <w14:solidFill>
              <w14:schemeClr w14:val="tx1"/>
            </w14:solidFill>
          </w14:textFill>
        </w:rPr>
        <w:t>248.03</w:t>
      </w:r>
      <w:r>
        <w:rPr>
          <w:rFonts w:hint="eastAsia" w:ascii="仿宋_GB2312" w:eastAsia="仿宋_GB2312"/>
          <w:color w:val="000000" w:themeColor="text1"/>
          <w:sz w:val="32"/>
          <w:szCs w:val="32"/>
          <w:lang w:bidi="ar"/>
          <w14:textFill>
            <w14:solidFill>
              <w14:schemeClr w14:val="tx1"/>
            </w14:solidFill>
          </w14:textFill>
        </w:rPr>
        <w:t>万元，国有资本经营预算支出</w:t>
      </w:r>
      <w:r>
        <w:rPr>
          <w:rFonts w:hint="eastAsia" w:ascii="仿宋_GB2312" w:eastAsia="仿宋_GB2312"/>
          <w:color w:val="000000" w:themeColor="text1"/>
          <w:sz w:val="32"/>
          <w:szCs w:val="32"/>
          <w:lang w:val="en-US" w:eastAsia="zh-CN" w:bidi="ar"/>
          <w14:textFill>
            <w14:solidFill>
              <w14:schemeClr w14:val="tx1"/>
            </w14:solidFill>
          </w14:textFill>
        </w:rPr>
        <w:t>0</w:t>
      </w:r>
      <w:r>
        <w:rPr>
          <w:rFonts w:hint="eastAsia" w:ascii="仿宋_GB2312" w:eastAsia="仿宋_GB2312"/>
          <w:color w:val="000000" w:themeColor="text1"/>
          <w:sz w:val="32"/>
          <w:szCs w:val="32"/>
          <w:lang w:bidi="ar"/>
          <w14:textFill>
            <w14:solidFill>
              <w14:schemeClr w14:val="tx1"/>
            </w14:solidFill>
          </w14:textFill>
        </w:rPr>
        <w:t>万元。</w:t>
      </w:r>
      <w:r>
        <w:rPr>
          <w:rFonts w:hint="eastAsia" w:ascii="仿宋_GB2312" w:eastAsia="仿宋_GB2312"/>
          <w:color w:val="000000" w:themeColor="text1"/>
          <w:sz w:val="32"/>
          <w:szCs w:val="32"/>
          <w14:textFill>
            <w14:solidFill>
              <w14:schemeClr w14:val="tx1"/>
            </w14:solidFill>
          </w14:textFill>
        </w:rPr>
        <w:t>从评价情况来看，……（预算部门如有，请对预算绩效评价情况进行简单说明；没有，则简要说明本年没有进行相关工作及理由。部门所属单位不需填写此项）。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bCs/>
          <w:color w:val="000000" w:themeColor="text1"/>
          <w:sz w:val="32"/>
          <w:szCs w:val="32"/>
          <w14:textFill>
            <w14:solidFill>
              <w14:schemeClr w14:val="tx1"/>
            </w14:solidFill>
          </w14:textFill>
        </w:rPr>
      </w:pPr>
      <w:r>
        <w:rPr>
          <w:rFonts w:hint="eastAsia" w:ascii="楷体" w:hAnsi="楷体" w:eastAsia="楷体" w:cs="楷体"/>
          <w:bCs/>
          <w:color w:val="000000" w:themeColor="text1"/>
          <w:sz w:val="32"/>
          <w:szCs w:val="32"/>
          <w14:textFill>
            <w14:solidFill>
              <w14:schemeClr w14:val="tx1"/>
            </w14:solidFill>
          </w14:textFill>
        </w:rPr>
        <w:t>（二）部门决算中项目绩效自评结果（预算部门、单位可根据实际情况反映重点项目绩效自评结果）</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项目绩效自评报告：根据年初设定的绩效目标，项目绩效自评得分为</w:t>
      </w:r>
      <w:r>
        <w:rPr>
          <w:rFonts w:hint="eastAsia" w:ascii="仿宋_GB2312" w:eastAsia="仿宋_GB2312"/>
          <w:color w:val="000000" w:themeColor="text1"/>
          <w:sz w:val="32"/>
          <w:szCs w:val="32"/>
          <w:lang w:val="en-US" w:eastAsia="zh-CN"/>
          <w14:textFill>
            <w14:solidFill>
              <w14:schemeClr w14:val="tx1"/>
            </w14:solidFill>
          </w14:textFill>
        </w:rPr>
        <w:t>9.99</w:t>
      </w:r>
      <w:r>
        <w:rPr>
          <w:rFonts w:hint="eastAsia" w:ascii="仿宋_GB2312" w:eastAsia="仿宋_GB2312"/>
          <w:color w:val="000000" w:themeColor="text1"/>
          <w:sz w:val="32"/>
          <w:szCs w:val="32"/>
          <w14:textFill>
            <w14:solidFill>
              <w14:schemeClr w14:val="tx1"/>
            </w14:solidFill>
          </w14:textFill>
        </w:rPr>
        <w:t>分。全年预算数为</w:t>
      </w:r>
      <w:r>
        <w:rPr>
          <w:rFonts w:hint="eastAsia" w:ascii="仿宋_GB2312" w:eastAsia="仿宋_GB2312"/>
          <w:color w:val="000000" w:themeColor="text1"/>
          <w:sz w:val="32"/>
          <w:szCs w:val="32"/>
          <w:lang w:val="en-US" w:eastAsia="zh-CN"/>
          <w14:textFill>
            <w14:solidFill>
              <w14:schemeClr w14:val="tx1"/>
            </w14:solidFill>
          </w14:textFill>
        </w:rPr>
        <w:t>248.30</w:t>
      </w:r>
      <w:r>
        <w:rPr>
          <w:rFonts w:hint="eastAsia" w:ascii="仿宋_GB2312" w:eastAsia="仿宋_GB2312"/>
          <w:color w:val="000000" w:themeColor="text1"/>
          <w:sz w:val="32"/>
          <w:szCs w:val="32"/>
          <w14:textFill>
            <w14:solidFill>
              <w14:schemeClr w14:val="tx1"/>
            </w14:solidFill>
          </w14:textFill>
        </w:rPr>
        <w:t>万元，执行数为</w:t>
      </w:r>
      <w:r>
        <w:rPr>
          <w:rFonts w:hint="eastAsia" w:ascii="仿宋_GB2312" w:eastAsia="仿宋_GB2312"/>
          <w:color w:val="000000" w:themeColor="text1"/>
          <w:sz w:val="32"/>
          <w:szCs w:val="32"/>
          <w:lang w:val="en-US" w:eastAsia="zh-CN"/>
          <w14:textFill>
            <w14:solidFill>
              <w14:schemeClr w14:val="tx1"/>
            </w14:solidFill>
          </w14:textFill>
        </w:rPr>
        <w:t>248.03</w:t>
      </w:r>
      <w:r>
        <w:rPr>
          <w:rFonts w:hint="eastAsia" w:ascii="仿宋_GB2312" w:eastAsia="仿宋_GB2312"/>
          <w:color w:val="000000" w:themeColor="text1"/>
          <w:sz w:val="32"/>
          <w:szCs w:val="32"/>
          <w14:textFill>
            <w14:solidFill>
              <w14:schemeClr w14:val="tx1"/>
            </w14:solidFill>
          </w14:textFill>
        </w:rPr>
        <w:t>万元，完成预算的</w:t>
      </w:r>
      <w:r>
        <w:rPr>
          <w:rFonts w:hint="eastAsia" w:ascii="仿宋_GB2312" w:eastAsia="仿宋_GB2312"/>
          <w:color w:val="000000" w:themeColor="text1"/>
          <w:sz w:val="32"/>
          <w:szCs w:val="32"/>
          <w:lang w:val="en-US" w:eastAsia="zh-CN"/>
          <w14:textFill>
            <w14:solidFill>
              <w14:schemeClr w14:val="tx1"/>
            </w14:solidFill>
          </w14:textFill>
        </w:rPr>
        <w:t>99.89</w:t>
      </w:r>
      <w:r>
        <w:rPr>
          <w:rFonts w:hint="eastAsia" w:ascii="仿宋_GB2312" w:eastAsia="仿宋_GB2312"/>
          <w:color w:val="000000" w:themeColor="text1"/>
          <w:sz w:val="32"/>
          <w:szCs w:val="32"/>
          <w14:textFill>
            <w14:solidFill>
              <w14:schemeClr w14:val="tx1"/>
            </w14:solidFill>
          </w14:textFill>
        </w:rPr>
        <w:t>%。项目绩效目标完成情况：一是</w:t>
      </w:r>
      <w:r>
        <w:rPr>
          <w:rFonts w:hint="eastAsia" w:ascii="仿宋_GB2312" w:eastAsia="仿宋_GB2312"/>
          <w:color w:val="000000" w:themeColor="text1"/>
          <w:sz w:val="32"/>
          <w:szCs w:val="32"/>
          <w:lang w:val="en-US" w:eastAsia="zh-CN"/>
          <w14:textFill>
            <w14:solidFill>
              <w14:schemeClr w14:val="tx1"/>
            </w14:solidFill>
          </w14:textFill>
        </w:rPr>
        <w:t>改善了学生住宿环境</w:t>
      </w:r>
      <w:r>
        <w:rPr>
          <w:rFonts w:hint="eastAsia" w:ascii="仿宋_GB2312" w:eastAsia="仿宋_GB2312"/>
          <w:color w:val="000000" w:themeColor="text1"/>
          <w:sz w:val="32"/>
          <w:szCs w:val="32"/>
          <w14:textFill>
            <w14:solidFill>
              <w14:schemeClr w14:val="tx1"/>
            </w14:solidFill>
          </w14:textFill>
        </w:rPr>
        <w:t>；发现的主要问题及原因：一是</w:t>
      </w:r>
      <w:r>
        <w:rPr>
          <w:rFonts w:hint="eastAsia" w:ascii="仿宋_GB2312" w:eastAsia="仿宋_GB2312"/>
          <w:color w:val="000000" w:themeColor="text1"/>
          <w:sz w:val="32"/>
          <w:szCs w:val="32"/>
          <w:lang w:val="en-US" w:eastAsia="zh-CN"/>
          <w14:textFill>
            <w14:solidFill>
              <w14:schemeClr w14:val="tx1"/>
            </w14:solidFill>
          </w14:textFill>
        </w:rPr>
        <w:t>还有其他需要完善的</w:t>
      </w:r>
      <w:r>
        <w:rPr>
          <w:rFonts w:hint="eastAsia" w:ascii="仿宋_GB2312" w:eastAsia="仿宋_GB2312"/>
          <w:color w:val="000000" w:themeColor="text1"/>
          <w:sz w:val="32"/>
          <w:szCs w:val="32"/>
          <w14:textFill>
            <w14:solidFill>
              <w14:schemeClr w14:val="tx1"/>
            </w14:solidFill>
          </w14:textFill>
        </w:rPr>
        <w:t>；下一步改进措施：</w:t>
      </w:r>
      <w:r>
        <w:rPr>
          <w:rFonts w:hint="eastAsia" w:ascii="仿宋_GB2312" w:eastAsia="仿宋_GB2312"/>
          <w:color w:val="000000" w:themeColor="text1"/>
          <w:sz w:val="32"/>
          <w:szCs w:val="32"/>
          <w:lang w:val="en-US" w:eastAsia="zh-CN"/>
          <w14:textFill>
            <w14:solidFill>
              <w14:schemeClr w14:val="tx1"/>
            </w14:solidFill>
          </w14:textFill>
        </w:rPr>
        <w:t>持续保障和改善学生住宿，教学环境。</w:t>
      </w:r>
      <w:r>
        <w:rPr>
          <w:rFonts w:hint="eastAsia" w:ascii="仿宋_GB2312" w:eastAsia="仿宋_GB2312"/>
          <w:color w:val="000000" w:themeColor="text1"/>
          <w:sz w:val="32"/>
          <w:szCs w:val="32"/>
          <w14:textFill>
            <w14:solidFill>
              <w14:schemeClr w14:val="tx1"/>
            </w14:solidFill>
          </w14:textFill>
        </w:rPr>
        <w:t>。</w:t>
      </w:r>
    </w:p>
    <w:p>
      <w:pPr>
        <w:keepNext w:val="0"/>
        <w:keepLines w:val="0"/>
        <w:pageBreakBefore w:val="0"/>
        <w:widowControl w:val="0"/>
        <w:numPr>
          <w:ilvl w:val="0"/>
          <w:numId w:val="4"/>
        </w:numPr>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000000" w:themeColor="text1"/>
          <w:sz w:val="32"/>
          <w:szCs w:val="32"/>
          <w14:textFill>
            <w14:solidFill>
              <w14:schemeClr w14:val="tx1"/>
            </w14:solidFill>
          </w14:textFill>
        </w:rPr>
      </w:pPr>
      <w:r>
        <w:rPr>
          <w:rFonts w:hint="eastAsia" w:ascii="楷体" w:hAnsi="楷体" w:eastAsia="楷体" w:cs="楷体"/>
          <w:bCs/>
          <w:color w:val="000000" w:themeColor="text1"/>
          <w:sz w:val="32"/>
          <w:szCs w:val="32"/>
          <w14:textFill>
            <w14:solidFill>
              <w14:schemeClr w14:val="tx1"/>
            </w14:solidFill>
          </w14:textFill>
        </w:rPr>
        <w:t>部门评价结果</w:t>
      </w:r>
    </w:p>
    <w:p>
      <w:pPr>
        <w:keepNext w:val="0"/>
        <w:keepLines w:val="0"/>
        <w:pageBreakBefore w:val="0"/>
        <w:widowControl w:val="0"/>
        <w:numPr>
          <w:numId w:val="0"/>
        </w:numPr>
        <w:kinsoku/>
        <w:wordWrap/>
        <w:overflowPunct/>
        <w:topLinePunct w:val="0"/>
        <w:autoSpaceDE/>
        <w:autoSpaceDN/>
        <w:bidi w:val="0"/>
        <w:adjustRightInd/>
        <w:snapToGrid/>
        <w:spacing w:line="578" w:lineRule="exact"/>
        <w:ind w:firstLine="960" w:firstLineChars="300"/>
        <w:textAlignment w:val="auto"/>
        <w:rPr>
          <w:rFonts w:hint="eastAsia" w:ascii="仿宋_GB2312" w:eastAsia="楷体"/>
          <w:color w:val="000000" w:themeColor="text1"/>
          <w:sz w:val="32"/>
          <w:szCs w:val="32"/>
          <w:lang w:val="en-US" w:eastAsia="zh-CN"/>
          <w14:textFill>
            <w14:solidFill>
              <w14:schemeClr w14:val="tx1"/>
            </w14:solidFill>
          </w14:textFill>
        </w:rPr>
      </w:pPr>
      <w:r>
        <w:rPr>
          <w:rFonts w:hint="eastAsia" w:ascii="楷体" w:hAnsi="楷体" w:eastAsia="楷体" w:cs="楷体"/>
          <w:bCs/>
          <w:color w:val="000000" w:themeColor="text1"/>
          <w:sz w:val="32"/>
          <w:szCs w:val="32"/>
          <w:lang w:eastAsia="zh-CN"/>
          <w14:textFill>
            <w14:solidFill>
              <w14:schemeClr w14:val="tx1"/>
            </w14:solidFill>
          </w14:textFill>
        </w:rPr>
        <w:t>无。</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000000" w:themeColor="text1"/>
          <w:sz w:val="32"/>
          <w:szCs w:val="32"/>
          <w14:textFill>
            <w14:solidFill>
              <w14:schemeClr w14:val="tx1"/>
            </w14:solidFill>
          </w14:textFill>
        </w:rPr>
      </w:pPr>
      <w:r>
        <w:rPr>
          <w:rFonts w:hint="eastAsia" w:ascii="楷体" w:hAnsi="楷体" w:eastAsia="楷体" w:cs="楷体"/>
          <w:bCs/>
          <w:color w:val="000000" w:themeColor="text1"/>
          <w:sz w:val="32"/>
          <w:szCs w:val="32"/>
          <w14:textFill>
            <w14:solidFill>
              <w14:schemeClr w14:val="tx1"/>
            </w14:solidFill>
          </w14:textFill>
        </w:rPr>
        <w:t>（四）财政评价结果</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000000" w:themeColor="text1"/>
          <w:sz w:val="32"/>
          <w:szCs w:val="32"/>
          <w:lang w:eastAsia="zh-CN"/>
          <w14:textFill>
            <w14:solidFill>
              <w14:schemeClr w14:val="tx1"/>
            </w14:solidFill>
          </w14:textFill>
        </w:rPr>
      </w:pPr>
      <w:r>
        <w:rPr>
          <w:rFonts w:hint="eastAsia" w:ascii="仿宋_GB2312" w:eastAsia="仿宋_GB2312"/>
          <w:color w:val="000000" w:themeColor="text1"/>
          <w:sz w:val="32"/>
          <w:szCs w:val="32"/>
          <w:lang w:eastAsia="zh-CN"/>
          <w14:textFill>
            <w14:solidFill>
              <w14:schemeClr w14:val="tx1"/>
            </w14:solidFill>
          </w14:textFill>
        </w:rPr>
        <w:t>无。</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十一、其他重要事项情况说明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000000" w:themeColor="text1"/>
          <w:sz w:val="32"/>
          <w:szCs w:val="32"/>
          <w14:textFill>
            <w14:solidFill>
              <w14:schemeClr w14:val="tx1"/>
            </w14:solidFill>
          </w14:textFill>
        </w:rPr>
      </w:pPr>
      <w:bookmarkStart w:id="97" w:name="_Toc18325_WPSOffice_Level2"/>
      <w:bookmarkStart w:id="98" w:name="_Toc32639_WPSOffice_Level2"/>
      <w:bookmarkStart w:id="99" w:name="_Toc5978_WPSOffice_Level2"/>
      <w:bookmarkStart w:id="100" w:name="_Toc23598_WPSOffice_Level2"/>
      <w:bookmarkStart w:id="101" w:name="_Toc15262_WPSOffice_Level2"/>
      <w:bookmarkStart w:id="102" w:name="_Toc15565_WPSOffice_Level2"/>
      <w:r>
        <w:rPr>
          <w:rFonts w:hint="eastAsia" w:ascii="楷体" w:hAnsi="楷体" w:eastAsia="楷体" w:cs="楷体"/>
          <w:bCs/>
          <w:color w:val="000000" w:themeColor="text1"/>
          <w:sz w:val="32"/>
          <w:szCs w:val="32"/>
          <w14:textFill>
            <w14:solidFill>
              <w14:schemeClr w14:val="tx1"/>
            </w14:solidFill>
          </w14:textFill>
        </w:rPr>
        <w:t>（一）机关运行经费支出情况</w:t>
      </w:r>
      <w:bookmarkEnd w:id="97"/>
      <w:bookmarkEnd w:id="98"/>
      <w:bookmarkEnd w:id="99"/>
      <w:bookmarkEnd w:id="100"/>
      <w:bookmarkEnd w:id="101"/>
      <w:bookmarkEnd w:id="10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lang w:val="en-US" w:eastAsia="zh-CN"/>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年度单位机关运行经费</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万元（，比年初预算增加（减少）</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w:t>
      </w:r>
      <w:r>
        <w:rPr>
          <w:rFonts w:hint="eastAsia" w:ascii="仿宋_GB2312" w:hAnsi="ˎ̥" w:eastAsia="仿宋_GB2312"/>
          <w:color w:val="000000" w:themeColor="text1"/>
          <w:sz w:val="32"/>
          <w:szCs w:val="32"/>
          <w:lang w:val="en-US" w:eastAsia="zh-CN"/>
          <w14:textFill>
            <w14:solidFill>
              <w14:schemeClr w14:val="tx1"/>
            </w14:solidFill>
          </w14:textFill>
        </w:rPr>
        <w:t>完成预算的0</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lang w:eastAsia="zh-CN"/>
          <w14:textFill>
            <w14:solidFill>
              <w14:schemeClr w14:val="tx1"/>
            </w14:solidFill>
          </w14:textFill>
        </w:rPr>
        <w:t>；</w:t>
      </w:r>
      <w:r>
        <w:rPr>
          <w:rFonts w:hint="eastAsia" w:ascii="仿宋_GB2312" w:hAnsi="ˎ̥" w:eastAsia="仿宋_GB2312"/>
          <w:color w:val="000000" w:themeColor="text1"/>
          <w:sz w:val="32"/>
          <w:szCs w:val="32"/>
          <w:lang w:val="en-US" w:eastAsia="zh-CN"/>
          <w14:textFill>
            <w14:solidFill>
              <w14:schemeClr w14:val="tx1"/>
            </w14:solidFill>
          </w14:textFill>
        </w:rPr>
        <w:t>与2023年度相比，机关运行经费</w:t>
      </w:r>
      <w:r>
        <w:rPr>
          <w:rFonts w:hint="eastAsia" w:ascii="仿宋_GB2312" w:hAnsi="ˎ̥" w:eastAsia="仿宋_GB2312"/>
          <w:color w:val="000000" w:themeColor="text1"/>
          <w:sz w:val="32"/>
          <w:szCs w:val="32"/>
          <w14:textFill>
            <w14:solidFill>
              <w14:schemeClr w14:val="tx1"/>
            </w14:solidFill>
          </w14:textFill>
        </w:rPr>
        <w:t>增加（减少）</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w:t>
      </w:r>
      <w:r>
        <w:rPr>
          <w:rFonts w:hint="eastAsia" w:ascii="仿宋_GB2312" w:hAnsi="ˎ̥" w:eastAsia="仿宋_GB2312"/>
          <w:color w:val="000000" w:themeColor="text1"/>
          <w:sz w:val="32"/>
          <w:szCs w:val="32"/>
          <w:lang w:eastAsia="zh-CN"/>
          <w14:textFill>
            <w14:solidFill>
              <w14:schemeClr w14:val="tx1"/>
            </w14:solidFill>
          </w14:textFill>
        </w:rPr>
        <w:t>，</w:t>
      </w:r>
      <w:r>
        <w:rPr>
          <w:rFonts w:hint="eastAsia" w:ascii="仿宋_GB2312" w:hAnsi="ˎ̥" w:eastAsia="仿宋_GB2312"/>
          <w:color w:val="000000" w:themeColor="text1"/>
          <w:sz w:val="32"/>
          <w:szCs w:val="32"/>
          <w:lang w:val="en-US" w:eastAsia="zh-CN"/>
          <w14:textFill>
            <w14:solidFill>
              <w14:schemeClr w14:val="tx1"/>
            </w14:solidFill>
          </w14:textFill>
        </w:rPr>
        <w:t>增长（下降）0%。</w:t>
      </w:r>
      <w:bookmarkStart w:id="103" w:name="_Toc13084_WPSOffice_Level2"/>
      <w:bookmarkStart w:id="104" w:name="_Toc30383_WPSOffice_Level2"/>
      <w:bookmarkStart w:id="105" w:name="_Toc25333_WPSOffice_Level2"/>
      <w:bookmarkStart w:id="106" w:name="_Toc3131_WPSOffice_Level2"/>
      <w:bookmarkStart w:id="107" w:name="_Toc32689_WPSOffice_Level2"/>
      <w:bookmarkStart w:id="108" w:name="_Toc23966_WPSOffice_Level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000000" w:themeColor="text1"/>
          <w:sz w:val="32"/>
          <w:szCs w:val="32"/>
          <w14:textFill>
            <w14:solidFill>
              <w14:schemeClr w14:val="tx1"/>
            </w14:solidFill>
          </w14:textFill>
        </w:rPr>
      </w:pPr>
      <w:bookmarkStart w:id="121" w:name="_GoBack"/>
      <w:bookmarkEnd w:id="121"/>
      <w:r>
        <w:rPr>
          <w:rFonts w:hint="eastAsia" w:ascii="楷体" w:hAnsi="楷体" w:eastAsia="楷体" w:cs="楷体"/>
          <w:bCs/>
          <w:color w:val="000000" w:themeColor="text1"/>
          <w:sz w:val="32"/>
          <w:szCs w:val="32"/>
          <w14:textFill>
            <w14:solidFill>
              <w14:schemeClr w14:val="tx1"/>
            </w14:solidFill>
          </w14:textFill>
        </w:rPr>
        <w:t>（二）政府采购支出情况</w:t>
      </w:r>
      <w:bookmarkEnd w:id="103"/>
      <w:bookmarkEnd w:id="104"/>
      <w:bookmarkEnd w:id="105"/>
      <w:bookmarkEnd w:id="106"/>
      <w:bookmarkEnd w:id="107"/>
      <w:bookmarkEnd w:id="10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年度单位政府采购支出总额</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万元，其中：政府采购货物支出</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万元、政府采购工程支出</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万元、政府采购服务支出</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万元。授予中小企业合同金额</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万元，占政府采购支出总额的</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%，其中：授予小微企业合同金额</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仿宋_GB2312" w:eastAsia="仿宋_GB2312" w:cs="仿宋_GB2312"/>
          <w:color w:val="000000" w:themeColor="text1"/>
          <w:kern w:val="0"/>
          <w:sz w:val="32"/>
          <w:szCs w:val="32"/>
          <w:lang w:bidi="ar"/>
          <w14:textFill>
            <w14:solidFill>
              <w14:schemeClr w14:val="tx1"/>
            </w14:solidFill>
          </w14:textFill>
        </w:rPr>
        <w:t>授予中小企业合同金额</w:t>
      </w:r>
      <w:r>
        <w:rPr>
          <w:rFonts w:hint="eastAsia" w:ascii="仿宋_GB2312" w:hAnsi="仿宋_GB2312" w:eastAsia="仿宋_GB2312" w:cs="仿宋_GB2312"/>
          <w:color w:val="000000" w:themeColor="text1"/>
          <w:sz w:val="32"/>
          <w:szCs w:val="32"/>
          <w14:textFill>
            <w14:solidFill>
              <w14:schemeClr w14:val="tx1"/>
            </w14:solidFill>
          </w14:textFill>
        </w:rPr>
        <w:t>的</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000000" w:themeColor="text1"/>
          <w:sz w:val="32"/>
          <w:szCs w:val="32"/>
          <w14:textFill>
            <w14:solidFill>
              <w14:schemeClr w14:val="tx1"/>
            </w14:solidFill>
          </w14:textFill>
        </w:rPr>
      </w:pPr>
      <w:bookmarkStart w:id="109" w:name="_Toc10902_WPSOffice_Level2"/>
      <w:bookmarkStart w:id="110" w:name="_Toc19989_WPSOffice_Level2"/>
      <w:bookmarkStart w:id="111" w:name="_Toc15129_WPSOffice_Level2"/>
      <w:bookmarkStart w:id="112" w:name="_Toc6016_WPSOffice_Level2"/>
      <w:bookmarkStart w:id="113" w:name="_Toc29584_WPSOffice_Level2"/>
      <w:bookmarkStart w:id="114" w:name="_Toc527_WPSOffice_Level2"/>
      <w:r>
        <w:rPr>
          <w:rFonts w:hint="eastAsia" w:ascii="楷体" w:hAnsi="楷体" w:eastAsia="楷体" w:cs="楷体"/>
          <w:bCs/>
          <w:color w:val="000000" w:themeColor="text1"/>
          <w:sz w:val="32"/>
          <w:szCs w:val="32"/>
          <w14:textFill>
            <w14:solidFill>
              <w14:schemeClr w14:val="tx1"/>
            </w14:solidFill>
          </w14:textFill>
        </w:rPr>
        <w:t>（三）国有资产占用情况</w:t>
      </w:r>
      <w:bookmarkEnd w:id="109"/>
      <w:bookmarkEnd w:id="110"/>
      <w:bookmarkEnd w:id="111"/>
      <w:bookmarkEnd w:id="112"/>
      <w:bookmarkEnd w:id="113"/>
      <w:bookmarkEnd w:id="11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bCs/>
          <w:color w:val="000000" w:themeColor="text1"/>
          <w:sz w:val="32"/>
          <w:szCs w:val="32"/>
          <w14:textFill>
            <w14:solidFill>
              <w14:schemeClr w14:val="tx1"/>
            </w14:solidFill>
          </w14:textFill>
        </w:rPr>
        <w:t>截至</w:t>
      </w:r>
      <w:r>
        <w:rPr>
          <w:rFonts w:hint="default" w:ascii="仿宋_GB2312" w:hAnsi="ˎ̥" w:eastAsia="仿宋_GB2312"/>
          <w:bCs/>
          <w:color w:val="000000" w:themeColor="text1"/>
          <w:sz w:val="32"/>
          <w:szCs w:val="32"/>
          <w:lang w:val="en-US"/>
          <w14:textFill>
            <w14:solidFill>
              <w14:schemeClr w14:val="tx1"/>
            </w14:solidFill>
          </w14:textFill>
        </w:rPr>
        <w:t>2024</w:t>
      </w:r>
      <w:r>
        <w:rPr>
          <w:rFonts w:hint="eastAsia" w:ascii="仿宋_GB2312" w:hAnsi="ˎ̥" w:eastAsia="仿宋_GB2312"/>
          <w:bCs/>
          <w:color w:val="000000" w:themeColor="text1"/>
          <w:sz w:val="32"/>
          <w:szCs w:val="32"/>
          <w14:textFill>
            <w14:solidFill>
              <w14:schemeClr w14:val="tx1"/>
            </w14:solidFill>
          </w14:textFill>
        </w:rPr>
        <w:t>年12月31日，本部门拥有</w:t>
      </w:r>
      <w:r>
        <w:rPr>
          <w:rFonts w:hint="eastAsia" w:ascii="仿宋_GB2312" w:hAnsi="ˎ̥" w:eastAsia="仿宋_GB2312"/>
          <w:color w:val="000000" w:themeColor="text1"/>
          <w:sz w:val="32"/>
          <w:szCs w:val="32"/>
          <w14:textFill>
            <w14:solidFill>
              <w14:schemeClr w14:val="tx1"/>
            </w14:solidFill>
          </w14:textFill>
        </w:rPr>
        <w:t>房屋面积</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平方米</w:t>
      </w:r>
      <w:r>
        <w:rPr>
          <w:rFonts w:hint="eastAsia" w:ascii="仿宋_GB2312" w:hAnsi="ˎ̥" w:eastAsia="仿宋_GB2312"/>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color w:val="000000" w:themeColor="text1"/>
          <w:sz w:val="32"/>
          <w:szCs w:val="32"/>
          <w:lang w:val="en-US" w:eastAsia="zh-CN"/>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本部门共有车辆</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辆，其中，副部（省）级及以上领导用车</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辆、主要负责人用车</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辆、机要通信用车</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辆、应急保障用车</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辆、执法执勤用车</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辆、特种专业技术用车</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辆、离退休干部服务用车</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辆、其他用车</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辆。</w:t>
      </w:r>
      <w:r>
        <w:rPr>
          <w:rFonts w:hint="eastAsia" w:ascii="仿宋_GB2312" w:hAnsi="ˎ̥" w:eastAsia="仿宋_GB2312"/>
          <w:color w:val="000000" w:themeColor="text1"/>
          <w:sz w:val="32"/>
          <w:szCs w:val="32"/>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单价100万元（含）以上设备（不含车辆）</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台（套）。</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bookmarkStart w:id="115" w:name="_Toc17580_WPSOffice_Level1"/>
      <w:bookmarkStart w:id="116" w:name="_Toc8874_WPSOffice_Level1"/>
      <w:bookmarkStart w:id="117" w:name="_Toc8808_WPSOffice_Level1"/>
      <w:bookmarkStart w:id="118" w:name="_Toc15425_WPSOffice_Level1"/>
      <w:bookmarkStart w:id="119" w:name="_Toc11039_WPSOffice_Level1"/>
      <w:bookmarkStart w:id="120" w:name="_Toc4398_WPSOffice_Level1"/>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r>
        <w:rPr>
          <w:rFonts w:hint="eastAsia" w:ascii="黑体" w:hAnsi="ˎ̥" w:eastAsia="黑体"/>
          <w:sz w:val="32"/>
          <w:szCs w:val="32"/>
        </w:rPr>
        <w:t>第四部分  名词解释</w:t>
      </w:r>
      <w:bookmarkEnd w:id="115"/>
      <w:bookmarkEnd w:id="116"/>
      <w:bookmarkEnd w:id="117"/>
      <w:bookmarkEnd w:id="118"/>
      <w:bookmarkEnd w:id="119"/>
      <w:bookmarkEnd w:id="120"/>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numPr>
          <w:ilvl w:val="0"/>
          <w:numId w:val="5"/>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财政拨款收入：指同级政府财政部门当年拨付的各类财政拨款。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二、上级补助收入：指事业单位从主管部门和上级单位取得的非财政补助收入。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sz w:val="32"/>
          <w:szCs w:val="32"/>
        </w:rPr>
        <w:t>十六、</w:t>
      </w:r>
      <w:r>
        <w:rPr>
          <w:rFonts w:ascii="仿宋_GB2312" w:hAnsi="ˎ̥" w:eastAsia="仿宋_GB2312"/>
          <w:sz w:val="32"/>
          <w:szCs w:val="32"/>
        </w:rPr>
        <w:t>支出功能分类：</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color w:val="FF0000"/>
          <w:sz w:val="32"/>
          <w:szCs w:val="32"/>
        </w:rPr>
        <w:t>XXXX</w:t>
      </w:r>
      <w:r>
        <w:rPr>
          <w:rFonts w:hint="eastAsia" w:ascii="仿宋_GB2312" w:hAnsi="ˎ̥" w:eastAsia="仿宋_GB2312"/>
          <w:sz w:val="32"/>
          <w:szCs w:val="32"/>
        </w:rPr>
        <w:t>（类）</w:t>
      </w:r>
      <w:r>
        <w:rPr>
          <w:rFonts w:hint="eastAsia" w:ascii="仿宋_GB2312" w:hAnsi="ˎ̥" w:eastAsia="仿宋_GB2312"/>
          <w:color w:val="FF0000"/>
          <w:sz w:val="32"/>
          <w:szCs w:val="32"/>
        </w:rPr>
        <w:t>XXXX</w:t>
      </w:r>
      <w:r>
        <w:rPr>
          <w:rFonts w:hint="eastAsia" w:ascii="仿宋_GB2312" w:hAnsi="ˎ̥" w:eastAsia="仿宋_GB2312"/>
          <w:sz w:val="32"/>
          <w:szCs w:val="32"/>
        </w:rPr>
        <w:t>（款）</w:t>
      </w:r>
      <w:r>
        <w:rPr>
          <w:rFonts w:hint="eastAsia" w:ascii="仿宋_GB2312" w:hAnsi="ˎ̥" w:eastAsia="仿宋_GB2312"/>
          <w:color w:val="FF0000"/>
          <w:sz w:val="32"/>
          <w:szCs w:val="32"/>
        </w:rPr>
        <w:t>XXXX</w:t>
      </w:r>
      <w:r>
        <w:rPr>
          <w:rFonts w:hint="eastAsia" w:ascii="仿宋_GB2312" w:hAnsi="ˎ̥" w:eastAsia="仿宋_GB2312"/>
          <w:sz w:val="32"/>
          <w:szCs w:val="32"/>
        </w:rPr>
        <w:t>（项），</w:t>
      </w:r>
      <w:r>
        <w:rPr>
          <w:rFonts w:ascii="仿宋_GB2312" w:hAnsi="ˎ̥" w:eastAsia="仿宋_GB2312"/>
          <w:sz w:val="32"/>
          <w:szCs w:val="32"/>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default" w:ascii="仿宋_GB2312" w:hAnsi="ˎ̥" w:eastAsia="仿宋_GB2312"/>
          <w:sz w:val="32"/>
          <w:szCs w:val="32"/>
          <w:lang w:val="en-US" w:eastAsia="zh-CN"/>
        </w:rPr>
      </w:pPr>
      <w:r>
        <w:rPr>
          <w:rFonts w:hint="eastAsia" w:ascii="仿宋_GB2312" w:hAnsi="ˎ̥" w:eastAsia="仿宋_GB2312"/>
          <w:color w:val="FF0000"/>
          <w:sz w:val="32"/>
          <w:szCs w:val="32"/>
        </w:rPr>
        <w:t>XXXX</w:t>
      </w:r>
      <w:r>
        <w:rPr>
          <w:rFonts w:hint="eastAsia" w:ascii="仿宋_GB2312" w:hAnsi="ˎ̥" w:eastAsia="仿宋_GB2312"/>
          <w:sz w:val="32"/>
          <w:szCs w:val="32"/>
        </w:rPr>
        <w:t>（类）</w:t>
      </w:r>
      <w:r>
        <w:rPr>
          <w:rFonts w:hint="eastAsia" w:ascii="仿宋_GB2312" w:hAnsi="ˎ̥" w:eastAsia="仿宋_GB2312"/>
          <w:color w:val="FF0000"/>
          <w:sz w:val="32"/>
          <w:szCs w:val="32"/>
        </w:rPr>
        <w:t>XXXX</w:t>
      </w:r>
      <w:r>
        <w:rPr>
          <w:rFonts w:hint="eastAsia" w:ascii="仿宋_GB2312" w:hAnsi="ˎ̥" w:eastAsia="仿宋_GB2312"/>
          <w:sz w:val="32"/>
          <w:szCs w:val="32"/>
        </w:rPr>
        <w:t>（款）</w:t>
      </w:r>
      <w:r>
        <w:rPr>
          <w:rFonts w:hint="eastAsia" w:ascii="仿宋_GB2312" w:hAnsi="ˎ̥" w:eastAsia="仿宋_GB2312"/>
          <w:color w:val="FF0000"/>
          <w:sz w:val="32"/>
          <w:szCs w:val="32"/>
        </w:rPr>
        <w:t>XXXX</w:t>
      </w:r>
      <w:r>
        <w:rPr>
          <w:rFonts w:hint="eastAsia" w:ascii="仿宋_GB2312" w:hAnsi="ˎ̥" w:eastAsia="仿宋_GB2312"/>
          <w:sz w:val="32"/>
          <w:szCs w:val="32"/>
        </w:rPr>
        <w:t>（项），</w:t>
      </w:r>
      <w:r>
        <w:rPr>
          <w:rFonts w:ascii="仿宋_GB2312" w:hAnsi="ˎ̥" w:eastAsia="仿宋_GB2312"/>
          <w:sz w:val="32"/>
          <w:szCs w:val="32"/>
        </w:rPr>
        <w:t>……</w:t>
      </w:r>
      <w:r>
        <w:rPr>
          <w:rFonts w:hint="eastAsia" w:ascii="仿宋_GB2312" w:hAnsi="ˎ̥"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textAlignment w:val="auto"/>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支出功能分类的名词解释，各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单位根据实际支出情况填列，可参阅财政部印发的《</w:t>
      </w:r>
      <w:r>
        <w:rPr>
          <w:rFonts w:hint="default" w:ascii="仿宋_GB2312" w:hAnsi="ˎ̥" w:eastAsia="仿宋_GB2312"/>
          <w:sz w:val="32"/>
          <w:szCs w:val="32"/>
          <w:lang w:val="en-US"/>
        </w:rPr>
        <w:t>2024</w:t>
      </w:r>
      <w:r>
        <w:rPr>
          <w:rFonts w:hint="eastAsia" w:ascii="仿宋_GB2312" w:hAnsi="ˎ̥" w:eastAsia="仿宋_GB2312"/>
          <w:sz w:val="32"/>
          <w:szCs w:val="32"/>
        </w:rPr>
        <w:t>年政府收支分类科目》</w:t>
      </w:r>
      <w:r>
        <w:rPr>
          <w:rFonts w:hint="eastAsia" w:ascii="仿宋_GB2312" w:hAnsi="ˎ̥" w:eastAsia="仿宋_GB2312"/>
          <w:sz w:val="32"/>
          <w:szCs w:val="32"/>
          <w:lang w:eastAsia="zh-CN"/>
        </w:rPr>
        <w:t>。</w:t>
      </w:r>
      <w:r>
        <w:rPr>
          <w:rFonts w:hint="eastAsia" w:ascii="仿宋_GB2312" w:hAnsi="ˎ̥" w:eastAsia="仿宋_GB2312"/>
          <w:sz w:val="32"/>
          <w:szCs w:val="32"/>
        </w:rPr>
        <w:t>）</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28CEBCD3"/>
    <w:multiLevelType w:val="singleLevel"/>
    <w:tmpl w:val="28CEBCD3"/>
    <w:lvl w:ilvl="0" w:tentative="0">
      <w:start w:val="3"/>
      <w:numFmt w:val="chineseCounting"/>
      <w:suff w:val="nothing"/>
      <w:lvlText w:val="（%1）"/>
      <w:lvlJc w:val="left"/>
      <w:rPr>
        <w:rFonts w:hint="eastAsia"/>
      </w:rPr>
    </w:lvl>
  </w:abstractNum>
  <w:abstractNum w:abstractNumId="2">
    <w:nsid w:val="68E87296"/>
    <w:multiLevelType w:val="singleLevel"/>
    <w:tmpl w:val="68E87296"/>
    <w:lvl w:ilvl="0" w:tentative="0">
      <w:start w:val="1"/>
      <w:numFmt w:val="chineseCounting"/>
      <w:suff w:val="nothing"/>
      <w:lvlText w:val="%1、"/>
      <w:lvlJc w:val="left"/>
    </w:lvl>
  </w:abstractNum>
  <w:abstractNum w:abstractNumId="3">
    <w:nsid w:val="68E8C4FD"/>
    <w:multiLevelType w:val="singleLevel"/>
    <w:tmpl w:val="68E8C4FD"/>
    <w:lvl w:ilvl="0" w:tentative="0">
      <w:start w:val="2"/>
      <w:numFmt w:val="decimal"/>
      <w:suff w:val="nothing"/>
      <w:lvlText w:val="%1."/>
      <w:lvlJc w:val="left"/>
    </w:lvl>
  </w:abstractNum>
  <w:abstractNum w:abstractNumId="4">
    <w:nsid w:val="72109F8D"/>
    <w:multiLevelType w:val="singleLevel"/>
    <w:tmpl w:val="72109F8D"/>
    <w:lvl w:ilvl="0" w:tentative="0">
      <w:start w:val="7"/>
      <w:numFmt w:val="chineseCounting"/>
      <w:suff w:val="nothing"/>
      <w:lvlText w:val="%1、"/>
      <w:lvlJc w:val="left"/>
      <w:rPr>
        <w:rFonts w:hint="eastAsia"/>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5845C22"/>
    <w:rsid w:val="09201287"/>
    <w:rsid w:val="0B77003A"/>
    <w:rsid w:val="0FC80124"/>
    <w:rsid w:val="136F98C7"/>
    <w:rsid w:val="17427E68"/>
    <w:rsid w:val="1755065F"/>
    <w:rsid w:val="1AFC29C9"/>
    <w:rsid w:val="1CA52F2E"/>
    <w:rsid w:val="1D6868CE"/>
    <w:rsid w:val="1E3630B9"/>
    <w:rsid w:val="22B846E1"/>
    <w:rsid w:val="23707652"/>
    <w:rsid w:val="26EEC2B5"/>
    <w:rsid w:val="271A4634"/>
    <w:rsid w:val="29472309"/>
    <w:rsid w:val="2B406E77"/>
    <w:rsid w:val="2C2A0C43"/>
    <w:rsid w:val="2D1E73A5"/>
    <w:rsid w:val="32717154"/>
    <w:rsid w:val="33517748"/>
    <w:rsid w:val="34B63260"/>
    <w:rsid w:val="37FDA7E2"/>
    <w:rsid w:val="39617451"/>
    <w:rsid w:val="3A314D88"/>
    <w:rsid w:val="3A746883"/>
    <w:rsid w:val="3CA15DE9"/>
    <w:rsid w:val="3FE61EE5"/>
    <w:rsid w:val="406508EE"/>
    <w:rsid w:val="408D6263"/>
    <w:rsid w:val="41B40CEE"/>
    <w:rsid w:val="48317291"/>
    <w:rsid w:val="485F7024"/>
    <w:rsid w:val="48E70666"/>
    <w:rsid w:val="4AD54073"/>
    <w:rsid w:val="4BAF436F"/>
    <w:rsid w:val="4C6877E5"/>
    <w:rsid w:val="4D6A468D"/>
    <w:rsid w:val="4EA86137"/>
    <w:rsid w:val="542B5A79"/>
    <w:rsid w:val="56CA7FD0"/>
    <w:rsid w:val="57602F8A"/>
    <w:rsid w:val="576B1662"/>
    <w:rsid w:val="57FA38D1"/>
    <w:rsid w:val="5F7D3333"/>
    <w:rsid w:val="61385890"/>
    <w:rsid w:val="687436E1"/>
    <w:rsid w:val="69681B7F"/>
    <w:rsid w:val="6D4A7566"/>
    <w:rsid w:val="6DA45C50"/>
    <w:rsid w:val="6E81685E"/>
    <w:rsid w:val="6E9A7825"/>
    <w:rsid w:val="6F670F9B"/>
    <w:rsid w:val="6FEA51D7"/>
    <w:rsid w:val="737450E0"/>
    <w:rsid w:val="74054476"/>
    <w:rsid w:val="742F38C4"/>
    <w:rsid w:val="74AB66DC"/>
    <w:rsid w:val="74C4154C"/>
    <w:rsid w:val="75956FFF"/>
    <w:rsid w:val="77687D9B"/>
    <w:rsid w:val="77AA2D01"/>
    <w:rsid w:val="7CDE1DBD"/>
    <w:rsid w:val="7D943A85"/>
    <w:rsid w:val="7DB0448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1163</Words>
  <Characters>2480</Characters>
  <Lines>67</Lines>
  <Paragraphs>18</Paragraphs>
  <TotalTime>4</TotalTime>
  <ScaleCrop>false</ScaleCrop>
  <LinksUpToDate>false</LinksUpToDate>
  <CharactersWithSpaces>2528</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Administrator</cp:lastModifiedBy>
  <cp:lastPrinted>2023-08-03T00:58:00Z</cp:lastPrinted>
  <dcterms:modified xsi:type="dcterms:W3CDTF">2025-10-10T09:42:13Z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03AE7F14E2DC4BACB053764200FF950D_13</vt:lpwstr>
  </property>
  <property fmtid="{D5CDD505-2E9C-101B-9397-08002B2CF9AE}" pid="4" name="KSOTemplateDocerSaveRecord">
    <vt:lpwstr>eyJoZGlkIjoiY2VlZThlZDk5ZTQ4MTFjNGY3MjIxNTdiOWMzZmQwMWMiLCJ1c2VySWQiOiIyMzQ5MTc1OTYifQ==</vt:lpwstr>
  </property>
</Properties>
</file>