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color w:val="auto"/>
          <w:sz w:val="84"/>
          <w:szCs w:val="84"/>
          <w:u w:val="single"/>
          <w:lang w:eastAsia="zh-CN"/>
        </w:rPr>
      </w:pPr>
      <w:bookmarkStart w:id="0" w:name="_GoBack"/>
      <w:bookmarkEnd w:id="0"/>
    </w:p>
    <w:p>
      <w:pPr>
        <w:rPr>
          <w:color w:val="auto"/>
          <w:sz w:val="84"/>
          <w:szCs w:val="84"/>
          <w:u w:val="single"/>
        </w:rPr>
      </w:pPr>
    </w:p>
    <w:p>
      <w:pPr>
        <w:rPr>
          <w:color w:val="auto"/>
          <w:sz w:val="84"/>
          <w:szCs w:val="84"/>
          <w:u w:val="single"/>
        </w:rPr>
      </w:pPr>
    </w:p>
    <w:p>
      <w:pPr>
        <w:rPr>
          <w:color w:val="auto"/>
          <w:sz w:val="84"/>
          <w:szCs w:val="84"/>
          <w:u w:val="single"/>
        </w:rPr>
      </w:pPr>
    </w:p>
    <w:p>
      <w:pPr>
        <w:jc w:val="center"/>
        <w:rPr>
          <w:color w:val="auto"/>
          <w:sz w:val="52"/>
          <w:szCs w:val="52"/>
        </w:rPr>
      </w:pPr>
      <w:r>
        <w:rPr>
          <w:rFonts w:hint="eastAsia" w:ascii="宋体" w:hAnsi="宋体" w:eastAsia="宋体" w:cs="宋体"/>
          <w:color w:val="auto"/>
          <w:sz w:val="52"/>
          <w:szCs w:val="52"/>
          <w:lang w:val="en-US" w:eastAsia="zh-CN"/>
        </w:rPr>
        <w:t>202</w:t>
      </w:r>
      <w:r>
        <w:rPr>
          <w:rFonts w:hint="eastAsia" w:ascii="宋体" w:hAnsi="宋体" w:cs="宋体"/>
          <w:color w:val="auto"/>
          <w:sz w:val="52"/>
          <w:szCs w:val="52"/>
          <w:lang w:val="en-US" w:eastAsia="zh-CN"/>
        </w:rPr>
        <w:t>6</w:t>
      </w:r>
      <w:r>
        <w:rPr>
          <w:rFonts w:hint="eastAsia" w:ascii="宋体" w:hAnsi="宋体" w:eastAsia="宋体" w:cs="宋体"/>
          <w:color w:val="auto"/>
          <w:sz w:val="52"/>
          <w:szCs w:val="52"/>
        </w:rPr>
        <w:t>年</w:t>
      </w:r>
      <w:r>
        <w:rPr>
          <w:rFonts w:hint="eastAsia"/>
          <w:color w:val="auto"/>
          <w:sz w:val="52"/>
          <w:szCs w:val="52"/>
          <w:lang w:eastAsia="zh-CN"/>
        </w:rPr>
        <w:t>中共三亚市海棠区委宣传部</w:t>
      </w:r>
      <w:r>
        <w:rPr>
          <w:rFonts w:hint="eastAsia"/>
          <w:color w:val="auto"/>
          <w:sz w:val="52"/>
          <w:szCs w:val="52"/>
        </w:rPr>
        <w:t>部门预算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7"/>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中共三亚市海棠区委宣传部</w:t>
      </w:r>
      <w:r>
        <w:rPr>
          <w:rFonts w:hint="eastAsia" w:ascii="黑体" w:hAnsi="黑体" w:eastAsia="黑体"/>
          <w:color w:val="auto"/>
          <w:sz w:val="32"/>
          <w:szCs w:val="32"/>
        </w:rPr>
        <w:t>概况</w:t>
      </w:r>
    </w:p>
    <w:p>
      <w:pPr>
        <w:pStyle w:val="7"/>
        <w:numPr>
          <w:ilvl w:val="0"/>
          <w:numId w:val="2"/>
        </w:numPr>
        <w:ind w:firstLineChars="0"/>
        <w:jc w:val="left"/>
        <w:rPr>
          <w:rFonts w:ascii="黑体" w:hAnsi="黑体" w:eastAsia="黑体"/>
          <w:color w:val="auto"/>
          <w:sz w:val="32"/>
          <w:szCs w:val="32"/>
        </w:rPr>
      </w:pPr>
      <w:r>
        <w:rPr>
          <w:rFonts w:hint="eastAsia" w:ascii="黑体" w:hAnsi="黑体" w:eastAsia="黑体"/>
          <w:color w:val="auto"/>
          <w:sz w:val="32"/>
          <w:szCs w:val="32"/>
        </w:rPr>
        <w:t>主要职能</w:t>
      </w:r>
    </w:p>
    <w:p>
      <w:pPr>
        <w:pStyle w:val="7"/>
        <w:numPr>
          <w:ilvl w:val="0"/>
          <w:numId w:val="2"/>
        </w:numPr>
        <w:ind w:firstLineChars="0"/>
        <w:jc w:val="left"/>
        <w:rPr>
          <w:rFonts w:ascii="黑体" w:hAnsi="黑体" w:eastAsia="黑体"/>
          <w:color w:val="auto"/>
          <w:sz w:val="32"/>
          <w:szCs w:val="32"/>
        </w:rPr>
      </w:pPr>
      <w:r>
        <w:rPr>
          <w:rFonts w:hint="eastAsia" w:ascii="黑体" w:hAnsi="黑体" w:eastAsia="黑体"/>
          <w:color w:val="auto"/>
          <w:sz w:val="32"/>
          <w:szCs w:val="32"/>
        </w:rPr>
        <w:t>部门预算单位构成</w:t>
      </w:r>
    </w:p>
    <w:p>
      <w:pPr>
        <w:pStyle w:val="7"/>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财政拨款收支总表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一般公共预算基本支出表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一般公共预算“三公”经费支出表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政府性基金预算支出表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政府性基金预算“三公”经费支出表</w:t>
      </w:r>
    </w:p>
    <w:p>
      <w:pPr>
        <w:pStyle w:val="7"/>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国有资本经营预算支出表</w:t>
      </w:r>
    </w:p>
    <w:p>
      <w:pPr>
        <w:pStyle w:val="7"/>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部门收支总表</w:t>
      </w:r>
    </w:p>
    <w:p>
      <w:pPr>
        <w:pStyle w:val="7"/>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部门收入总表</w:t>
      </w:r>
    </w:p>
    <w:p>
      <w:pPr>
        <w:pStyle w:val="7"/>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部门支出总表</w:t>
      </w:r>
    </w:p>
    <w:p>
      <w:pPr>
        <w:pStyle w:val="7"/>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十一、</w:t>
      </w:r>
      <w:r>
        <w:rPr>
          <w:rFonts w:hint="eastAsia" w:ascii="仿宋_GB2312" w:hAnsi="仿宋_GB2312" w:eastAsia="仿宋_GB2312" w:cs="仿宋_GB2312"/>
          <w:color w:val="auto"/>
          <w:sz w:val="32"/>
          <w:szCs w:val="32"/>
        </w:rPr>
        <w:t>项目支出绩效信息表</w:t>
      </w:r>
    </w:p>
    <w:p>
      <w:pPr>
        <w:pStyle w:val="7"/>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pStyle w:val="7"/>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7"/>
        <w:ind w:left="1320" w:firstLine="0" w:firstLineChars="0"/>
        <w:jc w:val="left"/>
        <w:rPr>
          <w:rFonts w:ascii="黑体" w:hAnsi="黑体" w:eastAsia="黑体"/>
          <w:color w:val="auto"/>
          <w:sz w:val="32"/>
          <w:szCs w:val="32"/>
        </w:rPr>
      </w:pPr>
    </w:p>
    <w:p>
      <w:pPr>
        <w:pStyle w:val="7"/>
        <w:numPr>
          <w:ilvl w:val="0"/>
          <w:numId w:val="4"/>
        </w:numPr>
        <w:ind w:firstLineChars="0"/>
        <w:jc w:val="center"/>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中共三亚市海棠区委宣传部</w:t>
      </w:r>
      <w:r>
        <w:rPr>
          <w:rFonts w:hint="eastAsia" w:ascii="黑体" w:hAnsi="黑体" w:eastAsia="黑体"/>
          <w:color w:val="auto"/>
          <w:sz w:val="32"/>
          <w:szCs w:val="32"/>
        </w:rPr>
        <w:t>概况</w:t>
      </w:r>
    </w:p>
    <w:p>
      <w:pPr>
        <w:jc w:val="left"/>
        <w:rPr>
          <w:rFonts w:ascii="仿宋_GB2312" w:hAnsi="仿宋_GB2312" w:eastAsia="仿宋_GB2312" w:cs="仿宋_GB2312"/>
          <w:color w:val="auto"/>
          <w:sz w:val="32"/>
          <w:szCs w:val="32"/>
        </w:rPr>
      </w:pPr>
    </w:p>
    <w:p>
      <w:pPr>
        <w:pStyle w:val="7"/>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lang w:eastAsia="zh-CN"/>
        </w:rPr>
        <w:t>一、</w:t>
      </w:r>
      <w:r>
        <w:rPr>
          <w:rFonts w:hint="eastAsia" w:ascii="黑体" w:hAnsi="黑体" w:eastAsia="黑体" w:cs="仿宋_GB2312"/>
          <w:color w:val="auto"/>
          <w:sz w:val="32"/>
          <w:szCs w:val="32"/>
        </w:rPr>
        <w:t>主要职能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1</w:t>
      </w:r>
      <w:r>
        <w:rPr>
          <w:rFonts w:hint="eastAsia" w:ascii="仿宋_GB2312" w:hAnsi="黑体" w:eastAsia="仿宋_GB2312" w:cs="仿宋_GB2312"/>
          <w:color w:val="auto"/>
          <w:sz w:val="32"/>
          <w:szCs w:val="32"/>
        </w:rPr>
        <w:t>）贯彻执行中央及省、市有关宣传和新闻发布的方针、政策，依法拟定并组织实施本区宣传思想的规划和措施。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ascii="仿宋_GB2312" w:hAnsi="黑体" w:eastAsia="仿宋_GB2312" w:cs="Times New Roman"/>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s="仿宋_GB2312"/>
          <w:color w:val="auto"/>
          <w:sz w:val="32"/>
          <w:szCs w:val="32"/>
        </w:rPr>
        <w:t>）负责指导本区理论研究、理论学习、理论宣传、理论教育工作；负责本区宣传干部队伍建设，组织实施宣传文化系统工作人员的教育培训。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）负责本区精神文明建设工作，指导本区群众性精神文明创建</w:t>
      </w:r>
      <w:r>
        <w:rPr>
          <w:rFonts w:hint="eastAsia" w:ascii="仿宋_GB2312" w:hAnsi="黑体" w:eastAsia="仿宋_GB2312" w:cs="仿宋_GB2312"/>
          <w:color w:val="auto"/>
          <w:sz w:val="32"/>
          <w:szCs w:val="32"/>
          <w:lang w:eastAsia="zh-CN"/>
        </w:rPr>
        <w:t>活动等，</w:t>
      </w:r>
      <w:r>
        <w:rPr>
          <w:rFonts w:hint="eastAsia" w:ascii="仿宋_GB2312" w:hAnsi="黑体" w:eastAsia="仿宋_GB2312" w:cs="仿宋_GB2312"/>
          <w:color w:val="auto"/>
          <w:sz w:val="32"/>
          <w:szCs w:val="32"/>
        </w:rPr>
        <w:t>对全区的精神文明建设工作进行检查、督促和评比。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ascii="仿宋_GB2312" w:hAnsi="黑体" w:eastAsia="仿宋_GB2312" w:cs="Times New Roman"/>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4</w:t>
      </w:r>
      <w:r>
        <w:rPr>
          <w:rFonts w:hint="eastAsia" w:ascii="仿宋_GB2312" w:hAnsi="黑体" w:eastAsia="仿宋_GB2312" w:cs="仿宋_GB2312"/>
          <w:color w:val="auto"/>
          <w:sz w:val="32"/>
          <w:szCs w:val="32"/>
        </w:rPr>
        <w:t>）负责社会文化工作和文化市场的宏观管理；指导本区文化产业发展和文化体制改革。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ascii="仿宋_GB2312" w:hAnsi="黑体" w:eastAsia="仿宋_GB2312" w:cs="Times New Roman"/>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）负责引导社会舆论，组织实施和指导新闻宣传、对外宣传等工作；负责本区网络宣传和网络舆情管理工作，负责协调、督促区相关部门处置、引导相关舆情工作。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）负责规划、部署全区的思想政治工作任务；配合区委组织部做好党员教育工作；协同有关部门开展国防教育。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color w:val="auto"/>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7</w:t>
      </w:r>
      <w:r>
        <w:rPr>
          <w:rFonts w:hint="eastAsia" w:ascii="仿宋_GB2312" w:hAnsi="黑体" w:eastAsia="仿宋_GB2312" w:cs="仿宋_GB2312"/>
          <w:color w:val="auto"/>
          <w:sz w:val="32"/>
          <w:szCs w:val="32"/>
        </w:rPr>
        <w:t>）承办区委和上级部门交办的工作</w:t>
      </w:r>
      <w:r>
        <w:rPr>
          <w:rFonts w:hint="eastAsia" w:ascii="仿宋_GB2312" w:hAnsi="黑体" w:eastAsia="仿宋_GB2312" w:cs="仿宋_GB2312"/>
          <w:color w:val="auto"/>
          <w:sz w:val="32"/>
          <w:szCs w:val="32"/>
          <w:lang w:eastAsia="zh-CN"/>
        </w:rPr>
        <w:t>。</w:t>
      </w:r>
    </w:p>
    <w:p>
      <w:pPr>
        <w:pStyle w:val="7"/>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color w:val="auto"/>
          <w:sz w:val="32"/>
          <w:szCs w:val="32"/>
        </w:rPr>
      </w:pPr>
      <w:r>
        <w:rPr>
          <w:rFonts w:hint="eastAsia" w:ascii="黑体" w:hAnsi="黑体" w:eastAsia="黑体" w:cs="仿宋_GB2312"/>
          <w:color w:val="auto"/>
          <w:sz w:val="32"/>
          <w:szCs w:val="32"/>
          <w:lang w:eastAsia="zh-CN"/>
        </w:rPr>
        <w:t>二、</w:t>
      </w:r>
      <w:r>
        <w:rPr>
          <w:rFonts w:hint="eastAsia" w:ascii="黑体" w:hAnsi="黑体" w:eastAsia="黑体" w:cs="仿宋_GB2312"/>
          <w:color w:val="auto"/>
          <w:sz w:val="32"/>
          <w:szCs w:val="32"/>
        </w:rPr>
        <w:t>部门预算单位构成</w:t>
      </w:r>
    </w:p>
    <w:p>
      <w:pPr>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中共三亚市海棠区委宣传部</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lang w:eastAsia="zh-CN"/>
        </w:rPr>
        <w:t>年</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预算</w:t>
      </w:r>
      <w:r>
        <w:rPr>
          <w:rFonts w:hint="eastAsia" w:ascii="仿宋_GB2312" w:hAnsi="ˎ̥" w:eastAsia="仿宋_GB2312"/>
          <w:color w:val="auto"/>
          <w:sz w:val="32"/>
          <w:szCs w:val="32"/>
        </w:rPr>
        <w:t>编制范围的二级预算</w:t>
      </w:r>
      <w:r>
        <w:rPr>
          <w:rFonts w:hint="eastAsia" w:ascii="仿宋_GB2312" w:hAnsi="ˎ̥" w:eastAsia="仿宋_GB2312"/>
          <w:color w:val="auto"/>
          <w:sz w:val="32"/>
          <w:szCs w:val="32"/>
          <w:lang w:eastAsia="zh-CN"/>
        </w:rPr>
        <w:t>部门</w:t>
      </w:r>
      <w:r>
        <w:rPr>
          <w:rFonts w:hint="eastAsia" w:ascii="仿宋_GB2312" w:hAnsi="ˎ̥" w:eastAsia="仿宋_GB2312"/>
          <w:color w:val="auto"/>
          <w:sz w:val="32"/>
          <w:szCs w:val="32"/>
        </w:rPr>
        <w:t>包括：</w:t>
      </w:r>
    </w:p>
    <w:p>
      <w:pPr>
        <w:spacing w:beforeLines="0" w:afterLines="0"/>
        <w:ind w:firstLine="640" w:firstLineChars="200"/>
        <w:jc w:val="left"/>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（一）中共三亚市海棠区委宣传部</w:t>
      </w:r>
      <w:r>
        <w:rPr>
          <w:rFonts w:hint="eastAsia" w:ascii="仿宋_GB2312" w:hAnsi="黑体" w:eastAsia="仿宋_GB2312" w:cs="仿宋_GB2312"/>
          <w:color w:val="auto"/>
          <w:sz w:val="32"/>
          <w:szCs w:val="32"/>
        </w:rPr>
        <w:t>本级</w:t>
      </w:r>
    </w:p>
    <w:p>
      <w:pPr>
        <w:ind w:firstLine="640" w:firstLineChars="200"/>
        <w:rPr>
          <w:rFonts w:hint="eastAsia" w:ascii="仿宋_GB2312" w:hAnsi="黑体" w:eastAsia="仿宋_GB2312" w:cs="仿宋_GB2312"/>
          <w:color w:val="auto"/>
          <w:sz w:val="32"/>
          <w:szCs w:val="32"/>
          <w:lang w:eastAsia="zh-CN"/>
        </w:rPr>
      </w:pPr>
      <w:r>
        <w:rPr>
          <w:rFonts w:hint="eastAsia" w:ascii="仿宋_GB2312" w:hAnsi="黑体" w:eastAsia="仿宋_GB2312" w:cs="仿宋_GB2312"/>
          <w:color w:val="auto"/>
          <w:sz w:val="32"/>
          <w:szCs w:val="32"/>
          <w:lang w:val="en-US" w:eastAsia="zh-CN"/>
        </w:rPr>
        <w:t>（二）无</w:t>
      </w:r>
      <w:r>
        <w:rPr>
          <w:rFonts w:hint="eastAsia" w:ascii="仿宋_GB2312" w:hAnsi="黑体" w:eastAsia="仿宋_GB2312" w:cs="仿宋_GB2312"/>
          <w:color w:val="auto"/>
          <w:sz w:val="32"/>
          <w:szCs w:val="32"/>
        </w:rPr>
        <w:t>下属</w:t>
      </w:r>
      <w:r>
        <w:rPr>
          <w:rFonts w:hint="eastAsia" w:ascii="仿宋_GB2312" w:hAnsi="黑体" w:eastAsia="仿宋_GB2312" w:cs="仿宋_GB2312"/>
          <w:color w:val="auto"/>
          <w:sz w:val="32"/>
          <w:szCs w:val="32"/>
          <w:lang w:eastAsia="zh-CN"/>
        </w:rPr>
        <w:t>部门</w:t>
      </w: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年财政拨款收支预算情况的总体说明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olor w:val="auto"/>
          <w:sz w:val="32"/>
          <w:szCs w:val="32"/>
        </w:rPr>
        <w:t>万元。其中，收入总计</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，包括一般公共预算本年收入</w:t>
      </w:r>
      <w:r>
        <w:rPr>
          <w:rFonts w:hint="eastAsia" w:ascii="仿宋_GB2312" w:hAnsi="黑体" w:eastAsia="仿宋_GB2312" w:cs="仿宋_GB2312"/>
          <w:color w:val="auto"/>
          <w:sz w:val="32"/>
          <w:szCs w:val="32"/>
          <w:lang w:val="en-US" w:eastAsia="zh-CN"/>
        </w:rPr>
        <w:t>1054.61</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6.29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；支出总计</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，包括一般公共服务支出</w:t>
      </w:r>
      <w:r>
        <w:rPr>
          <w:rFonts w:hint="eastAsia" w:ascii="仿宋_GB2312" w:hAnsi="黑体" w:eastAsia="仿宋_GB2312" w:cs="仿宋_GB2312"/>
          <w:color w:val="auto"/>
          <w:sz w:val="32"/>
          <w:szCs w:val="32"/>
          <w:lang w:val="en-US" w:eastAsia="zh-CN"/>
        </w:rPr>
        <w:t>922.54</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文化旅游体育与传媒支出</w:t>
      </w:r>
      <w:r>
        <w:rPr>
          <w:rFonts w:hint="eastAsia" w:ascii="仿宋_GB2312" w:hAnsi="黑体" w:eastAsia="仿宋_GB2312"/>
          <w:color w:val="auto"/>
          <w:sz w:val="32"/>
          <w:szCs w:val="32"/>
          <w:lang w:val="en-US" w:eastAsia="zh-CN"/>
        </w:rPr>
        <w:t>106.29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社会保障和就业支出</w:t>
      </w:r>
      <w:r>
        <w:rPr>
          <w:rFonts w:hint="eastAsia" w:ascii="仿宋_GB2312" w:hAnsi="黑体" w:eastAsia="仿宋_GB2312"/>
          <w:color w:val="auto"/>
          <w:sz w:val="32"/>
          <w:szCs w:val="32"/>
          <w:lang w:val="en-US" w:eastAsia="zh-CN"/>
        </w:rPr>
        <w:t>13.74</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卫生健康支出</w:t>
      </w:r>
      <w:r>
        <w:rPr>
          <w:rFonts w:hint="eastAsia" w:ascii="仿宋_GB2312" w:hAnsi="黑体" w:eastAsia="仿宋_GB2312"/>
          <w:color w:val="auto"/>
          <w:sz w:val="32"/>
          <w:szCs w:val="32"/>
          <w:lang w:val="en-US" w:eastAsia="zh-CN"/>
        </w:rPr>
        <w:t>10.26万元、住房保障支出8.07万元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136.72</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eastAsia="zh-CN"/>
        </w:rPr>
        <w:t>一是人员变动，工资社保经费增加，二是项目预算增加，资金投入加大，保障单位正常运转。</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rPr>
        <w:t>一般公共服务（类）支出</w:t>
      </w:r>
      <w:r>
        <w:rPr>
          <w:rFonts w:hint="eastAsia" w:ascii="仿宋_GB2312" w:hAnsi="黑体" w:eastAsia="仿宋_GB2312" w:cs="仿宋_GB2312"/>
          <w:color w:val="auto"/>
          <w:sz w:val="32"/>
          <w:szCs w:val="32"/>
          <w:lang w:val="en-US" w:eastAsia="zh-CN"/>
        </w:rPr>
        <w:t>922.54</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86.96</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文化旅游体育与传媒</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106.29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10.02</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社会保障和就业</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13.74</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1.30</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卫生健康</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10.26</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olor w:val="auto"/>
          <w:sz w:val="32"/>
          <w:szCs w:val="32"/>
          <w:lang w:val="en-US" w:eastAsia="zh-CN"/>
        </w:rPr>
        <w:t>0.97</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住房改革</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8.07万元，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0.76</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color w:val="auto"/>
          <w:sz w:val="32"/>
          <w:szCs w:val="32"/>
          <w:shd w:val="clear" w:color="auto" w:fill="auto"/>
          <w:lang w:val="en-US" w:eastAsia="zh-CN"/>
        </w:rPr>
      </w:pPr>
      <w:r>
        <w:rPr>
          <w:rFonts w:hint="eastAsia" w:ascii="仿宋_GB2312" w:hAnsi="黑体" w:eastAsia="仿宋_GB2312" w:cs="仿宋_GB2312"/>
          <w:color w:val="auto"/>
          <w:sz w:val="32"/>
          <w:szCs w:val="32"/>
        </w:rPr>
        <w:t>1.一般公共服务</w:t>
      </w:r>
      <w:r>
        <w:rPr>
          <w:rFonts w:hint="eastAsia" w:ascii="仿宋_GB2312" w:hAnsi="黑体" w:eastAsia="仿宋_GB2312" w:cs="仿宋_GB2312"/>
          <w:color w:val="auto"/>
          <w:sz w:val="32"/>
          <w:szCs w:val="32"/>
          <w:lang w:eastAsia="zh-CN"/>
        </w:rPr>
        <w:t>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宣传事务</w:t>
      </w:r>
      <w:r>
        <w:rPr>
          <w:rFonts w:hint="eastAsia" w:ascii="仿宋_GB2312" w:hAnsi="黑体" w:eastAsia="仿宋_GB2312" w:cs="仿宋_GB2312"/>
          <w:color w:val="auto"/>
          <w:sz w:val="32"/>
          <w:szCs w:val="32"/>
        </w:rPr>
        <w:t>（款）行政运行（项）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82.94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13.17</w:t>
      </w:r>
      <w:r>
        <w:rPr>
          <w:rFonts w:hint="eastAsia" w:ascii="仿宋_GB2312" w:hAnsi="黑体" w:eastAsia="仿宋_GB2312"/>
          <w:color w:val="auto"/>
          <w:sz w:val="32"/>
          <w:szCs w:val="32"/>
        </w:rPr>
        <w:t>万元，</w:t>
      </w:r>
      <w:r>
        <w:rPr>
          <w:rFonts w:hint="default" w:ascii="Times New Roman" w:hAnsi="Times New Roman" w:eastAsia="仿宋_GB2312" w:cs="Times New Roman"/>
          <w:color w:val="auto"/>
          <w:sz w:val="32"/>
          <w:szCs w:val="32"/>
          <w:highlight w:val="none"/>
          <w:lang w:val="en-US" w:eastAsia="zh-CN"/>
        </w:rPr>
        <w:t>主要是人员工资经费等有所增加。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一般公共服务</w:t>
      </w:r>
      <w:r>
        <w:rPr>
          <w:rFonts w:hint="eastAsia" w:ascii="仿宋_GB2312" w:hAnsi="黑体" w:eastAsia="仿宋_GB2312" w:cs="仿宋_GB2312"/>
          <w:color w:val="auto"/>
          <w:sz w:val="32"/>
          <w:szCs w:val="32"/>
          <w:lang w:eastAsia="zh-CN"/>
        </w:rPr>
        <w:t>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宣传事务</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一般行政管理事务</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839.6</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140.28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主要是项目预算增加，资金投入加大，保障单位正常运转。</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eastAsia="zh-CN"/>
        </w:rPr>
        <w:t>文化旅游体育与传媒支出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其他文化旅游体育与传媒支出</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其他文化旅游体育与传媒支出</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106.29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25.07</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市级</w:t>
      </w:r>
      <w:r>
        <w:rPr>
          <w:rFonts w:hint="eastAsia" w:ascii="仿宋_GB2312" w:hAnsi="黑体" w:eastAsia="仿宋_GB2312"/>
          <w:color w:val="auto"/>
          <w:sz w:val="32"/>
          <w:szCs w:val="32"/>
          <w:lang w:val="en-US" w:eastAsia="zh-CN"/>
        </w:rPr>
        <w:t>级拨款与上年结转费用，用于文明创建活动费用</w:t>
      </w:r>
      <w:r>
        <w:rPr>
          <w:rFonts w:hint="eastAsia" w:ascii="仿宋_GB2312" w:hAnsi="黑体"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lang w:eastAsia="zh-CN"/>
        </w:rPr>
        <w:t>.社会保障和就业支出（类）行政事业单位养老支出（款）机关事业单位基本养老保险缴费支出（项）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lang w:eastAsia="zh-CN"/>
        </w:rPr>
        <w:t>年预算数为</w:t>
      </w:r>
      <w:r>
        <w:rPr>
          <w:rFonts w:hint="eastAsia" w:ascii="仿宋_GB2312" w:hAnsi="黑体" w:eastAsia="仿宋_GB2312" w:cs="仿宋_GB2312"/>
          <w:color w:val="auto"/>
          <w:sz w:val="32"/>
          <w:szCs w:val="32"/>
          <w:lang w:val="en-US" w:eastAsia="zh-CN"/>
        </w:rPr>
        <w:t>9.16</w:t>
      </w:r>
      <w:r>
        <w:rPr>
          <w:rFonts w:hint="eastAsia" w:ascii="仿宋_GB2312" w:hAnsi="黑体" w:eastAsia="仿宋_GB2312" w:cs="仿宋_GB2312"/>
          <w:color w:val="auto"/>
          <w:sz w:val="32"/>
          <w:szCs w:val="32"/>
          <w:lang w:eastAsia="zh-CN"/>
        </w:rPr>
        <w:t>万元，比上年预算数增加</w:t>
      </w:r>
      <w:r>
        <w:rPr>
          <w:rFonts w:hint="eastAsia" w:ascii="仿宋_GB2312" w:hAnsi="黑体" w:eastAsia="仿宋_GB2312" w:cs="仿宋_GB2312"/>
          <w:color w:val="auto"/>
          <w:sz w:val="32"/>
          <w:szCs w:val="32"/>
          <w:lang w:val="en-US" w:eastAsia="zh-CN"/>
        </w:rPr>
        <w:t>3.91</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养老保险的基数</w:t>
      </w:r>
      <w:r>
        <w:rPr>
          <w:rFonts w:hint="default" w:ascii="Times New Roman" w:hAnsi="Times New Roman" w:eastAsia="仿宋_GB2312" w:cs="Times New Roman"/>
          <w:color w:val="auto"/>
          <w:sz w:val="32"/>
          <w:szCs w:val="32"/>
          <w:highlight w:val="none"/>
          <w:lang w:val="en-US" w:eastAsia="zh-CN"/>
        </w:rPr>
        <w:t>人员工资经费增加。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lang w:eastAsia="zh-CN"/>
        </w:rPr>
        <w:t>社会保障和就业支出（类）行政事业单位养老支出（款）机关事业单位职业年金缴费支出（项）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lang w:eastAsia="zh-CN"/>
        </w:rPr>
        <w:t>年预算数为</w:t>
      </w:r>
      <w:r>
        <w:rPr>
          <w:rFonts w:hint="eastAsia" w:ascii="仿宋_GB2312" w:hAnsi="黑体" w:eastAsia="仿宋_GB2312" w:cs="仿宋_GB2312"/>
          <w:color w:val="auto"/>
          <w:sz w:val="32"/>
          <w:szCs w:val="32"/>
          <w:lang w:val="en-US" w:eastAsia="zh-CN"/>
        </w:rPr>
        <w:t>4.58</w:t>
      </w:r>
      <w:r>
        <w:rPr>
          <w:rFonts w:hint="eastAsia" w:ascii="仿宋_GB2312" w:hAnsi="黑体" w:eastAsia="仿宋_GB2312" w:cs="仿宋_GB2312"/>
          <w:color w:val="auto"/>
          <w:sz w:val="32"/>
          <w:szCs w:val="32"/>
          <w:lang w:eastAsia="zh-CN"/>
        </w:rPr>
        <w:t>万元，比上年预算数增加</w:t>
      </w:r>
      <w:r>
        <w:rPr>
          <w:rFonts w:hint="eastAsia" w:ascii="仿宋_GB2312" w:hAnsi="黑体" w:eastAsia="仿宋_GB2312" w:cs="仿宋_GB2312"/>
          <w:color w:val="auto"/>
          <w:sz w:val="32"/>
          <w:szCs w:val="32"/>
          <w:lang w:val="en-US" w:eastAsia="zh-CN"/>
        </w:rPr>
        <w:t>1.95</w:t>
      </w:r>
      <w:r>
        <w:rPr>
          <w:rFonts w:hint="eastAsia" w:ascii="仿宋_GB2312" w:hAnsi="黑体" w:eastAsia="仿宋_GB2312" w:cs="仿宋_GB2312"/>
          <w:color w:val="auto"/>
          <w:sz w:val="32"/>
          <w:szCs w:val="32"/>
          <w:lang w:eastAsia="zh-CN"/>
        </w:rPr>
        <w:t>万元，</w:t>
      </w:r>
      <w:r>
        <w:rPr>
          <w:rFonts w:hint="default" w:ascii="Times New Roman" w:hAnsi="Times New Roman" w:eastAsia="仿宋_GB2312" w:cs="Times New Roman"/>
          <w:color w:val="auto"/>
          <w:sz w:val="32"/>
          <w:szCs w:val="32"/>
          <w:highlight w:val="none"/>
          <w:lang w:val="en-US" w:eastAsia="zh-CN"/>
        </w:rPr>
        <w:t>主要是</w:t>
      </w:r>
      <w:r>
        <w:rPr>
          <w:rFonts w:hint="eastAsia" w:ascii="仿宋_GB2312" w:hAnsi="黑体" w:eastAsia="仿宋_GB2312"/>
          <w:color w:val="auto"/>
          <w:sz w:val="32"/>
          <w:szCs w:val="32"/>
          <w:lang w:eastAsia="zh-CN"/>
        </w:rPr>
        <w:t>职业年金的基数</w:t>
      </w:r>
      <w:r>
        <w:rPr>
          <w:rFonts w:hint="default" w:ascii="Times New Roman" w:hAnsi="Times New Roman" w:eastAsia="仿宋_GB2312" w:cs="Times New Roman"/>
          <w:color w:val="auto"/>
          <w:sz w:val="32"/>
          <w:szCs w:val="32"/>
          <w:highlight w:val="none"/>
          <w:lang w:val="en-US" w:eastAsia="zh-CN"/>
        </w:rPr>
        <w:t>人员工资经费增加。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仿宋_GB2312" w:hAnsi="黑体" w:eastAsia="仿宋_GB2312"/>
          <w:color w:val="auto"/>
          <w:sz w:val="32"/>
          <w:szCs w:val="32"/>
          <w:lang w:val="en-US" w:eastAsia="zh-CN"/>
        </w:rPr>
        <w:t>7.</w:t>
      </w:r>
      <w:r>
        <w:rPr>
          <w:rFonts w:hint="eastAsia" w:ascii="仿宋_GB2312" w:hAnsi="黑体" w:eastAsia="仿宋_GB2312" w:cs="仿宋_GB2312"/>
          <w:color w:val="auto"/>
          <w:sz w:val="32"/>
          <w:szCs w:val="32"/>
          <w:lang w:eastAsia="zh-CN"/>
        </w:rPr>
        <w:t>卫生健康支出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行政事业单位医疗</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行政单位医疗</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3.53</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1.61</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医疗保险的基数</w:t>
      </w:r>
      <w:r>
        <w:rPr>
          <w:rFonts w:hint="default" w:ascii="Times New Roman" w:hAnsi="Times New Roman" w:eastAsia="仿宋_GB2312" w:cs="Times New Roman"/>
          <w:color w:val="auto"/>
          <w:sz w:val="32"/>
          <w:szCs w:val="32"/>
          <w:highlight w:val="none"/>
          <w:lang w:val="en-US" w:eastAsia="zh-CN"/>
        </w:rPr>
        <w:t>人员工资经费增加。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仿宋_GB2312" w:hAnsi="黑体" w:eastAsia="仿宋_GB2312" w:cs="仿宋_GB2312"/>
          <w:color w:val="auto"/>
          <w:sz w:val="32"/>
          <w:szCs w:val="32"/>
          <w:lang w:val="en-US" w:eastAsia="zh-CN"/>
        </w:rPr>
        <w:t>8.</w:t>
      </w:r>
      <w:r>
        <w:rPr>
          <w:rFonts w:hint="eastAsia" w:ascii="仿宋_GB2312" w:hAnsi="黑体" w:eastAsia="仿宋_GB2312" w:cs="仿宋_GB2312"/>
          <w:color w:val="auto"/>
          <w:sz w:val="32"/>
          <w:szCs w:val="32"/>
          <w:lang w:eastAsia="zh-CN"/>
        </w:rPr>
        <w:t>卫生健康</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eastAsia="zh-CN"/>
        </w:rPr>
        <w:t>行政事业单位医疗</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公务员医疗补助</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6.72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1.31</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w:t>
      </w:r>
      <w:r>
        <w:rPr>
          <w:rFonts w:hint="default" w:ascii="Times New Roman" w:hAnsi="Times New Roman" w:eastAsia="仿宋_GB2312" w:cs="Times New Roman"/>
          <w:color w:val="auto"/>
          <w:sz w:val="32"/>
          <w:szCs w:val="32"/>
          <w:highlight w:val="none"/>
          <w:lang w:eastAsia="zh-CN"/>
        </w:rPr>
        <w:t>公务员医疗补助的基数人员有关工资经费增加。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9.住房保障支出（类）住房改革支出（款）住房公积金（项）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8.07</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1.58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主要是</w:t>
      </w:r>
      <w:r>
        <w:rPr>
          <w:rFonts w:hint="eastAsia" w:ascii="Times New Roman" w:hAnsi="Times New Roman" w:eastAsia="仿宋_GB2312" w:cs="Times New Roman"/>
          <w:color w:val="auto"/>
          <w:sz w:val="32"/>
          <w:szCs w:val="32"/>
          <w:highlight w:val="none"/>
          <w:lang w:eastAsia="zh-CN"/>
        </w:rPr>
        <w:t>住房公积金的</w:t>
      </w:r>
      <w:r>
        <w:rPr>
          <w:rFonts w:hint="default" w:ascii="Times New Roman" w:hAnsi="Times New Roman" w:eastAsia="仿宋_GB2312" w:cs="Times New Roman"/>
          <w:color w:val="auto"/>
          <w:sz w:val="32"/>
          <w:szCs w:val="32"/>
          <w:highlight w:val="none"/>
          <w:lang w:eastAsia="zh-CN"/>
        </w:rPr>
        <w:t>基数人员有关工资经费增加。</w:t>
      </w:r>
    </w:p>
    <w:p>
      <w:pPr>
        <w:ind w:firstLine="640"/>
        <w:rPr>
          <w:rFonts w:ascii="黑体" w:hAnsi="黑体" w:eastAsia="黑体"/>
          <w:color w:val="auto"/>
          <w:sz w:val="32"/>
          <w:szCs w:val="32"/>
        </w:rPr>
      </w:pPr>
      <w:r>
        <w:rPr>
          <w:rFonts w:hint="eastAsia" w:ascii="黑体" w:hAnsi="黑体" w:eastAsia="黑体"/>
          <w:color w:val="auto"/>
          <w:sz w:val="32"/>
          <w:szCs w:val="32"/>
        </w:rPr>
        <w:t>三、关于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年一</w:t>
      </w:r>
      <w:r>
        <w:rPr>
          <w:rFonts w:hint="eastAsia" w:ascii="黑体" w:hAnsi="黑体" w:eastAsia="黑体"/>
          <w:color w:val="auto"/>
          <w:sz w:val="32"/>
          <w:szCs w:val="32"/>
        </w:rPr>
        <w:t>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一般公共预算基本支出为</w:t>
      </w:r>
      <w:r>
        <w:rPr>
          <w:rFonts w:hint="eastAsia" w:ascii="仿宋_GB2312" w:hAnsi="黑体" w:eastAsia="仿宋_GB2312" w:cs="仿宋_GB2312"/>
          <w:color w:val="auto"/>
          <w:sz w:val="32"/>
          <w:szCs w:val="32"/>
          <w:lang w:val="en-US" w:eastAsia="zh-CN"/>
        </w:rPr>
        <w:t>115.01</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103.04</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，主要包括：基本工资、津贴补贴、奖金、社会保障缴费</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住房公积金</w:t>
      </w:r>
      <w:r>
        <w:rPr>
          <w:rFonts w:hint="eastAsia" w:ascii="仿宋_GB2312" w:hAnsi="黑体" w:eastAsia="仿宋_GB2312"/>
          <w:color w:val="auto"/>
          <w:sz w:val="32"/>
          <w:szCs w:val="32"/>
          <w:lang w:eastAsia="zh-CN"/>
        </w:rPr>
        <w:t>、其他工资福利支出、邮电费、其他交通费用</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11.97</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，主要包括：办公费、</w:t>
      </w:r>
      <w:r>
        <w:rPr>
          <w:rFonts w:hint="eastAsia" w:ascii="仿宋_GB2312" w:hAnsi="黑体" w:eastAsia="仿宋_GB2312"/>
          <w:color w:val="auto"/>
          <w:sz w:val="32"/>
          <w:szCs w:val="32"/>
          <w:lang w:eastAsia="zh-CN"/>
        </w:rPr>
        <w:t>邮电费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工会经费、福利费、</w:t>
      </w:r>
      <w:r>
        <w:rPr>
          <w:rFonts w:hint="eastAsia" w:ascii="仿宋_GB2312" w:hAnsi="黑体" w:eastAsia="仿宋_GB2312"/>
          <w:color w:val="auto"/>
          <w:sz w:val="32"/>
          <w:szCs w:val="32"/>
        </w:rPr>
        <w:t>其他交通费用</w:t>
      </w:r>
      <w:r>
        <w:rPr>
          <w:rFonts w:hint="eastAsia" w:ascii="仿宋_GB2312" w:hAnsi="黑体" w:eastAsia="仿宋_GB2312"/>
          <w:color w:val="auto"/>
          <w:sz w:val="32"/>
          <w:szCs w:val="32"/>
          <w:lang w:eastAsia="zh-CN"/>
        </w:rPr>
        <w:t>、其他商品和服务支出、公务用车运行维护费、劳务费、培训费、差旅费</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2026年</w:t>
      </w:r>
      <w:r>
        <w:rPr>
          <w:rFonts w:hint="eastAsia" w:ascii="黑体" w:hAnsi="黑体" w:eastAsia="黑体" w:cs="黑体"/>
          <w:color w:val="auto"/>
          <w:sz w:val="32"/>
          <w:shd w:val="clear" w:color="auto" w:fill="FFFFFF"/>
        </w:rPr>
        <w:t>“三公</w:t>
      </w:r>
      <w:r>
        <w:rPr>
          <w:rFonts w:ascii="黑体" w:hAnsi="黑体" w:eastAsia="黑体" w:cs="Times New Roman"/>
          <w:color w:val="auto"/>
          <w:sz w:val="32"/>
          <w:shd w:val="clear" w:color="auto" w:fill="FFFFFF"/>
        </w:rPr>
        <w:t>”经费预算情况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eastAsia="zh-CN"/>
        </w:rPr>
        <w:t>中共三亚市海棠区委宣传部</w:t>
      </w:r>
      <w:r>
        <w:rPr>
          <w:rFonts w:hint="eastAsia" w:ascii="仿宋_GB2312" w:hAnsi="仿宋_GB2312" w:eastAsia="仿宋_GB2312" w:cs="仿宋_GB2312"/>
          <w:color w:val="auto"/>
          <w:sz w:val="32"/>
          <w:szCs w:val="32"/>
          <w:lang w:val="en-US" w:eastAsia="zh-CN"/>
        </w:rPr>
        <w:t>2026年</w:t>
      </w:r>
      <w:r>
        <w:rPr>
          <w:rFonts w:hint="eastAsia" w:ascii="仿宋_GB2312" w:hAnsi="仿宋_GB2312" w:eastAsia="仿宋_GB2312" w:cs="仿宋_GB2312"/>
          <w:color w:val="auto"/>
          <w:sz w:val="32"/>
          <w:szCs w:val="32"/>
        </w:rPr>
        <w:t>一般公共预算“三公”经费预算数为</w:t>
      </w:r>
      <w:r>
        <w:rPr>
          <w:rFonts w:hint="eastAsia" w:ascii="仿宋_GB2312" w:hAnsi="仿宋_GB2312" w:eastAsia="仿宋_GB2312" w:cs="仿宋_GB2312"/>
          <w:color w:val="auto"/>
          <w:sz w:val="32"/>
          <w:szCs w:val="32"/>
          <w:lang w:val="en-US" w:eastAsia="zh-CN"/>
        </w:rPr>
        <w:t>1.82</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rPr>
        <w:t>，其中：</w:t>
      </w:r>
    </w:p>
    <w:p>
      <w:pPr>
        <w:ind w:firstLine="630"/>
        <w:rPr>
          <w:rFonts w:ascii="Times New Roman" w:hAnsi="Times New Roman" w:eastAsia="仿宋_GB2312" w:cs="Times New Roman"/>
          <w:color w:val="auto"/>
          <w:sz w:val="32"/>
          <w:shd w:val="clear" w:color="auto" w:fill="FFFFFF"/>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hd w:val="clear" w:color="auto" w:fill="FFFFFF"/>
        </w:rPr>
        <w:t>万元，与上年预算持平。主要原因包括：</w:t>
      </w:r>
      <w:r>
        <w:rPr>
          <w:rFonts w:hint="eastAsia" w:ascii="仿宋_GB2312" w:hAnsi="仿宋_GB2312" w:eastAsia="仿宋_GB2312" w:cs="仿宋_GB2312"/>
          <w:color w:val="auto"/>
          <w:sz w:val="32"/>
          <w:shd w:val="clear" w:color="auto" w:fill="FFFFFF"/>
          <w:lang w:eastAsia="zh-CN"/>
        </w:rPr>
        <w:t>无</w:t>
      </w:r>
      <w:r>
        <w:rPr>
          <w:rFonts w:hint="eastAsia" w:ascii="仿宋_GB2312" w:hAnsi="仿宋_GB2312" w:eastAsia="仿宋_GB2312" w:cs="仿宋_GB2312"/>
          <w:color w:val="auto"/>
          <w:sz w:val="32"/>
          <w:shd w:val="clear" w:color="auto" w:fill="FFFFFF"/>
        </w:rPr>
        <w:t>因公出国（境）经费。根据</w:t>
      </w:r>
      <w:r>
        <w:rPr>
          <w:rFonts w:hint="eastAsia" w:ascii="仿宋_GB2312" w:hAnsi="仿宋_GB2312" w:eastAsia="仿宋_GB2312" w:cs="仿宋_GB2312"/>
          <w:color w:val="auto"/>
          <w:sz w:val="32"/>
          <w:shd w:val="clear" w:color="auto" w:fill="FFFFFF"/>
          <w:lang w:eastAsia="zh-CN"/>
        </w:rPr>
        <w:t>本年工作计划</w:t>
      </w:r>
      <w:r>
        <w:rPr>
          <w:rFonts w:hint="eastAsia" w:ascii="仿宋_GB2312" w:hAnsi="仿宋_GB2312" w:eastAsia="仿宋_GB2312" w:cs="仿宋_GB2312"/>
          <w:color w:val="auto"/>
          <w:sz w:val="32"/>
          <w:shd w:val="clear" w:color="auto" w:fill="FFFFFF"/>
        </w:rPr>
        <w:t>安排的</w:t>
      </w:r>
      <w:r>
        <w:rPr>
          <w:rFonts w:hint="eastAsia" w:ascii="仿宋_GB2312" w:hAnsi="仿宋_GB2312" w:eastAsia="仿宋_GB2312" w:cs="仿宋_GB2312"/>
          <w:color w:val="auto"/>
          <w:sz w:val="32"/>
          <w:shd w:val="clear" w:color="auto" w:fill="FFFFFF"/>
          <w:lang w:val="en-US" w:eastAsia="zh-CN"/>
        </w:rPr>
        <w:t>2026</w:t>
      </w:r>
      <w:r>
        <w:rPr>
          <w:rFonts w:hint="eastAsia" w:ascii="仿宋_GB2312" w:hAnsi="仿宋_GB2312" w:eastAsia="仿宋_GB2312" w:cs="仿宋_GB2312"/>
          <w:color w:val="auto"/>
          <w:sz w:val="32"/>
          <w:shd w:val="clear" w:color="auto" w:fill="FFFFFF"/>
        </w:rPr>
        <w:t>年出国计划，拟安排出国（境）团（组）</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hd w:val="clear" w:color="auto" w:fill="FFFFFF"/>
        </w:rPr>
        <w:t>次，出国（境）</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hd w:val="clear" w:color="auto" w:fill="FFFFFF"/>
        </w:rPr>
        <w:t>人；出国（境）团组主要包括：1.团组：目的地</w:t>
      </w:r>
      <w:r>
        <w:rPr>
          <w:rFonts w:hint="eastAsia" w:ascii="仿宋_GB2312" w:hAnsi="仿宋_GB2312" w:eastAsia="仿宋_GB2312" w:cs="仿宋_GB2312"/>
          <w:color w:val="auto"/>
          <w:sz w:val="32"/>
          <w:shd w:val="clear" w:color="auto" w:fill="FFFFFF"/>
          <w:lang w:eastAsia="zh-CN"/>
        </w:rPr>
        <w:t>无</w:t>
      </w:r>
      <w:r>
        <w:rPr>
          <w:rFonts w:hint="eastAsia" w:ascii="仿宋_GB2312" w:hAnsi="仿宋_GB2312" w:eastAsia="仿宋_GB2312" w:cs="仿宋_GB2312"/>
          <w:color w:val="auto"/>
          <w:sz w:val="32"/>
          <w:shd w:val="clear" w:color="auto" w:fill="FFFFFF"/>
        </w:rPr>
        <w:t>，人数为</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hd w:val="clear" w:color="auto" w:fill="FFFFFF"/>
        </w:rPr>
        <w:t>人，天数为</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hd w:val="clear" w:color="auto" w:fill="FFFFFF"/>
        </w:rPr>
        <w:t>天，主要任务</w:t>
      </w:r>
      <w:r>
        <w:rPr>
          <w:rFonts w:hint="eastAsia" w:ascii="仿宋_GB2312" w:hAnsi="仿宋_GB2312" w:eastAsia="仿宋_GB2312" w:cs="仿宋_GB2312"/>
          <w:color w:val="auto"/>
          <w:sz w:val="32"/>
          <w:shd w:val="clear" w:color="auto" w:fill="FFFFFF"/>
          <w:lang w:eastAsia="zh-CN"/>
        </w:rPr>
        <w:t>无</w:t>
      </w: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rPr>
        <w:t>（其中，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hd w:val="clear" w:color="auto" w:fill="FFFFFF"/>
        </w:rPr>
        <w:t>，公务用车运行费</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hd w:val="clear" w:color="auto" w:fill="FFFFFF"/>
        </w:rPr>
        <w:t>，与上年预算下降</w:t>
      </w:r>
      <w:r>
        <w:rPr>
          <w:rFonts w:hint="eastAsia" w:ascii="仿宋_GB2312" w:hAnsi="仿宋_GB2312" w:eastAsia="仿宋_GB2312" w:cs="仿宋_GB2312"/>
          <w:color w:val="auto"/>
          <w:sz w:val="32"/>
          <w:szCs w:val="32"/>
          <w:lang w:val="en-US" w:eastAsia="zh-CN"/>
        </w:rPr>
        <w:t>19.79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rPr>
        <w:t>下降的</w:t>
      </w:r>
      <w:r>
        <w:rPr>
          <w:rFonts w:ascii="Times New Roman" w:hAnsi="Times New Roman" w:eastAsia="仿宋_GB2312" w:cs="Times New Roman"/>
          <w:color w:val="auto"/>
          <w:sz w:val="32"/>
          <w:shd w:val="clear" w:color="auto" w:fill="FFFFFF"/>
        </w:rPr>
        <w:t>主要原因包括：</w:t>
      </w:r>
      <w:r>
        <w:rPr>
          <w:rFonts w:hint="default" w:ascii="Times New Roman" w:hAnsi="Times New Roman" w:eastAsia="仿宋_GB2312" w:cs="Times New Roman"/>
          <w:color w:val="auto"/>
          <w:sz w:val="32"/>
          <w:highlight w:val="none"/>
          <w:shd w:val="clear" w:color="auto" w:fill="FFFFFF"/>
        </w:rPr>
        <w:t>严格控制公务车使用，</w:t>
      </w:r>
      <w:r>
        <w:rPr>
          <w:rFonts w:hint="eastAsia" w:ascii="Times New Roman" w:hAnsi="Times New Roman" w:eastAsia="仿宋_GB2312" w:cs="Times New Roman"/>
          <w:color w:val="auto"/>
          <w:sz w:val="32"/>
          <w:highlight w:val="none"/>
          <w:shd w:val="clear" w:color="auto" w:fill="FFFFFF"/>
          <w:lang w:eastAsia="zh-CN"/>
        </w:rPr>
        <w:t>节约使用</w:t>
      </w:r>
      <w:r>
        <w:rPr>
          <w:rFonts w:hint="default" w:ascii="Times New Roman" w:hAnsi="Times New Roman" w:eastAsia="仿宋_GB2312" w:cs="Times New Roman"/>
          <w:color w:val="auto"/>
          <w:sz w:val="32"/>
          <w:highlight w:val="none"/>
          <w:shd w:val="clear" w:color="auto" w:fill="FFFFFF"/>
        </w:rPr>
        <w:t>公车运行费用</w:t>
      </w:r>
      <w:r>
        <w:rPr>
          <w:rFonts w:hint="eastAsia" w:ascii="Times New Roman" w:hAnsi="Times New Roman" w:eastAsia="仿宋_GB2312" w:cs="Times New Roman"/>
          <w:color w:val="auto"/>
          <w:sz w:val="32"/>
          <w:shd w:val="clear" w:color="auto" w:fill="FFFFFF"/>
        </w:rPr>
        <w:t>。公务车保有量</w:t>
      </w:r>
      <w:r>
        <w:rPr>
          <w:rFonts w:hint="eastAsia" w:ascii="仿宋_GB2312" w:hAnsi="黑体" w:eastAsia="仿宋_GB2312" w:cs="仿宋_GB2312"/>
          <w:color w:val="auto"/>
          <w:sz w:val="32"/>
          <w:szCs w:val="32"/>
          <w:lang w:val="en-US" w:eastAsia="zh-CN"/>
        </w:rPr>
        <w:t>1</w:t>
      </w:r>
      <w:r>
        <w:rPr>
          <w:rFonts w:hint="eastAsia" w:ascii="仿宋_GB2312" w:hAnsi="黑体" w:eastAsia="仿宋_GB2312" w:cs="仿宋_GB2312"/>
          <w:color w:val="auto"/>
          <w:sz w:val="32"/>
          <w:szCs w:val="32"/>
        </w:rPr>
        <w:t>辆，计划购置</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Times New Roman" w:hAnsi="Times New Roman" w:eastAsia="仿宋_GB2312" w:cs="Times New Roman"/>
          <w:color w:val="auto"/>
          <w:sz w:val="32"/>
          <w:shd w:val="clear" w:color="auto" w:fill="FFFFFF"/>
        </w:rPr>
        <w:t>；</w:t>
      </w:r>
      <w:r>
        <w:rPr>
          <w:rFonts w:ascii="仿宋_GB2312" w:hAnsi="黑体" w:eastAsia="仿宋_GB2312" w:cs="Times New Roman"/>
          <w:color w:val="auto"/>
          <w:sz w:val="32"/>
          <w:szCs w:val="32"/>
        </w:rPr>
        <w:t>公务接待费</w:t>
      </w:r>
      <w:r>
        <w:rPr>
          <w:rFonts w:hint="eastAsia" w:ascii="仿宋_GB2312" w:hAnsi="黑体" w:eastAsia="仿宋_GB2312" w:cs="仿宋_GB2312"/>
          <w:color w:val="auto"/>
          <w:sz w:val="32"/>
          <w:szCs w:val="32"/>
          <w:lang w:val="en-US" w:eastAsia="zh-CN"/>
        </w:rPr>
        <w:t>0.32</w:t>
      </w:r>
      <w:r>
        <w:rPr>
          <w:rFonts w:hint="eastAsia" w:ascii="仿宋_GB2312" w:hAnsi="黑体" w:eastAsia="仿宋_GB2312" w:cs="仿宋_GB2312"/>
          <w:color w:val="auto"/>
          <w:sz w:val="32"/>
          <w:szCs w:val="32"/>
          <w:lang w:eastAsia="zh-CN"/>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lang w:eastAsia="zh-CN"/>
        </w:rPr>
        <w:t>主要是严格执行政策规定，厉行节约、反对铺张浪费</w:t>
      </w:r>
      <w:r>
        <w:rPr>
          <w:rFonts w:hint="eastAsia" w:ascii="Times New Roman" w:hAnsi="Times New Roman" w:eastAsia="仿宋_GB2312" w:cs="Times New Roman"/>
          <w:color w:val="auto"/>
          <w:sz w:val="32"/>
          <w:shd w:val="clear" w:color="auto" w:fill="FFFFFF"/>
        </w:rPr>
        <w:t>，计划接待</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s="仿宋_GB2312"/>
          <w:color w:val="auto"/>
          <w:sz w:val="32"/>
          <w:szCs w:val="32"/>
        </w:rPr>
        <w:t>批</w:t>
      </w:r>
      <w:r>
        <w:rPr>
          <w:rFonts w:hint="eastAsia" w:ascii="仿宋_GB2312" w:hAnsi="黑体" w:eastAsia="仿宋_GB2312" w:cs="仿宋_GB2312"/>
          <w:color w:val="auto"/>
          <w:sz w:val="32"/>
          <w:szCs w:val="32"/>
          <w:lang w:val="en-US" w:eastAsia="zh-CN"/>
        </w:rPr>
        <w:t>10</w:t>
      </w:r>
      <w:r>
        <w:rPr>
          <w:rFonts w:hint="eastAsia" w:ascii="仿宋_GB2312" w:hAnsi="黑体" w:eastAsia="仿宋_GB2312" w:cs="仿宋_GB2312"/>
          <w:color w:val="auto"/>
          <w:sz w:val="32"/>
          <w:szCs w:val="32"/>
        </w:rPr>
        <w:t>人</w:t>
      </w:r>
      <w:r>
        <w:rPr>
          <w:rFonts w:hint="eastAsia" w:ascii="Times New Roman" w:hAnsi="Times New Roman" w:eastAsia="仿宋_GB2312" w:cs="Times New Roman"/>
          <w:color w:val="auto"/>
          <w:sz w:val="32"/>
          <w:shd w:val="clear" w:color="auto" w:fill="FFFFFF"/>
        </w:rPr>
        <w:t>。</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（二）</w:t>
      </w: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政府性基金预算“三公”经费预算数为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Times New Roman" w:hAnsi="Times New Roman" w:eastAsia="仿宋_GB2312" w:cs="Times New Roman"/>
          <w:color w:val="auto"/>
          <w:sz w:val="32"/>
          <w:shd w:val="clear" w:color="auto" w:fill="FFFFFF"/>
        </w:rPr>
      </w:pPr>
      <w:r>
        <w:rPr>
          <w:rFonts w:ascii="Times New Roman" w:hAnsi="Times New Roman" w:eastAsia="仿宋_GB2312" w:cs="Times New Roman"/>
          <w:color w:val="auto"/>
          <w:sz w:val="32"/>
          <w:shd w:val="clear" w:color="auto" w:fill="FFFFFF"/>
        </w:rPr>
        <w:t xml:space="preserve">    因公出国（境）经费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年预算持平。主要原因包括：</w:t>
      </w:r>
      <w:r>
        <w:rPr>
          <w:rFonts w:hint="eastAsia" w:ascii="Times New Roman" w:hAnsi="Times New Roman" w:eastAsia="仿宋_GB2312" w:cs="Times New Roman"/>
          <w:color w:val="auto"/>
          <w:sz w:val="32"/>
          <w:shd w:val="clear" w:color="auto" w:fill="FFFFFF"/>
          <w:lang w:eastAsia="zh-CN"/>
        </w:rPr>
        <w:t>未安排此项资金</w:t>
      </w:r>
      <w:r>
        <w:rPr>
          <w:rFonts w:hint="eastAsia" w:ascii="Times New Roman" w:hAnsi="Times New Roman" w:eastAsia="仿宋_GB2312" w:cs="Times New Roman"/>
          <w:color w:val="auto"/>
          <w:sz w:val="32"/>
          <w:shd w:val="clear" w:color="auto" w:fill="FFFFFF"/>
        </w:rPr>
        <w:t>。</w:t>
      </w:r>
      <w:r>
        <w:rPr>
          <w:rFonts w:ascii="Times New Roman" w:hAnsi="Times New Roman" w:eastAsia="仿宋_GB2312" w:cs="Times New Roman"/>
          <w:color w:val="auto"/>
          <w:sz w:val="32"/>
          <w:shd w:val="clear" w:color="auto" w:fill="FFFFFF"/>
        </w:rPr>
        <w:t>根据</w:t>
      </w:r>
      <w:r>
        <w:rPr>
          <w:rFonts w:hint="eastAsia" w:ascii="Times New Roman" w:hAnsi="Times New Roman" w:eastAsia="仿宋_GB2312" w:cs="Times New Roman"/>
          <w:color w:val="auto"/>
          <w:sz w:val="32"/>
          <w:shd w:val="clear" w:color="auto" w:fill="FFFFFF"/>
          <w:lang w:eastAsia="zh-CN"/>
        </w:rPr>
        <w:t>工作计划，</w:t>
      </w:r>
      <w:r>
        <w:rPr>
          <w:rFonts w:ascii="Times New Roman" w:hAnsi="Times New Roman" w:eastAsia="仿宋_GB2312" w:cs="Times New Roman"/>
          <w:color w:val="auto"/>
          <w:sz w:val="32"/>
          <w:shd w:val="clear" w:color="auto" w:fill="FFFFFF"/>
        </w:rPr>
        <w:t>安排的</w:t>
      </w:r>
      <w:r>
        <w:rPr>
          <w:rFonts w:hint="eastAsia" w:ascii="仿宋_GB2312" w:hAnsi="黑体" w:eastAsia="仿宋_GB2312" w:cs="仿宋_GB2312"/>
          <w:color w:val="auto"/>
          <w:sz w:val="32"/>
          <w:szCs w:val="32"/>
          <w:lang w:val="en-US" w:eastAsia="zh-CN"/>
        </w:rPr>
        <w:t>2026</w:t>
      </w:r>
      <w:r>
        <w:rPr>
          <w:rFonts w:ascii="Times New Roman" w:hAnsi="Times New Roman" w:eastAsia="仿宋_GB2312" w:cs="Times New Roman"/>
          <w:color w:val="auto"/>
          <w:sz w:val="32"/>
          <w:shd w:val="clear" w:color="auto" w:fill="FFFFFF"/>
        </w:rPr>
        <w:t>年出国计划，拟安排出国（境）组</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次，出国（境）</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人。出国（境）团组主要包括：1.团组：目的地</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，人数为</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人，天数为</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天，主要任务</w:t>
      </w:r>
      <w:r>
        <w:rPr>
          <w:rFonts w:hint="eastAsia" w:ascii="Times New Roman" w:hAnsi="Times New Roman" w:eastAsia="仿宋_GB2312" w:cs="Times New Roman"/>
          <w:color w:val="auto"/>
          <w:sz w:val="32"/>
          <w:shd w:val="clear" w:color="auto" w:fill="FFFFFF"/>
          <w:lang w:eastAsia="zh-CN"/>
        </w:rPr>
        <w:t>无</w:t>
      </w:r>
      <w:r>
        <w:rPr>
          <w:rFonts w:ascii="Times New Roman" w:hAnsi="Times New Roman" w:eastAsia="仿宋_GB2312" w:cs="Times New Roman"/>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w:t>
      </w:r>
      <w:r>
        <w:rPr>
          <w:rFonts w:ascii="Times New Roman" w:hAnsi="Times New Roman" w:eastAsia="仿宋_GB2312" w:cs="Times New Roman"/>
          <w:color w:val="auto"/>
          <w:sz w:val="32"/>
          <w:shd w:val="clear" w:color="auto" w:fill="FFFFFF"/>
        </w:rPr>
        <w:t>公务用车购置</w:t>
      </w:r>
      <w:r>
        <w:rPr>
          <w:rFonts w:hint="eastAsia" w:ascii="Times New Roman" w:hAnsi="Times New Roman" w:eastAsia="仿宋_GB2312" w:cs="Times New Roman"/>
          <w:color w:val="auto"/>
          <w:sz w:val="32"/>
          <w:shd w:val="clear" w:color="auto" w:fill="FFFFFF"/>
        </w:rPr>
        <w:t>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Times New Roman" w:hAnsi="Times New Roman" w:eastAsia="仿宋_GB2312" w:cs="Times New Roman"/>
          <w:color w:val="auto"/>
          <w:sz w:val="32"/>
          <w:shd w:val="clear" w:color="auto" w:fill="FFFFFF"/>
        </w:rPr>
        <w:t>，公务用车</w:t>
      </w:r>
      <w:r>
        <w:rPr>
          <w:rFonts w:ascii="Times New Roman" w:hAnsi="Times New Roman" w:eastAsia="仿宋_GB2312" w:cs="Times New Roman"/>
          <w:color w:val="auto"/>
          <w:sz w:val="32"/>
          <w:shd w:val="clear" w:color="auto" w:fill="FFFFFF"/>
        </w:rPr>
        <w:t>运行费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年预算持平。主要原因包括：</w:t>
      </w:r>
      <w:r>
        <w:rPr>
          <w:rFonts w:hint="eastAsia" w:ascii="Times New Roman" w:hAnsi="Times New Roman" w:eastAsia="仿宋_GB2312" w:cs="Times New Roman"/>
          <w:color w:val="auto"/>
          <w:sz w:val="32"/>
          <w:shd w:val="clear" w:color="auto" w:fill="FFFFFF"/>
          <w:lang w:eastAsia="zh-CN"/>
        </w:rPr>
        <w:t>未安排此项资金</w:t>
      </w:r>
      <w:r>
        <w:rPr>
          <w:rFonts w:hint="eastAsia" w:ascii="Times New Roman" w:hAnsi="Times New Roman" w:eastAsia="仿宋_GB2312" w:cs="Times New Roman"/>
          <w:color w:val="auto"/>
          <w:sz w:val="32"/>
          <w:shd w:val="clear" w:color="auto" w:fill="FFFFFF"/>
        </w:rPr>
        <w:t>；公务车保有量</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辆，计划购置</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Times New Roman" w:hAnsi="Times New Roman" w:eastAsia="仿宋_GB2312" w:cs="Times New Roman"/>
          <w:color w:val="auto"/>
          <w:sz w:val="32"/>
          <w:shd w:val="clear" w:color="auto" w:fill="FFFFFF"/>
        </w:rPr>
        <w:t>。</w:t>
      </w:r>
      <w:r>
        <w:rPr>
          <w:rFonts w:ascii="仿宋_GB2312" w:hAnsi="黑体" w:eastAsia="仿宋_GB2312" w:cs="Times New Roman"/>
          <w:color w:val="auto"/>
          <w:sz w:val="32"/>
          <w:szCs w:val="32"/>
        </w:rPr>
        <w:t>公务接待费</w:t>
      </w:r>
      <w:r>
        <w:rPr>
          <w:rFonts w:hint="eastAsia" w:ascii="仿宋_GB2312" w:hAnsi="黑体" w:eastAsia="仿宋_GB2312" w:cs="仿宋_GB2312"/>
          <w:color w:val="auto"/>
          <w:sz w:val="32"/>
          <w:szCs w:val="32"/>
          <w:lang w:val="en-US" w:eastAsia="zh-CN"/>
        </w:rPr>
        <w:t>0</w:t>
      </w:r>
      <w:r>
        <w:rPr>
          <w:rFonts w:ascii="Times New Roman" w:hAnsi="Times New Roman" w:eastAsia="仿宋_GB2312" w:cs="Times New Roman"/>
          <w:color w:val="auto"/>
          <w:sz w:val="32"/>
          <w:shd w:val="clear" w:color="auto" w:fill="FFFFFF"/>
        </w:rPr>
        <w:t>万元，与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rPr>
        <w:t>，</w:t>
      </w:r>
      <w:r>
        <w:rPr>
          <w:rFonts w:ascii="Times New Roman" w:hAnsi="Times New Roman" w:eastAsia="仿宋_GB2312" w:cs="Times New Roman"/>
          <w:color w:val="auto"/>
          <w:sz w:val="32"/>
          <w:shd w:val="clear" w:color="auto" w:fill="FFFFFF"/>
        </w:rPr>
        <w:t>主要原因包括：</w:t>
      </w:r>
      <w:r>
        <w:rPr>
          <w:rFonts w:hint="eastAsia" w:ascii="Times New Roman" w:hAnsi="Times New Roman" w:eastAsia="仿宋_GB2312" w:cs="Times New Roman"/>
          <w:color w:val="auto"/>
          <w:sz w:val="32"/>
          <w:shd w:val="clear" w:color="auto" w:fill="FFFFFF"/>
          <w:lang w:eastAsia="zh-CN"/>
        </w:rPr>
        <w:t>未安排此项资金</w:t>
      </w:r>
      <w:r>
        <w:rPr>
          <w:rFonts w:hint="eastAsia" w:ascii="Times New Roman" w:hAnsi="Times New Roman" w:eastAsia="仿宋_GB2312" w:cs="Times New Roman"/>
          <w:color w:val="auto"/>
          <w:sz w:val="32"/>
          <w:shd w:val="clear" w:color="auto" w:fill="FFFFFF"/>
        </w:rPr>
        <w:t>。计划接待</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人</w:t>
      </w:r>
      <w:r>
        <w:rPr>
          <w:rFonts w:hint="eastAsia" w:ascii="Times New Roman" w:hAnsi="Times New Roman" w:eastAsia="仿宋_GB2312" w:cs="Times New Roman"/>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2026年</w:t>
      </w:r>
      <w:r>
        <w:rPr>
          <w:rFonts w:hint="eastAsia" w:ascii="黑体" w:hAnsi="黑体" w:eastAsia="黑体" w:cs="Times New Roman"/>
          <w:color w:val="auto"/>
          <w:sz w:val="32"/>
          <w:shd w:val="clear" w:color="auto" w:fill="FFFFFF"/>
        </w:rPr>
        <w:t>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减少</w:t>
      </w:r>
      <w:r>
        <w:rPr>
          <w:rFonts w:hint="eastAsia" w:ascii="仿宋_GB2312" w:hAnsi="黑体" w:eastAsia="仿宋_GB2312" w:cs="仿宋_GB2312"/>
          <w:color w:val="auto"/>
          <w:sz w:val="32"/>
          <w:szCs w:val="32"/>
          <w:lang w:val="en-US" w:eastAsia="zh-CN"/>
        </w:rPr>
        <w:t>12.47</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本年无</w:t>
      </w:r>
      <w:r>
        <w:rPr>
          <w:rFonts w:hint="eastAsia" w:ascii="仿宋_GB2312" w:hAnsi="黑体" w:eastAsia="仿宋_GB2312"/>
          <w:color w:val="auto"/>
          <w:sz w:val="32"/>
          <w:szCs w:val="32"/>
        </w:rPr>
        <w:t>政府性基金预算。</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800" w:firstLineChars="250"/>
        <w:textAlignment w:val="auto"/>
        <w:rPr>
          <w:rFonts w:ascii="仿宋_GB2312" w:hAnsi="黑体" w:eastAsia="仿宋_GB2312"/>
          <w:color w:val="auto"/>
          <w:sz w:val="32"/>
          <w:szCs w:val="32"/>
        </w:rPr>
      </w:pPr>
      <w:r>
        <w:rPr>
          <w:rFonts w:hint="eastAsia" w:ascii="仿宋_GB2312" w:hAnsi="黑体" w:eastAsia="仿宋_GB2312" w:cs="仿宋_GB2312"/>
          <w:color w:val="auto"/>
          <w:sz w:val="32"/>
          <w:szCs w:val="32"/>
        </w:rPr>
        <w:t>科学技术支出（类）支出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%；文化体育与传媒支出（类）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%；社会保障和就业支出（类）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eastAsia="zh-CN"/>
        </w:rPr>
        <w:t>城乡社区支出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lang w:eastAsia="zh-CN"/>
        </w:rPr>
        <w:t>城乡社区支出（类）国有土地使用权出让收入安排的支出（款）其他国有土地使用权出让收入安排的支出（项）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lang w:eastAsia="zh-CN"/>
        </w:rPr>
        <w:t>年预算数为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s="仿宋_GB2312"/>
          <w:color w:val="auto"/>
          <w:sz w:val="32"/>
          <w:szCs w:val="32"/>
        </w:rPr>
        <w:t>比上年预算数减少</w:t>
      </w:r>
      <w:r>
        <w:rPr>
          <w:rFonts w:hint="eastAsia" w:ascii="仿宋_GB2312" w:hAnsi="黑体" w:eastAsia="仿宋_GB2312" w:cs="仿宋_GB2312"/>
          <w:color w:val="auto"/>
          <w:sz w:val="32"/>
          <w:szCs w:val="32"/>
          <w:lang w:val="en-US" w:eastAsia="zh-CN"/>
        </w:rPr>
        <w:t>12.47</w:t>
      </w:r>
      <w:r>
        <w:rPr>
          <w:rFonts w:hint="eastAsia" w:ascii="仿宋_GB2312" w:hAnsi="黑体" w:eastAsia="仿宋_GB2312" w:cs="仿宋_GB2312"/>
          <w:color w:val="auto"/>
          <w:sz w:val="32"/>
          <w:szCs w:val="32"/>
        </w:rPr>
        <w:t>万元，主要是</w:t>
      </w:r>
      <w:r>
        <w:rPr>
          <w:rFonts w:hint="eastAsia" w:ascii="仿宋_GB2312" w:hAnsi="黑体" w:eastAsia="仿宋_GB2312"/>
          <w:color w:val="auto"/>
          <w:sz w:val="32"/>
          <w:szCs w:val="32"/>
          <w:lang w:eastAsia="zh-CN"/>
        </w:rPr>
        <w:t>本年无</w:t>
      </w:r>
      <w:r>
        <w:rPr>
          <w:rFonts w:hint="eastAsia" w:ascii="仿宋_GB2312" w:hAnsi="黑体" w:eastAsia="仿宋_GB2312"/>
          <w:color w:val="auto"/>
          <w:sz w:val="32"/>
          <w:szCs w:val="32"/>
        </w:rPr>
        <w:t>政府性基金预算</w:t>
      </w:r>
      <w:r>
        <w:rPr>
          <w:rFonts w:hint="eastAsia" w:ascii="仿宋_GB2312" w:hAnsi="黑体" w:eastAsia="仿宋_GB2312" w:cs="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2026年</w:t>
      </w:r>
      <w:r>
        <w:rPr>
          <w:rFonts w:hint="eastAsia" w:ascii="黑体" w:hAnsi="黑体" w:eastAsia="黑体" w:cs="Times New Roman"/>
          <w:color w:val="auto"/>
          <w:sz w:val="32"/>
          <w:shd w:val="clear" w:color="auto" w:fill="FFFFFF"/>
        </w:rPr>
        <w:t>收支预算情况的总体说明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w:t>
      </w: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rPr>
        <w:t>所有收入和支出均纳入部门预算管理。收入包括：一般公共预算收入、</w:t>
      </w:r>
      <w:r>
        <w:rPr>
          <w:rFonts w:hint="eastAsia" w:ascii="仿宋_GB2312" w:hAnsi="黑体" w:eastAsia="仿宋_GB2312" w:cs="仿宋_GB2312"/>
          <w:color w:val="auto"/>
          <w:sz w:val="32"/>
          <w:szCs w:val="32"/>
          <w:lang w:eastAsia="zh-CN"/>
        </w:rPr>
        <w:t>上年结转</w:t>
      </w:r>
      <w:r>
        <w:rPr>
          <w:rFonts w:hint="eastAsia" w:ascii="仿宋_GB2312" w:hAnsi="黑体" w:eastAsia="仿宋_GB2312"/>
          <w:color w:val="auto"/>
          <w:sz w:val="32"/>
          <w:szCs w:val="32"/>
        </w:rPr>
        <w:t>；支出包括：一般公共服务支出</w:t>
      </w:r>
      <w:r>
        <w:rPr>
          <w:rFonts w:hint="eastAsia" w:ascii="仿宋_GB2312" w:hAnsi="黑体" w:eastAsia="仿宋_GB2312"/>
          <w:color w:val="auto"/>
          <w:sz w:val="32"/>
          <w:szCs w:val="32"/>
          <w:lang w:eastAsia="zh-CN"/>
        </w:rPr>
        <w:t>、文化旅游体育与传媒支出、社会保障和就业支出、卫生健康支出、住房保障支出</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年收支总预算</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olor w:val="auto"/>
          <w:sz w:val="32"/>
          <w:szCs w:val="32"/>
        </w:rPr>
        <w:t>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2026年</w:t>
      </w:r>
      <w:r>
        <w:rPr>
          <w:rFonts w:hint="eastAsia" w:ascii="黑体" w:hAnsi="黑体" w:eastAsia="黑体" w:cs="Times New Roman"/>
          <w:color w:val="auto"/>
          <w:sz w:val="32"/>
          <w:shd w:val="clear" w:color="auto" w:fill="FFFFFF"/>
        </w:rPr>
        <w:t>收入预算情况说明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收入预算</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，其中：上年结转</w:t>
      </w:r>
      <w:r>
        <w:rPr>
          <w:rFonts w:hint="eastAsia" w:ascii="仿宋_GB2312" w:hAnsi="黑体" w:eastAsia="仿宋_GB2312" w:cs="仿宋_GB2312"/>
          <w:color w:val="auto"/>
          <w:sz w:val="32"/>
          <w:szCs w:val="32"/>
          <w:lang w:val="en-US" w:eastAsia="zh-CN"/>
        </w:rPr>
        <w:t>6.29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0.59</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一般公共预算</w:t>
      </w:r>
      <w:r>
        <w:rPr>
          <w:rFonts w:hint="eastAsia" w:ascii="仿宋_GB2312" w:hAnsi="黑体" w:eastAsia="仿宋_GB2312"/>
          <w:color w:val="auto"/>
          <w:sz w:val="32"/>
          <w:szCs w:val="32"/>
        </w:rPr>
        <w:t>拨款收入</w:t>
      </w:r>
      <w:r>
        <w:rPr>
          <w:rFonts w:hint="eastAsia" w:ascii="仿宋_GB2312" w:hAnsi="黑体" w:eastAsia="仿宋_GB2312" w:cs="仿宋_GB2312"/>
          <w:color w:val="auto"/>
          <w:sz w:val="32"/>
          <w:szCs w:val="32"/>
          <w:lang w:val="en-US" w:eastAsia="zh-CN"/>
        </w:rPr>
        <w:t>1054.61</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99.41</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；政府性基金</w:t>
      </w:r>
      <w:r>
        <w:rPr>
          <w:rFonts w:hint="eastAsia" w:ascii="仿宋_GB2312" w:hAnsi="黑体" w:eastAsia="仿宋_GB2312"/>
          <w:color w:val="auto"/>
          <w:sz w:val="32"/>
          <w:szCs w:val="32"/>
          <w:lang w:eastAsia="zh-CN"/>
        </w:rPr>
        <w:t>预算拨款</w:t>
      </w:r>
      <w:r>
        <w:rPr>
          <w:rFonts w:hint="eastAsia" w:ascii="仿宋_GB2312" w:hAnsi="黑体" w:eastAsia="仿宋_GB2312"/>
          <w:color w:val="auto"/>
          <w:sz w:val="32"/>
          <w:szCs w:val="32"/>
        </w:rPr>
        <w:t>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136.72</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一是人员变动，工资社保经费增加，二是项目预算增加，资金投入加大，保障单位正常运转</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w:t>
      </w:r>
      <w:r>
        <w:rPr>
          <w:rFonts w:hint="eastAsia" w:ascii="黑体" w:hAnsi="黑体" w:eastAsia="黑体" w:cs="黑体"/>
          <w:color w:val="auto"/>
          <w:sz w:val="32"/>
          <w:szCs w:val="32"/>
          <w:lang w:eastAsia="zh-CN"/>
        </w:rPr>
        <w:t>中共三亚市海棠区委宣传部</w:t>
      </w:r>
      <w:r>
        <w:rPr>
          <w:rFonts w:hint="eastAsia" w:ascii="黑体" w:hAnsi="黑体" w:eastAsia="黑体" w:cs="黑体"/>
          <w:color w:val="auto"/>
          <w:sz w:val="32"/>
          <w:szCs w:val="32"/>
          <w:lang w:val="en-US" w:eastAsia="zh-CN"/>
        </w:rPr>
        <w:t>2026年</w:t>
      </w:r>
      <w:r>
        <w:rPr>
          <w:rFonts w:hint="eastAsia" w:ascii="黑体" w:hAnsi="黑体" w:eastAsia="黑体" w:cs="Times New Roman"/>
          <w:color w:val="auto"/>
          <w:sz w:val="32"/>
          <w:shd w:val="clear" w:color="auto" w:fill="FFFFFF"/>
        </w:rPr>
        <w:t>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支出预算</w:t>
      </w:r>
      <w:r>
        <w:rPr>
          <w:rFonts w:hint="eastAsia" w:ascii="仿宋_GB2312" w:hAnsi="黑体" w:eastAsia="仿宋_GB2312" w:cs="仿宋_GB2312"/>
          <w:color w:val="auto"/>
          <w:sz w:val="32"/>
          <w:szCs w:val="32"/>
          <w:lang w:val="en-US" w:eastAsia="zh-CN"/>
        </w:rPr>
        <w:t>1060.89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，其中：基本支出</w:t>
      </w:r>
      <w:r>
        <w:rPr>
          <w:rFonts w:hint="eastAsia" w:ascii="仿宋_GB2312" w:hAnsi="黑体" w:eastAsia="仿宋_GB2312" w:cs="仿宋_GB2312"/>
          <w:color w:val="auto"/>
          <w:sz w:val="32"/>
          <w:szCs w:val="32"/>
          <w:lang w:val="en-US" w:eastAsia="zh-CN"/>
        </w:rPr>
        <w:t>115.01</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10.84</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945.89</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89.16</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136.72</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一是人员变动，工资社保经费增加，二是项目预算增加，资金投入加大，保障单位正常运转</w:t>
      </w:r>
      <w:r>
        <w:rPr>
          <w:rFonts w:hint="eastAsia" w:ascii="仿宋_GB2312" w:hAnsi="黑体" w:eastAsia="仿宋_GB2312"/>
          <w:color w:val="auto"/>
          <w:sz w:val="32"/>
          <w:szCs w:val="32"/>
        </w:rPr>
        <w:t>。其中委托业务费预算总额</w:t>
      </w:r>
      <w:r>
        <w:rPr>
          <w:rFonts w:hint="eastAsia" w:ascii="仿宋_GB2312" w:hAnsi="黑体" w:eastAsia="仿宋_GB2312"/>
          <w:color w:val="auto"/>
          <w:sz w:val="32"/>
          <w:szCs w:val="32"/>
          <w:lang w:val="en-US" w:eastAsia="zh-CN"/>
        </w:rPr>
        <w:t>464.38</w:t>
      </w:r>
      <w:r>
        <w:rPr>
          <w:rFonts w:hint="eastAsia" w:ascii="仿宋_GB2312" w:hAnsi="黑体" w:eastAsia="仿宋_GB2312"/>
          <w:color w:val="auto"/>
          <w:sz w:val="32"/>
          <w:szCs w:val="32"/>
        </w:rPr>
        <w:t>万元，比上年预算数增加</w:t>
      </w:r>
      <w:r>
        <w:rPr>
          <w:rFonts w:hint="eastAsia" w:ascii="仿宋_GB2312" w:hAnsi="黑体" w:eastAsia="仿宋_GB2312"/>
          <w:color w:val="auto"/>
          <w:sz w:val="32"/>
          <w:szCs w:val="32"/>
          <w:lang w:val="en-US" w:eastAsia="zh-CN"/>
        </w:rPr>
        <w:t>163.48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九、其他重要事项的情况说明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rPr>
        <w:t>机关运行经费预算</w:t>
      </w:r>
      <w:r>
        <w:rPr>
          <w:rFonts w:hint="eastAsia" w:ascii="仿宋_GB2312" w:hAnsi="黑体" w:eastAsia="仿宋_GB2312" w:cs="仿宋_GB2312"/>
          <w:color w:val="auto"/>
          <w:sz w:val="32"/>
          <w:szCs w:val="32"/>
          <w:lang w:val="en-US" w:eastAsia="zh-CN"/>
        </w:rPr>
        <w:t>11.97</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eastAsia" w:ascii="仿宋_GB2312" w:hAnsi="黑体" w:eastAsia="仿宋_GB2312"/>
          <w:color w:val="auto"/>
          <w:sz w:val="32"/>
          <w:szCs w:val="32"/>
          <w:lang w:eastAsia="zh-CN"/>
        </w:rPr>
        <w:t>中共三亚市海棠区委宣传部</w:t>
      </w:r>
      <w:r>
        <w:rPr>
          <w:rFonts w:hint="eastAsia" w:ascii="仿宋_GB2312" w:hAnsi="黑体" w:eastAsia="仿宋_GB2312" w:cs="仿宋_GB2312"/>
          <w:color w:val="auto"/>
          <w:sz w:val="32"/>
          <w:szCs w:val="32"/>
        </w:rPr>
        <w:t>本级共有车辆</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辆，其中，领导干部用车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辆，机要通信应急用车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辆、一般执法执勤用车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辆、特种专业技术用车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辆、其他用车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辆。单位价值100万元以上设备</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台（套）。</w:t>
      </w:r>
    </w:p>
    <w:p>
      <w:pPr>
        <w:ind w:firstLine="640" w:firstLineChars="200"/>
        <w:rPr>
          <w:rFonts w:ascii="楷体" w:hAnsi="楷体" w:eastAsia="楷体"/>
          <w:color w:val="auto"/>
          <w:sz w:val="32"/>
          <w:szCs w:val="32"/>
        </w:rPr>
      </w:pPr>
      <w:r>
        <w:rPr>
          <w:rFonts w:hint="eastAsia" w:ascii="楷体" w:hAnsi="楷体" w:eastAsia="楷体"/>
          <w:color w:val="auto"/>
          <w:sz w:val="32"/>
          <w:szCs w:val="32"/>
        </w:rPr>
        <w:t>（四）绩效目标设置情况</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s="仿宋_GB2312"/>
          <w:color w:val="auto"/>
          <w:sz w:val="32"/>
          <w:szCs w:val="32"/>
          <w:lang w:eastAsia="zh-CN"/>
        </w:rPr>
        <w:t>中共三亚市海棠区委宣传部</w:t>
      </w:r>
      <w:r>
        <w:rPr>
          <w:rFonts w:hint="eastAsia" w:ascii="仿宋_GB2312" w:hAnsi="黑体" w:eastAsia="仿宋_GB2312" w:cs="仿宋_GB2312"/>
          <w:color w:val="auto"/>
          <w:sz w:val="32"/>
          <w:szCs w:val="32"/>
          <w:lang w:val="en-US" w:eastAsia="zh-CN"/>
        </w:rPr>
        <w:t>14</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1054.6</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、政府性基金</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lang w:eastAsia="zh-CN"/>
        </w:rPr>
        <w:t>万元</w:t>
      </w:r>
      <w:r>
        <w:rPr>
          <w:rFonts w:hint="eastAsia" w:ascii="仿宋_GB2312" w:hAnsi="黑体" w:eastAsia="仿宋_GB2312"/>
          <w:color w:val="auto"/>
          <w:sz w:val="32"/>
          <w:szCs w:val="32"/>
        </w:rPr>
        <w:t>。</w:t>
      </w:r>
    </w:p>
    <w:p>
      <w:pPr>
        <w:jc w:val="center"/>
        <w:rPr>
          <w:rFonts w:ascii="黑体" w:hAnsi="黑体" w:eastAsia="黑体"/>
          <w:color w:val="auto"/>
          <w:sz w:val="32"/>
          <w:szCs w:val="32"/>
        </w:rPr>
      </w:pPr>
    </w:p>
    <w:p>
      <w:pPr>
        <w:jc w:val="left"/>
        <w:rPr>
          <w:rFonts w:ascii="仿宋_GB2312" w:hAnsi="宋体" w:eastAsia="仿宋_GB2312" w:cs="宋体"/>
          <w:color w:val="auto"/>
          <w:kern w:val="0"/>
          <w:sz w:val="32"/>
          <w:szCs w:val="30"/>
        </w:rPr>
      </w:pPr>
    </w:p>
    <w:p>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pPr>
        <w:ind w:firstLine="640" w:firstLineChars="200"/>
        <w:jc w:val="left"/>
        <w:rPr>
          <w:rFonts w:ascii="仿宋_GB2312" w:eastAsia="仿宋_GB2312" w:cs="宋体"/>
          <w:bCs/>
          <w:color w:val="auto"/>
          <w:kern w:val="0"/>
          <w:sz w:val="32"/>
          <w:szCs w:val="32"/>
          <w:lang w:val="zh-CN"/>
        </w:rPr>
      </w:pP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color w:val="auto"/>
        </w:rPr>
      </w:pPr>
      <w:r>
        <w:rPr>
          <w:rFonts w:hint="eastAsia" w:ascii="仿宋_GB2312" w:hAnsi="宋体" w:eastAsia="仿宋_GB2312" w:cs="宋体"/>
          <w:color w:val="auto"/>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Segoe Print"/>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305EA4"/>
    <w:rsid w:val="0358051C"/>
    <w:rsid w:val="04A409AB"/>
    <w:rsid w:val="073A0127"/>
    <w:rsid w:val="0DA046C6"/>
    <w:rsid w:val="19F61C31"/>
    <w:rsid w:val="23932158"/>
    <w:rsid w:val="276121CD"/>
    <w:rsid w:val="2B04322C"/>
    <w:rsid w:val="2C892A3D"/>
    <w:rsid w:val="448D4D51"/>
    <w:rsid w:val="4C1F2998"/>
    <w:rsid w:val="56507B99"/>
    <w:rsid w:val="5C4C073F"/>
    <w:rsid w:val="60133338"/>
    <w:rsid w:val="611207F1"/>
    <w:rsid w:val="637C5B36"/>
    <w:rsid w:val="64F75D1B"/>
    <w:rsid w:val="6AC369D9"/>
    <w:rsid w:val="6F305DC4"/>
    <w:rsid w:val="70D94E76"/>
    <w:rsid w:val="716F1FDB"/>
    <w:rsid w:val="7C521829"/>
    <w:rsid w:val="7E0242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unhideWhenUsed/>
    <w:qFormat/>
    <w:uiPriority w:val="0"/>
    <w:pPr>
      <w:keepNext/>
      <w:keepLines/>
      <w:spacing w:before="100" w:beforeLines="100" w:after="100" w:afterLines="100" w:line="360" w:lineRule="auto"/>
      <w:ind w:left="0" w:leftChars="0" w:firstLine="0" w:firstLineChars="0"/>
      <w:jc w:val="left"/>
      <w:outlineLvl w:val="1"/>
    </w:pPr>
    <w:rPr>
      <w:rFonts w:ascii="Arial" w:hAnsi="Arial" w:eastAsia="宋体"/>
      <w:b/>
      <w:kern w:val="0"/>
      <w:sz w:val="28"/>
      <w:szCs w:val="20"/>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First Indent"/>
    <w:basedOn w:val="3"/>
    <w:qFormat/>
    <w:uiPriority w:val="0"/>
    <w:pPr>
      <w:ind w:firstLine="420" w:firstLineChars="100"/>
    </w:p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0</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cp:lastPrinted>2026-03-04T09:38:00Z</cp:lastPrinted>
  <dcterms:modified xsi:type="dcterms:W3CDTF">2026-02-26T01:31:21Z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