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ascii="宋体" w:hAnsi="宋体" w:cs="宋体"/>
          <w:sz w:val="52"/>
          <w:szCs w:val="52"/>
          <w:lang w:val="en-US" w:eastAsia="zh-CN"/>
        </w:rPr>
        <w:t>2026年</w:t>
      </w:r>
      <w:r>
        <w:rPr>
          <w:rFonts w:hint="eastAsia"/>
          <w:sz w:val="52"/>
          <w:szCs w:val="52"/>
        </w:rPr>
        <w:t>中共三亚市海棠区委统一战线工作部</w:t>
      </w:r>
      <w:r>
        <w:rPr>
          <w:rFonts w:hint="eastAsia"/>
          <w:sz w:val="52"/>
          <w:szCs w:val="52"/>
          <w:lang w:eastAsia="zh-CN"/>
        </w:rPr>
        <w:t>部门</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中共三亚市海棠区委统一战线工作部</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2026年部门</w:t>
      </w:r>
      <w:r>
        <w:rPr>
          <w:rFonts w:hint="eastAsia" w:ascii="黑体" w:hAnsi="黑体" w:eastAsia="黑体"/>
          <w:sz w:val="32"/>
          <w:szCs w:val="32"/>
        </w:rPr>
        <w:t>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4"/>
        <w:numPr>
          <w:ilvl w:val="0"/>
          <w:numId w:val="0"/>
        </w:numPr>
        <w:ind w:leftChars="0"/>
        <w:jc w:val="left"/>
        <w:rPr>
          <w:rFonts w:ascii="黑体" w:hAnsi="黑体" w:eastAsia="黑体"/>
          <w:sz w:val="32"/>
          <w:szCs w:val="32"/>
        </w:rPr>
      </w:pPr>
      <w:r>
        <w:rPr>
          <w:rFonts w:hint="eastAsia" w:ascii="仿宋_GB2312" w:hAnsi="仿宋_GB2312" w:eastAsia="仿宋_GB2312" w:cs="仿宋_GB2312"/>
          <w:sz w:val="32"/>
          <w:szCs w:val="32"/>
          <w:lang w:eastAsia="zh-CN"/>
        </w:rPr>
        <w:t>十一、</w:t>
      </w: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2026年部门</w:t>
      </w:r>
      <w:r>
        <w:rPr>
          <w:rFonts w:hint="eastAsia" w:ascii="黑体" w:hAnsi="黑体" w:eastAsia="黑体"/>
          <w:sz w:val="32"/>
          <w:szCs w:val="32"/>
        </w:rPr>
        <w:t>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中共三亚市海棠区委统一战线工作部</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（一）统一战线工作部工作职责</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1.调查研究统一战线工作的理论、政策和法律法规，向党委全面反映统一战线工作情况，提出开展统一战线工作的意见和建议，组织协调统一战线工作政策和法律法规的贯彻落实，检查执行情况，协调统一战线工作各方面关系。</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2.负责联系民主党派，牵头协调无党派人士工作，研究贯彻做好民主党派和无党派人士工作的方针政策，支持民主党派和无党派人士履行职责、发挥作用，支持、帮助民主党派和无党派人士加强自身建设。</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3.调查研究党外知识分子的情况，反映意见，协调关系，提出政策建议，联系党外知识分子代表人士。</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4.调查研究民族、宗教工作的理论、方针、政策和法律法规，牵头协调检查落实情况，做好重要工作和重大问题的处理，协调开展马克思主义民族观、宗教观和相关理论、政策的宣传教育，联系少数民族和宗教界的代表人士，会同有关部门做好少数民族干部培养和举荐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5.调查研究非公有制经济人士的情况，协调关系，提出政策建议，团结、服务、引导、教育非公有制经济人士，开展思想政治工作。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6.开展港澳台海外统一战线工作，联系香港、澳门、台湾和海外有关党派、团体及代表人士，会同有关部门对香港、澳门地区统一战线工作方针政策和法律法规进行调查研究，做好台胞、台属有关工作。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7.负责本区党外代表人士的政治安排；会同有关部门做好培养、选拔、推荐党外人士工作；做好党外干部和新社会阶层代表人物队伍的建设工作。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8.指导基层党组织开展统一战线工作；协调政府及有关部门落实对口联系制度及其他统战工作，负责统战工作业务培训。</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9.负责开展统一战线工作宣传工作。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hint="eastAsia" w:ascii="仿宋_GB2312" w:hAnsi="黑体" w:eastAsia="仿宋_GB2312" w:cs="仿宋_GB2312"/>
          <w:sz w:val="32"/>
          <w:szCs w:val="32"/>
        </w:rPr>
      </w:pPr>
      <w:r>
        <w:rPr>
          <w:rFonts w:hint="eastAsia" w:ascii="仿宋_GB2312" w:hAnsi="黑体" w:eastAsia="仿宋_GB2312" w:cs="仿宋_GB2312"/>
          <w:sz w:val="32"/>
          <w:szCs w:val="32"/>
        </w:rPr>
        <w:t>10.承办区委和上级部门交办的其他任务。</w:t>
      </w:r>
    </w:p>
    <w:p>
      <w:pPr>
        <w:pStyle w:val="4"/>
        <w:keepNext w:val="0"/>
        <w:keepLines w:val="0"/>
        <w:pageBreakBefore w:val="0"/>
        <w:widowControl w:val="0"/>
        <w:numPr>
          <w:numId w:val="0"/>
        </w:numPr>
        <w:kinsoku/>
        <w:wordWrap/>
        <w:overflowPunct/>
        <w:topLinePunct w:val="0"/>
        <w:autoSpaceDE/>
        <w:autoSpaceDN/>
        <w:bidi w:val="0"/>
        <w:adjustRightInd/>
        <w:snapToGrid/>
        <w:ind w:leftChars="0" w:firstLine="640" w:firstLineChars="200"/>
        <w:jc w:val="left"/>
        <w:textAlignment w:val="auto"/>
        <w:rPr>
          <w:rFonts w:hint="eastAsia" w:ascii="黑体" w:hAnsi="黑体" w:eastAsia="黑体" w:cs="仿宋_GB2312"/>
          <w:sz w:val="32"/>
          <w:szCs w:val="32"/>
          <w:lang w:eastAsia="zh-CN"/>
        </w:rPr>
      </w:pPr>
      <w:r>
        <w:rPr>
          <w:rFonts w:hint="eastAsia" w:ascii="黑体" w:hAnsi="黑体" w:eastAsia="黑体" w:cs="仿宋_GB2312"/>
          <w:sz w:val="32"/>
          <w:szCs w:val="32"/>
          <w:lang w:eastAsia="zh-CN"/>
        </w:rPr>
        <w:t>二、</w:t>
      </w:r>
      <w:r>
        <w:rPr>
          <w:rFonts w:hint="eastAsia" w:ascii="黑体" w:hAnsi="黑体" w:eastAsia="黑体"/>
          <w:sz w:val="32"/>
          <w:szCs w:val="32"/>
          <w:lang w:eastAsia="zh-CN"/>
        </w:rPr>
        <w:t>部门预算单位构成</w:t>
      </w:r>
    </w:p>
    <w:p>
      <w:p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纳入中共三亚市海棠区委统一战线工作部202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部门</w:t>
      </w:r>
    </w:p>
    <w:p>
      <w:pPr>
        <w:rPr>
          <w:rFonts w:hint="eastAsia" w:ascii="仿宋_GB2312" w:hAnsi="黑体" w:eastAsia="仿宋_GB2312" w:cs="仿宋_GB2312"/>
          <w:sz w:val="32"/>
          <w:szCs w:val="32"/>
        </w:rPr>
      </w:pPr>
      <w:r>
        <w:rPr>
          <w:rFonts w:hint="eastAsia" w:ascii="仿宋_GB2312" w:hAnsi="黑体" w:eastAsia="仿宋_GB2312" w:cs="仿宋_GB2312"/>
          <w:sz w:val="32"/>
          <w:szCs w:val="32"/>
        </w:rPr>
        <w:t>预算编制范围的机构包括：</w:t>
      </w:r>
    </w:p>
    <w:p>
      <w:pPr>
        <w:numPr>
          <w:ilvl w:val="0"/>
          <w:numId w:val="5"/>
        </w:numPr>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中共三亚市海棠区委统一战线工作部</w:t>
      </w:r>
    </w:p>
    <w:p>
      <w:pPr>
        <w:widowControl w:val="0"/>
        <w:numPr>
          <w:numId w:val="0"/>
        </w:numPr>
        <w:jc w:val="both"/>
        <w:rPr>
          <w:rFonts w:hint="eastAsia" w:ascii="仿宋_GB2312" w:hAnsi="黑体" w:eastAsia="仿宋_GB2312" w:cs="仿宋_GB2312"/>
          <w:sz w:val="32"/>
          <w:szCs w:val="32"/>
        </w:rPr>
      </w:pPr>
    </w:p>
    <w:p>
      <w:pPr>
        <w:keepNext w:val="0"/>
        <w:keepLines w:val="0"/>
        <w:pageBreakBefore w:val="0"/>
        <w:widowControl w:val="0"/>
        <w:numPr>
          <w:numId w:val="0"/>
        </w:numPr>
        <w:kinsoku/>
        <w:wordWrap/>
        <w:overflowPunct/>
        <w:topLinePunct w:val="0"/>
        <w:autoSpaceDE/>
        <w:autoSpaceDN/>
        <w:bidi w:val="0"/>
        <w:adjustRightInd/>
        <w:snapToGrid/>
        <w:ind w:firstLine="640" w:firstLineChars="200"/>
        <w:jc w:val="left"/>
        <w:textAlignment w:val="auto"/>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2026年部门</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2026年部门</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w:t>
      </w:r>
      <w:r>
        <w:rPr>
          <w:rFonts w:hint="eastAsia" w:ascii="黑体" w:hAnsi="黑体" w:eastAsia="黑体" w:cs="黑体"/>
          <w:sz w:val="32"/>
          <w:szCs w:val="32"/>
        </w:rPr>
        <w:t>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rPr>
        <w:t>中共三亚市海棠区委统一战线工作部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财政拨款收支总预算</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380.41</w:t>
      </w:r>
      <w:r>
        <w:rPr>
          <w:rFonts w:hint="eastAsia" w:ascii="仿宋_GB2312" w:hAnsi="黑体" w:eastAsia="仿宋_GB2312"/>
          <w:sz w:val="32"/>
          <w:szCs w:val="32"/>
        </w:rPr>
        <w:t>万元、外交支出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万元、国防支出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 社会保障和就业支出</w:t>
      </w:r>
      <w:r>
        <w:rPr>
          <w:rFonts w:hint="eastAsia" w:ascii="仿宋_GB2312" w:hAnsi="黑体" w:eastAsia="仿宋_GB2312"/>
          <w:sz w:val="32"/>
          <w:szCs w:val="32"/>
          <w:lang w:val="en-US" w:eastAsia="zh-CN"/>
        </w:rPr>
        <w:t>13.41万元、 卫生健康支出16.23万元、 住房保障支出8.11万元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w:t>
      </w:r>
      <w:r>
        <w:rPr>
          <w:rFonts w:hint="eastAsia" w:ascii="黑体" w:hAnsi="黑体" w:eastAsia="黑体" w:cs="黑体"/>
          <w:sz w:val="32"/>
          <w:szCs w:val="32"/>
        </w:rPr>
        <w:t>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中共三亚市海棠区委统一战线工作部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一般公共预算当年拨款</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22.72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人员类经费减少。</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380.41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90.97</w:t>
      </w:r>
      <w:r>
        <w:rPr>
          <w:rFonts w:hint="eastAsia" w:ascii="仿宋_GB2312" w:hAnsi="黑体" w:eastAsia="仿宋_GB2312"/>
          <w:sz w:val="32"/>
          <w:szCs w:val="32"/>
        </w:rPr>
        <w:t>%；</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lang w:val="en-US" w:eastAsia="zh-CN"/>
        </w:rPr>
        <w:t>（类）</w:t>
      </w:r>
      <w:r>
        <w:rPr>
          <w:rFonts w:hint="eastAsia" w:ascii="仿宋_GB2312" w:hAnsi="黑体" w:eastAsia="仿宋_GB2312"/>
          <w:sz w:val="32"/>
          <w:szCs w:val="32"/>
          <w:lang w:eastAsia="zh-CN"/>
        </w:rPr>
        <w:t>支出</w:t>
      </w:r>
      <w:r>
        <w:rPr>
          <w:rFonts w:hint="eastAsia" w:ascii="仿宋_GB2312" w:hAnsi="黑体" w:eastAsia="仿宋_GB2312"/>
          <w:sz w:val="32"/>
          <w:szCs w:val="32"/>
          <w:lang w:val="en-US" w:eastAsia="zh-CN"/>
        </w:rPr>
        <w:t>13.41万元，占3.21%；卫生健康（类）支出16.23万元，占3.88%；住房保障（类）支出8.11万元，占1.94</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cs="仿宋_GB2312"/>
          <w:sz w:val="32"/>
          <w:szCs w:val="32"/>
        </w:rPr>
        <w:t>1.一般公共服务（类）统战事务（款）行政运行（项）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79.41</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9.93</w:t>
      </w:r>
      <w:r>
        <w:rPr>
          <w:rFonts w:hint="eastAsia" w:ascii="仿宋_GB2312" w:hAnsi="黑体" w:eastAsia="仿宋_GB2312"/>
          <w:sz w:val="32"/>
          <w:szCs w:val="32"/>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人员变动有所减少。</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2.</w:t>
      </w:r>
      <w:r>
        <w:rPr>
          <w:rFonts w:hint="eastAsia" w:ascii="仿宋_GB2312" w:hAnsi="黑体" w:eastAsia="仿宋_GB2312" w:cs="仿宋_GB2312"/>
          <w:sz w:val="32"/>
          <w:szCs w:val="32"/>
          <w:highlight w:val="none"/>
        </w:rPr>
        <w:t xml:space="preserve"> 一般公共服务（类）</w:t>
      </w:r>
      <w:r>
        <w:rPr>
          <w:rFonts w:hint="eastAsia" w:ascii="仿宋_GB2312" w:hAnsi="黑体" w:eastAsia="仿宋_GB2312" w:cs="仿宋_GB2312"/>
          <w:sz w:val="32"/>
          <w:szCs w:val="32"/>
          <w:highlight w:val="none"/>
          <w:lang w:eastAsia="zh-CN"/>
        </w:rPr>
        <w:t>统战</w:t>
      </w:r>
      <w:r>
        <w:rPr>
          <w:rFonts w:hint="eastAsia" w:ascii="仿宋_GB2312" w:hAnsi="黑体" w:eastAsia="仿宋_GB2312" w:cs="仿宋_GB2312"/>
          <w:sz w:val="32"/>
          <w:szCs w:val="32"/>
          <w:highlight w:val="none"/>
        </w:rPr>
        <w:t>事务（款）一般行政管理事务（项）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291.00</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rPr>
        <w:t>减少</w:t>
      </w:r>
      <w:r>
        <w:rPr>
          <w:rFonts w:hint="eastAsia" w:ascii="仿宋_GB2312" w:hAnsi="黑体" w:eastAsia="仿宋_GB2312" w:cs="仿宋_GB2312"/>
          <w:sz w:val="32"/>
          <w:szCs w:val="32"/>
          <w:highlight w:val="none"/>
          <w:lang w:val="en-US" w:eastAsia="zh-CN"/>
        </w:rPr>
        <w:t>14</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厉行节约，控制一般性支出。</w:t>
      </w:r>
      <w:bookmarkStart w:id="0" w:name="_GoBack"/>
      <w:bookmarkEnd w:id="0"/>
    </w:p>
    <w:p>
      <w:pPr>
        <w:ind w:firstLine="64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3. 一般公共服务（类）统战事务（款）华侨事务（项）2026年预算数为10.00万元，比上年预算数持平，主要是项目预算支出持平。</w:t>
      </w:r>
    </w:p>
    <w:p>
      <w:pPr>
        <w:ind w:firstLine="64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4. 社会保障和就业支出（类）行政事业单位养老支出（款）机关事业单位基本养老保险缴费支出（项）2026年预算数为8.94万元，比上年预算数减少1.19万元，主要是人员变动。</w:t>
      </w:r>
    </w:p>
    <w:p>
      <w:pPr>
        <w:ind w:firstLine="64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5.社会保障和就业支出（类）行政事业单位养老支出（款）机关事业单位职业年金缴费支出（项）2026年预算数为4.47万元，比上年预算数减少0.6万元，主要是人员变动。</w:t>
      </w:r>
    </w:p>
    <w:p>
      <w:pPr>
        <w:ind w:firstLine="64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6.卫生健康支出（类）行政事业单位医疗（款）行政单位医疗（项）2026年预算数为3.47万元，比上年预算数减少0.74万元，主要是人员变动。</w:t>
      </w:r>
    </w:p>
    <w:p>
      <w:pPr>
        <w:ind w:firstLine="64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7.卫生健康支出（类）行政事业单位医疗（款）公务员医疗补助（项）2026年预算数为12.76万元，比上年预算数增加4.97万元，主要是发放退休人员公补。</w:t>
      </w:r>
    </w:p>
    <w:p>
      <w:pPr>
        <w:ind w:firstLine="64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8.住房保障支出（类）住房改革支出（款）住房公积金（项）2026年预算数为8.11万元，比上年预算数减少1.23万元，主要是人员变动。</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w:t>
      </w:r>
      <w:r>
        <w:rPr>
          <w:rFonts w:hint="eastAsia" w:ascii="黑体" w:hAnsi="黑体" w:eastAsia="黑体" w:cs="黑体"/>
          <w:sz w:val="32"/>
          <w:szCs w:val="32"/>
        </w:rPr>
        <w:t>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中共三亚市海棠区委统一战线工作部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一般公共预算基本支出为</w:t>
      </w:r>
      <w:r>
        <w:rPr>
          <w:rFonts w:hint="eastAsia" w:ascii="仿宋_GB2312" w:hAnsi="黑体" w:eastAsia="仿宋_GB2312" w:cs="仿宋_GB2312"/>
          <w:sz w:val="32"/>
          <w:szCs w:val="32"/>
          <w:lang w:val="en-US" w:eastAsia="zh-CN"/>
        </w:rPr>
        <w:t>117.16</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108.79</w:t>
      </w:r>
      <w:r>
        <w:rPr>
          <w:rFonts w:hint="eastAsia" w:ascii="仿宋_GB2312" w:hAnsi="黑体" w:eastAsia="仿宋_GB2312"/>
          <w:sz w:val="32"/>
          <w:szCs w:val="32"/>
        </w:rPr>
        <w:t>万元，主要包括：基本工资、津贴补贴、奖金、社会保障缴费;</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8.36</w:t>
      </w:r>
      <w:r>
        <w:rPr>
          <w:rFonts w:hint="eastAsia" w:ascii="仿宋_GB2312" w:hAnsi="黑体" w:eastAsia="仿宋_GB2312"/>
          <w:sz w:val="32"/>
          <w:szCs w:val="32"/>
        </w:rPr>
        <w:t>万元，主要包括：办公费、咨询费、手续费、水费、电费。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w:t>
      </w:r>
      <w:r>
        <w:rPr>
          <w:rFonts w:hint="eastAsia" w:ascii="黑体" w:hAnsi="黑体" w:eastAsia="黑体" w:cs="黑体"/>
          <w:sz w:val="32"/>
          <w:shd w:val="clear" w:color="auto" w:fill="FFFFFF"/>
        </w:rPr>
        <w:t>“三公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（一）中共三亚市海棠区委统一战线工作部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一般公共预算“三公”经费预算数为</w:t>
      </w:r>
      <w:r>
        <w:rPr>
          <w:rFonts w:hint="eastAsia" w:ascii="仿宋_GB2312" w:hAnsi="黑体" w:eastAsia="仿宋_GB2312" w:cs="仿宋_GB2312"/>
          <w:sz w:val="32"/>
          <w:szCs w:val="32"/>
          <w:lang w:val="en-US" w:eastAsia="zh-CN"/>
        </w:rPr>
        <w:t>3.37</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1.50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年预算持平。根据（如外事部门等）安排的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1.87</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1.87</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（二）中共三亚市海棠区委统一战线工作部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年预算持平。根据（如外事部门等）安排的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公务车保有量</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人</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中共三亚市海棠区委统一战线工作部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无</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无</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无</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按照综合预算原则，中共三亚市海棠区委统一战线工作部所有收入和支出均纳入部门预算管理。收入包括：一般公共预算收入、政府性基金收入、其他财政资金收入、事业收入</w:t>
      </w:r>
      <w:r>
        <w:rPr>
          <w:rFonts w:hint="eastAsia" w:ascii="仿宋_GB2312" w:hAnsi="黑体" w:eastAsia="仿宋_GB2312"/>
          <w:sz w:val="32"/>
          <w:szCs w:val="32"/>
        </w:rPr>
        <w:t>；支出包括：一般公共服务支出、社会保障和就业支出、</w:t>
      </w:r>
      <w:r>
        <w:rPr>
          <w:rFonts w:hint="eastAsia" w:ascii="仿宋_GB2312" w:hAnsi="黑体" w:eastAsia="仿宋_GB2312"/>
          <w:sz w:val="32"/>
          <w:szCs w:val="32"/>
          <w:lang w:val="en-US" w:eastAsia="zh-CN"/>
        </w:rPr>
        <w:t>卫生健康支出、住房保障支出</w:t>
      </w:r>
      <w:r>
        <w:rPr>
          <w:rFonts w:hint="eastAsia" w:ascii="仿宋_GB2312" w:hAnsi="黑体" w:eastAsia="仿宋_GB2312"/>
          <w:sz w:val="32"/>
          <w:szCs w:val="32"/>
        </w:rPr>
        <w:t>。</w:t>
      </w:r>
      <w:r>
        <w:rPr>
          <w:rFonts w:hint="eastAsia" w:ascii="仿宋_GB2312" w:hAnsi="黑体" w:eastAsia="仿宋_GB2312" w:cs="仿宋_GB2312"/>
          <w:sz w:val="32"/>
          <w:szCs w:val="32"/>
        </w:rPr>
        <w:t>中共三亚市海棠区委统一战线工作部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收支总预算</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收入预算情况说明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中共三亚市海棠区委统一战线工作部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收入预算</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22.72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人员变动</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黑体"/>
          <w:sz w:val="32"/>
          <w:szCs w:val="32"/>
        </w:rPr>
        <w:t>中共三亚市海棠区委统一战线工作部</w:t>
      </w:r>
      <w:r>
        <w:rPr>
          <w:rFonts w:hint="eastAsia" w:ascii="黑体" w:hAnsi="黑体" w:eastAsia="黑体" w:cs="黑体"/>
          <w:sz w:val="32"/>
          <w:szCs w:val="32"/>
          <w:lang w:val="en-US" w:eastAsia="zh-CN"/>
        </w:rPr>
        <w:t>2026年</w:t>
      </w:r>
      <w:r>
        <w:rPr>
          <w:rFonts w:hint="eastAsia" w:ascii="黑体" w:hAnsi="黑体" w:eastAsia="黑体" w:cs="Times New Roman"/>
          <w:sz w:val="32"/>
          <w:shd w:val="clear" w:color="auto" w:fill="FFFFFF"/>
        </w:rPr>
        <w:t>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中共三亚市海棠区委统一战线工作部</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支出预算</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117.16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28.02</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301.00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71.98</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减少</w:t>
      </w:r>
      <w:r>
        <w:rPr>
          <w:rFonts w:hint="eastAsia" w:ascii="仿宋_GB2312" w:hAnsi="黑体" w:eastAsia="仿宋_GB2312" w:cs="仿宋_GB2312"/>
          <w:sz w:val="32"/>
          <w:szCs w:val="32"/>
          <w:lang w:val="en-US" w:eastAsia="zh-CN"/>
        </w:rPr>
        <w:t>22.72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人员变动</w:t>
      </w:r>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154.74</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15.82万元</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r>
        <w:rPr>
          <w:rFonts w:hint="eastAsia" w:ascii="楷体" w:hAnsi="楷体" w:eastAsia="楷体"/>
          <w:sz w:val="32"/>
          <w:szCs w:val="32"/>
          <w:lang w:val="en-US" w:eastAsia="zh-CN"/>
        </w:rPr>
        <w:t>（</w:t>
      </w:r>
      <w:r>
        <w:rPr>
          <w:rFonts w:hint="eastAsia" w:ascii="楷体" w:hAnsi="楷体" w:eastAsia="楷体"/>
          <w:sz w:val="32"/>
          <w:szCs w:val="32"/>
        </w:rPr>
        <w:t>行政单位</w:t>
      </w:r>
      <w:r>
        <w:rPr>
          <w:rFonts w:hint="eastAsia" w:ascii="楷体" w:hAnsi="楷体" w:eastAsia="楷体"/>
          <w:sz w:val="32"/>
          <w:szCs w:val="32"/>
          <w:lang w:eastAsia="zh-CN"/>
        </w:rPr>
        <w:t>、</w:t>
      </w:r>
      <w:r>
        <w:rPr>
          <w:rFonts w:hint="eastAsia" w:ascii="楷体" w:hAnsi="楷体" w:eastAsia="楷体"/>
          <w:sz w:val="32"/>
          <w:szCs w:val="32"/>
        </w:rPr>
        <w:t>参照公务员法管理的事业单位</w:t>
      </w:r>
      <w:r>
        <w:rPr>
          <w:rFonts w:hint="eastAsia" w:ascii="楷体" w:hAnsi="楷体" w:eastAsia="楷体"/>
          <w:sz w:val="32"/>
          <w:szCs w:val="32"/>
          <w:lang w:eastAsia="zh-CN"/>
        </w:rPr>
        <w:t>需说明，其他单位不需要说明</w:t>
      </w:r>
      <w:r>
        <w:rPr>
          <w:rFonts w:hint="eastAsia" w:ascii="楷体" w:hAnsi="楷体" w:eastAsia="楷体"/>
          <w:sz w:val="32"/>
          <w:szCs w:val="32"/>
          <w:lang w:val="en-US" w:eastAsia="zh-CN"/>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中共三亚市海棠区委统一战线工作部的机关运行经费预算</w:t>
      </w:r>
      <w:r>
        <w:rPr>
          <w:rFonts w:hint="eastAsia" w:ascii="仿宋_GB2312" w:hAnsi="黑体" w:eastAsia="仿宋_GB2312" w:cs="仿宋_GB2312"/>
          <w:sz w:val="32"/>
          <w:szCs w:val="32"/>
          <w:lang w:val="en-US" w:eastAsia="zh-CN"/>
        </w:rPr>
        <w:t>8.36</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中共三亚市海棠区委统一战线工作部政府采购预算总额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rPr>
        <w:t>中共三亚市海棠区委统一战线工作部共有车辆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2026年</w:t>
      </w:r>
      <w:r>
        <w:rPr>
          <w:rFonts w:hint="eastAsia" w:ascii="仿宋_GB2312" w:hAnsi="黑体" w:eastAsia="仿宋_GB2312" w:cs="仿宋_GB2312"/>
          <w:sz w:val="32"/>
          <w:szCs w:val="32"/>
        </w:rPr>
        <w:t>中共三亚市海棠区委统一战线工作部</w:t>
      </w:r>
      <w:r>
        <w:rPr>
          <w:rFonts w:hint="eastAsia" w:ascii="仿宋_GB2312" w:hAnsi="黑体" w:eastAsia="仿宋_GB2312" w:cs="仿宋_GB2312"/>
          <w:sz w:val="32"/>
          <w:szCs w:val="32"/>
          <w:lang w:val="en-US" w:eastAsia="zh-CN"/>
        </w:rPr>
        <w:t>16</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418.16</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BAC548"/>
    <w:multiLevelType w:val="singleLevel"/>
    <w:tmpl w:val="A9BAC548"/>
    <w:lvl w:ilvl="0" w:tentative="0">
      <w:start w:val="1"/>
      <w:numFmt w:val="decimal"/>
      <w:lvlText w:val="%1."/>
      <w:lvlJc w:val="left"/>
      <w:pPr>
        <w:tabs>
          <w:tab w:val="left" w:pos="312"/>
        </w:tabs>
      </w:p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1214EEB"/>
    <w:rsid w:val="14A838BA"/>
    <w:rsid w:val="16F04D4B"/>
    <w:rsid w:val="1BAE6F47"/>
    <w:rsid w:val="2122236C"/>
    <w:rsid w:val="220E4744"/>
    <w:rsid w:val="27A45160"/>
    <w:rsid w:val="30417CA5"/>
    <w:rsid w:val="3D471464"/>
    <w:rsid w:val="448D4D51"/>
    <w:rsid w:val="4E4101D9"/>
    <w:rsid w:val="506926EF"/>
    <w:rsid w:val="508F103B"/>
    <w:rsid w:val="5AED1266"/>
    <w:rsid w:val="61FC4B9F"/>
    <w:rsid w:val="644545DB"/>
    <w:rsid w:val="651C1525"/>
    <w:rsid w:val="69B66030"/>
    <w:rsid w:val="77312996"/>
    <w:rsid w:val="7ADF2F5E"/>
    <w:rsid w:val="7D575BB5"/>
    <w:rsid w:val="7F115529"/>
    <w:rsid w:val="7FC426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3580</Words>
  <Characters>3729</Characters>
  <Lines>0</Lines>
  <Paragraphs>0</Paragraphs>
  <TotalTime>24</TotalTime>
  <ScaleCrop>false</ScaleCrop>
  <LinksUpToDate>false</LinksUpToDate>
  <CharactersWithSpaces>3758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2026-02-10T08:49:20Z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E44246760B3449D6B6D3A65065F59043_13</vt:lpwstr>
  </property>
</Properties>
</file>