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bookmarkStart w:id="0" w:name="_GoBack"/>
      <w:bookmarkEnd w:id="0"/>
    </w:p>
    <w:p>
      <w:pPr>
        <w:rPr>
          <w:sz w:val="84"/>
          <w:szCs w:val="84"/>
          <w:u w:val="single"/>
        </w:rPr>
      </w:pPr>
    </w:p>
    <w:p>
      <w:pPr>
        <w:jc w:val="center"/>
        <w:rPr>
          <w:sz w:val="52"/>
          <w:szCs w:val="52"/>
        </w:rPr>
      </w:pPr>
      <w:r>
        <w:rPr>
          <w:rFonts w:hint="eastAsia" w:ascii="宋体" w:hAnsi="宋体" w:cs="宋体"/>
          <w:sz w:val="52"/>
          <w:szCs w:val="52"/>
        </w:rPr>
        <w:t>2026年</w:t>
      </w:r>
      <w:r>
        <w:rPr>
          <w:rFonts w:hint="eastAsia"/>
          <w:sz w:val="52"/>
          <w:szCs w:val="52"/>
        </w:rPr>
        <w:t>中共三亚市海棠区委政法</w:t>
      </w:r>
    </w:p>
    <w:p>
      <w:pPr>
        <w:jc w:val="center"/>
        <w:rPr>
          <w:sz w:val="52"/>
          <w:szCs w:val="52"/>
        </w:rPr>
      </w:pPr>
      <w:r>
        <w:rPr>
          <w:rFonts w:hint="eastAsia"/>
          <w:sz w:val="52"/>
          <w:szCs w:val="52"/>
        </w:rPr>
        <w:t>委员会部门预算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中共三亚市海棠区委政法委员会概况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部门预算单位构成</w:t>
      </w:r>
    </w:p>
    <w:p>
      <w:pPr>
        <w:pStyle w:val="7"/>
        <w:numPr>
          <w:ilvl w:val="0"/>
          <w:numId w:val="1"/>
        </w:numPr>
        <w:ind w:firstLineChars="0"/>
        <w:rPr>
          <w:rFonts w:ascii="黑体" w:hAnsi="黑体" w:eastAsia="黑体"/>
          <w:sz w:val="32"/>
          <w:szCs w:val="32"/>
        </w:rPr>
      </w:pPr>
      <w:r>
        <w:rPr>
          <w:rFonts w:hint="eastAsia" w:ascii="黑体" w:hAnsi="黑体" w:eastAsia="黑体"/>
          <w:sz w:val="32"/>
          <w:szCs w:val="32"/>
        </w:rPr>
        <w:t xml:space="preserve">  中共三亚市海棠区委政法委员会2026年</w:t>
      </w:r>
      <w:r>
        <w:rPr>
          <w:rFonts w:hint="eastAsia" w:ascii="黑体" w:hAnsi="黑体" w:eastAsia="黑体"/>
          <w:sz w:val="32"/>
          <w:szCs w:val="32"/>
          <w:lang w:eastAsia="zh-CN"/>
        </w:rPr>
        <w:t>部门</w:t>
      </w:r>
      <w:r>
        <w:rPr>
          <w:rFonts w:hint="eastAsia" w:ascii="黑体" w:hAnsi="黑体" w:eastAsia="黑体"/>
          <w:sz w:val="32"/>
          <w:szCs w:val="32"/>
        </w:rPr>
        <w:t>预</w:t>
      </w:r>
    </w:p>
    <w:p>
      <w:pPr>
        <w:pStyle w:val="7"/>
        <w:ind w:left="1320" w:firstLine="320" w:firstLineChars="100"/>
        <w:rPr>
          <w:rFonts w:ascii="黑体" w:hAnsi="黑体" w:eastAsia="黑体"/>
          <w:sz w:val="32"/>
          <w:szCs w:val="32"/>
        </w:rPr>
      </w:pPr>
      <w:r>
        <w:rPr>
          <w:rFonts w:hint="eastAsia" w:ascii="黑体" w:hAnsi="黑体" w:eastAsia="黑体"/>
          <w:sz w:val="32"/>
          <w:szCs w:val="32"/>
        </w:rPr>
        <w:t>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单位支出总表</w:t>
      </w:r>
    </w:p>
    <w:p>
      <w:pPr>
        <w:pStyle w:val="7"/>
        <w:ind w:firstLine="0" w:firstLineChars="0"/>
        <w:jc w:val="left"/>
        <w:rPr>
          <w:rFonts w:ascii="黑体" w:hAnsi="黑体" w:eastAsia="黑体"/>
          <w:sz w:val="32"/>
          <w:szCs w:val="32"/>
        </w:rPr>
      </w:pPr>
      <w:r>
        <w:rPr>
          <w:rFonts w:hint="eastAsia" w:ascii="仿宋_GB2312" w:hAnsi="仿宋_GB2312" w:eastAsia="仿宋_GB2312" w:cs="仿宋_GB2312"/>
          <w:sz w:val="32"/>
          <w:szCs w:val="32"/>
        </w:rPr>
        <w:t>十一、项目支出绩效信息表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中共三亚市海棠区委政法委员会2026年</w:t>
      </w:r>
      <w:r>
        <w:rPr>
          <w:rFonts w:hint="eastAsia" w:ascii="黑体" w:hAnsi="黑体" w:eastAsia="黑体"/>
          <w:sz w:val="32"/>
          <w:szCs w:val="32"/>
          <w:lang w:eastAsia="zh-CN"/>
        </w:rPr>
        <w:t>部门</w:t>
      </w:r>
      <w:r>
        <w:rPr>
          <w:rFonts w:hint="eastAsia" w:ascii="黑体" w:hAnsi="黑体" w:eastAsia="黑体"/>
          <w:sz w:val="32"/>
          <w:szCs w:val="32"/>
        </w:rPr>
        <w:t>预</w:t>
      </w:r>
    </w:p>
    <w:p>
      <w:pPr>
        <w:pStyle w:val="7"/>
        <w:ind w:left="1320" w:firstLine="320" w:firstLineChars="100"/>
        <w:jc w:val="left"/>
        <w:rPr>
          <w:rFonts w:ascii="仿宋_GB2312" w:hAnsi="仿宋_GB2312" w:eastAsia="仿宋_GB2312" w:cs="仿宋_GB2312"/>
          <w:sz w:val="32"/>
          <w:szCs w:val="32"/>
        </w:rPr>
      </w:pPr>
      <w:r>
        <w:rPr>
          <w:rFonts w:hint="eastAsia" w:ascii="黑体" w:hAnsi="黑体" w:eastAsia="黑体"/>
          <w:sz w:val="32"/>
          <w:szCs w:val="32"/>
        </w:rPr>
        <w:t>算情况说明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7"/>
        <w:ind w:left="1320" w:firstLine="0" w:firstLineChars="0"/>
        <w:jc w:val="left"/>
        <w:rPr>
          <w:rFonts w:ascii="仿宋_GB2312" w:hAnsi="仿宋_GB2312" w:eastAsia="仿宋_GB2312" w:cs="仿宋_GB2312"/>
          <w:sz w:val="32"/>
          <w:szCs w:val="32"/>
        </w:rPr>
      </w:pPr>
    </w:p>
    <w:p>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中共三亚市海棠区委政法委员会概况</w:t>
      </w:r>
    </w:p>
    <w:p>
      <w:pPr>
        <w:jc w:val="left"/>
        <w:rPr>
          <w:rFonts w:ascii="仿宋_GB2312" w:hAnsi="仿宋_GB2312" w:eastAsia="仿宋_GB2312" w:cs="仿宋_GB2312"/>
          <w:sz w:val="32"/>
          <w:szCs w:val="32"/>
        </w:rPr>
      </w:pPr>
    </w:p>
    <w:p>
      <w:pPr>
        <w:pStyle w:val="7"/>
        <w:ind w:firstLine="640"/>
        <w:jc w:val="left"/>
        <w:rPr>
          <w:rFonts w:ascii="黑体" w:hAnsi="黑体" w:eastAsia="黑体" w:cs="仿宋_GB2312"/>
          <w:sz w:val="32"/>
          <w:szCs w:val="32"/>
        </w:rPr>
      </w:pPr>
      <w:r>
        <w:rPr>
          <w:rFonts w:hint="eastAsia" w:ascii="黑体" w:hAnsi="黑体" w:eastAsia="黑体" w:cs="仿宋_GB2312"/>
          <w:sz w:val="32"/>
          <w:szCs w:val="32"/>
        </w:rPr>
        <w:t>一、主要职能</w:t>
      </w:r>
    </w:p>
    <w:p>
      <w:pPr>
        <w:pStyle w:val="10"/>
        <w:shd w:val="clear" w:color="auto" w:fill="FFFFFF"/>
        <w:spacing w:before="0" w:beforeAutospacing="0" w:after="0" w:afterAutospacing="0" w:line="560" w:lineRule="exact"/>
        <w:ind w:firstLine="640" w:firstLineChars="200"/>
        <w:jc w:val="both"/>
        <w:rPr>
          <w:shd w:val="clear" w:color="auto" w:fill="FFFFFF"/>
        </w:rPr>
      </w:pPr>
      <w:r>
        <w:rPr>
          <w:rFonts w:hint="eastAsia" w:ascii="仿宋_GB2312" w:hAnsi="仿宋" w:eastAsia="仿宋_GB2312"/>
          <w:color w:val="333333"/>
          <w:kern w:val="2"/>
          <w:sz w:val="32"/>
          <w:szCs w:val="32"/>
          <w:shd w:val="clear" w:color="auto" w:fill="FFFFFF"/>
        </w:rPr>
        <w:t>中共三亚市海棠区委政法委员会为主管全区政法、社会治安综合治理、维稳、反邪教等工作的区委工作部门。具体职责为：</w:t>
      </w:r>
    </w:p>
    <w:p>
      <w:pPr>
        <w:pStyle w:val="10"/>
        <w:shd w:val="clear" w:color="auto" w:fill="FFFFFF"/>
        <w:spacing w:before="0" w:beforeAutospacing="0" w:after="0" w:afterAutospacing="0" w:line="560" w:lineRule="exact"/>
        <w:ind w:firstLine="640" w:firstLineChars="200"/>
        <w:jc w:val="both"/>
        <w:rPr>
          <w:shd w:val="clear" w:color="auto" w:fill="FFFFFF"/>
        </w:rPr>
      </w:pPr>
      <w:r>
        <w:rPr>
          <w:rFonts w:hint="eastAsia" w:ascii="仿宋_GB2312" w:hAnsi="仿宋" w:eastAsia="仿宋_GB2312"/>
          <w:color w:val="333333"/>
          <w:kern w:val="2"/>
          <w:sz w:val="32"/>
          <w:szCs w:val="32"/>
          <w:shd w:val="clear" w:color="auto" w:fill="FFFFFF"/>
        </w:rPr>
        <w:t>（一）贯彻执行中央及省、市有关政法工作的方针、政策，依法拟定并组织实施本区政法、社会治安综合治理、维稳、反邪教工作规划和措施。</w:t>
      </w:r>
    </w:p>
    <w:p>
      <w:pPr>
        <w:pStyle w:val="10"/>
        <w:shd w:val="clear" w:color="auto" w:fill="FFFFFF"/>
        <w:spacing w:before="0" w:beforeAutospacing="0" w:after="0" w:afterAutospacing="0" w:line="560" w:lineRule="exact"/>
        <w:ind w:firstLine="640" w:firstLineChars="200"/>
        <w:jc w:val="both"/>
        <w:rPr>
          <w:shd w:val="clear" w:color="auto" w:fill="FFFFFF"/>
        </w:rPr>
      </w:pPr>
      <w:r>
        <w:rPr>
          <w:rFonts w:hint="eastAsia" w:ascii="仿宋_GB2312" w:hAnsi="仿宋" w:eastAsia="仿宋_GB2312"/>
          <w:color w:val="333333"/>
          <w:kern w:val="2"/>
          <w:sz w:val="32"/>
          <w:szCs w:val="32"/>
          <w:shd w:val="clear" w:color="auto" w:fill="FFFFFF"/>
        </w:rPr>
        <w:t>（二）监督指导各基层政法部门依法行使职权，并协调其相互制约配合；协助纪委监察部门指导各政法部门党风廉政建设和查处政法部门工作人员违法违纪案件。</w:t>
      </w:r>
    </w:p>
    <w:p>
      <w:pPr>
        <w:pStyle w:val="10"/>
        <w:shd w:val="clear" w:color="auto" w:fill="FFFFFF"/>
        <w:spacing w:before="0" w:beforeAutospacing="0" w:after="0" w:afterAutospacing="0" w:line="560" w:lineRule="exact"/>
        <w:ind w:firstLine="640" w:firstLineChars="200"/>
        <w:jc w:val="both"/>
        <w:rPr>
          <w:shd w:val="clear" w:color="auto" w:fill="FFFFFF"/>
        </w:rPr>
      </w:pPr>
      <w:r>
        <w:rPr>
          <w:rFonts w:hint="eastAsia" w:ascii="仿宋_GB2312" w:hAnsi="仿宋" w:eastAsia="仿宋_GB2312"/>
          <w:color w:val="333333"/>
          <w:kern w:val="2"/>
          <w:sz w:val="32"/>
          <w:szCs w:val="32"/>
          <w:shd w:val="clear" w:color="auto" w:fill="FFFFFF"/>
        </w:rPr>
        <w:t>（三）组织协调和指导本区维护稳定工作。</w:t>
      </w:r>
    </w:p>
    <w:p>
      <w:pPr>
        <w:pStyle w:val="10"/>
        <w:shd w:val="clear" w:color="auto" w:fill="FFFFFF"/>
        <w:spacing w:before="0" w:beforeAutospacing="0" w:after="0" w:afterAutospacing="0" w:line="560" w:lineRule="exact"/>
        <w:ind w:firstLine="640" w:firstLineChars="200"/>
        <w:jc w:val="both"/>
        <w:rPr>
          <w:shd w:val="clear" w:color="auto" w:fill="FFFFFF"/>
        </w:rPr>
      </w:pPr>
      <w:r>
        <w:rPr>
          <w:rFonts w:hint="eastAsia" w:ascii="仿宋_GB2312" w:hAnsi="仿宋" w:eastAsia="仿宋_GB2312"/>
          <w:color w:val="333333"/>
          <w:kern w:val="2"/>
          <w:sz w:val="32"/>
          <w:szCs w:val="32"/>
          <w:shd w:val="clear" w:color="auto" w:fill="FFFFFF"/>
        </w:rPr>
        <w:t>（四）负责督导检查和考核验收本区所属居委会、村委会、各部门开展社会治理工作情况；负责协调推动、总结推广本区的社会治安综合管理工作。</w:t>
      </w:r>
    </w:p>
    <w:p>
      <w:pPr>
        <w:pStyle w:val="10"/>
        <w:shd w:val="clear" w:color="auto" w:fill="FFFFFF"/>
        <w:spacing w:before="0" w:beforeAutospacing="0" w:after="0" w:afterAutospacing="0" w:line="560" w:lineRule="exact"/>
        <w:ind w:firstLine="640" w:firstLineChars="200"/>
        <w:jc w:val="both"/>
        <w:rPr>
          <w:shd w:val="clear" w:color="auto" w:fill="FFFFFF"/>
        </w:rPr>
      </w:pPr>
      <w:r>
        <w:rPr>
          <w:rFonts w:hint="eastAsia" w:ascii="仿宋_GB2312" w:hAnsi="仿宋" w:eastAsia="仿宋_GB2312"/>
          <w:color w:val="333333"/>
          <w:kern w:val="2"/>
          <w:sz w:val="32"/>
          <w:szCs w:val="32"/>
          <w:shd w:val="clear" w:color="auto" w:fill="FFFFFF"/>
        </w:rPr>
        <w:t>（五）负责防范和处理邪教问题的有关工作。</w:t>
      </w:r>
    </w:p>
    <w:p>
      <w:pPr>
        <w:pStyle w:val="10"/>
        <w:shd w:val="clear" w:color="auto" w:fill="FFFFFF"/>
        <w:spacing w:before="0" w:beforeAutospacing="0" w:after="0" w:afterAutospacing="0" w:line="560" w:lineRule="exact"/>
        <w:ind w:firstLine="640" w:firstLineChars="200"/>
        <w:jc w:val="both"/>
        <w:rPr>
          <w:rFonts w:hint="eastAsia" w:ascii="仿宋_GB2312" w:hAnsi="ˎ̥" w:eastAsia="仿宋_GB2312"/>
          <w:sz w:val="32"/>
          <w:szCs w:val="32"/>
          <w:shd w:val="clear" w:color="auto" w:fill="FFFFFF"/>
        </w:rPr>
      </w:pPr>
      <w:r>
        <w:rPr>
          <w:rFonts w:hint="eastAsia" w:ascii="仿宋_GB2312" w:hAnsi="仿宋" w:eastAsia="仿宋_GB2312"/>
          <w:color w:val="333333"/>
          <w:kern w:val="2"/>
          <w:sz w:val="32"/>
          <w:szCs w:val="32"/>
          <w:shd w:val="clear" w:color="auto" w:fill="FFFFFF"/>
        </w:rPr>
        <w:t>（六）承办区委和上级部门交办的其他工作。</w:t>
      </w:r>
    </w:p>
    <w:p>
      <w:pPr>
        <w:pStyle w:val="7"/>
        <w:ind w:firstLine="640"/>
        <w:jc w:val="left"/>
        <w:rPr>
          <w:rFonts w:ascii="黑体" w:hAnsi="黑体" w:eastAsia="黑体" w:cs="仿宋_GB2312"/>
          <w:sz w:val="32"/>
          <w:szCs w:val="32"/>
        </w:rPr>
      </w:pPr>
      <w:r>
        <w:rPr>
          <w:rFonts w:hint="eastAsia" w:ascii="黑体" w:hAnsi="黑体" w:eastAsia="黑体" w:cs="仿宋_GB2312"/>
          <w:sz w:val="32"/>
          <w:szCs w:val="32"/>
        </w:rPr>
        <w:t>二、部门预算单位构成</w:t>
      </w:r>
    </w:p>
    <w:p>
      <w:pPr>
        <w:pStyle w:val="4"/>
        <w:spacing w:before="0" w:beforeAutospacing="0" w:after="0" w:afterAutospacing="0"/>
        <w:ind w:firstLine="640" w:firstLineChars="200"/>
        <w:rPr>
          <w:rFonts w:ascii="仿宋_GB2312" w:eastAsia="仿宋_GB2312"/>
          <w:color w:val="000000"/>
          <w:sz w:val="32"/>
          <w:szCs w:val="32"/>
        </w:rPr>
      </w:pPr>
      <w:r>
        <w:rPr>
          <w:rFonts w:hint="eastAsia" w:ascii="仿宋_GB2312" w:eastAsia="仿宋_GB2312"/>
          <w:color w:val="000000"/>
          <w:sz w:val="32"/>
          <w:szCs w:val="32"/>
        </w:rPr>
        <w:t>纳入中共三亚市海棠区委政法委员会2026年单位预算编制范围的</w:t>
      </w:r>
      <w:r>
        <w:rPr>
          <w:rFonts w:hint="eastAsia" w:ascii="仿宋_GB2312" w:eastAsia="仿宋_GB2312"/>
          <w:color w:val="000000"/>
          <w:sz w:val="32"/>
          <w:szCs w:val="32"/>
          <w:lang w:eastAsia="zh-CN"/>
        </w:rPr>
        <w:t>二级预算单位包括</w:t>
      </w:r>
      <w:r>
        <w:rPr>
          <w:rFonts w:hint="eastAsia" w:ascii="仿宋_GB2312" w:eastAsia="仿宋_GB2312"/>
          <w:color w:val="000000"/>
          <w:sz w:val="32"/>
          <w:szCs w:val="32"/>
        </w:rPr>
        <w:t>：</w:t>
      </w:r>
    </w:p>
    <w:p>
      <w:pPr>
        <w:pStyle w:val="4"/>
        <w:spacing w:before="0" w:beforeAutospacing="0" w:after="0" w:afterAutospacing="0"/>
        <w:ind w:firstLine="640" w:firstLineChars="200"/>
        <w:rPr>
          <w:rFonts w:ascii="仿宋_GB2312" w:eastAsia="仿宋_GB2312"/>
          <w:color w:val="000000"/>
          <w:sz w:val="32"/>
          <w:szCs w:val="32"/>
        </w:rPr>
      </w:pPr>
      <w:r>
        <w:rPr>
          <w:rFonts w:hint="eastAsia" w:ascii="仿宋_GB2312" w:eastAsia="仿宋_GB2312"/>
          <w:color w:val="000000"/>
          <w:sz w:val="32"/>
          <w:szCs w:val="32"/>
        </w:rPr>
        <w:t>1.中共三亚市海棠区委政法委员会本级；</w:t>
      </w:r>
    </w:p>
    <w:p>
      <w:pPr>
        <w:pStyle w:val="4"/>
        <w:spacing w:before="0" w:beforeAutospacing="0" w:after="0" w:afterAutospacing="0"/>
        <w:ind w:firstLine="640" w:firstLineChars="200"/>
        <w:rPr>
          <w:rFonts w:ascii="仿宋_GB2312" w:eastAsia="仿宋_GB2312"/>
          <w:color w:val="000000"/>
          <w:sz w:val="32"/>
          <w:szCs w:val="32"/>
        </w:rPr>
      </w:pPr>
      <w:r>
        <w:rPr>
          <w:rFonts w:hint="eastAsia" w:ascii="仿宋_GB2312" w:eastAsia="仿宋_GB2312"/>
          <w:color w:val="000000"/>
          <w:sz w:val="32"/>
          <w:szCs w:val="32"/>
        </w:rPr>
        <w:t>2.三亚市海棠区综治中心。</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中共三亚市海棠区委政法委员会2026年</w:t>
      </w:r>
    </w:p>
    <w:p>
      <w:pPr>
        <w:ind w:firstLine="3840" w:firstLineChars="1200"/>
        <w:rPr>
          <w:rFonts w:ascii="黑体" w:hAnsi="黑体" w:eastAsia="黑体"/>
          <w:sz w:val="32"/>
          <w:szCs w:val="32"/>
        </w:rPr>
      </w:pPr>
      <w:r>
        <w:rPr>
          <w:rFonts w:hint="eastAsia" w:ascii="黑体" w:hAnsi="黑体" w:eastAsia="黑体"/>
          <w:sz w:val="32"/>
          <w:szCs w:val="32"/>
        </w:rPr>
        <w:t>部门预算表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部门</w:t>
      </w:r>
      <w:r>
        <w:rPr>
          <w:rFonts w:hint="eastAsia" w:ascii="仿宋_GB2312" w:hAnsi="黑体" w:eastAsia="仿宋_GB2312"/>
          <w:b/>
          <w:sz w:val="32"/>
          <w:szCs w:val="32"/>
        </w:rPr>
        <w:t>预算公开表）</w:t>
      </w:r>
    </w:p>
    <w:p>
      <w:pPr>
        <w:rPr>
          <w:rFonts w:ascii="黑体" w:hAnsi="黑体" w:eastAsia="黑体"/>
          <w:sz w:val="32"/>
          <w:szCs w:val="32"/>
        </w:rPr>
      </w:pPr>
    </w:p>
    <w:p>
      <w:pPr>
        <w:ind w:firstLine="480" w:firstLineChars="150"/>
        <w:jc w:val="center"/>
        <w:rPr>
          <w:rFonts w:ascii="黑体" w:hAnsi="黑体" w:eastAsia="黑体"/>
          <w:sz w:val="32"/>
          <w:szCs w:val="32"/>
        </w:rPr>
      </w:pPr>
      <w:r>
        <w:rPr>
          <w:rFonts w:hint="eastAsia" w:ascii="黑体" w:hAnsi="黑体" w:eastAsia="黑体"/>
          <w:sz w:val="32"/>
          <w:szCs w:val="32"/>
        </w:rPr>
        <w:t xml:space="preserve">第三部分  中共三亚市海棠区委政法委员会2026年部门  </w:t>
      </w:r>
    </w:p>
    <w:p>
      <w:pPr>
        <w:ind w:firstLine="480" w:firstLineChars="150"/>
        <w:jc w:val="center"/>
        <w:rPr>
          <w:rFonts w:ascii="黑体" w:hAnsi="黑体" w:eastAsia="黑体"/>
          <w:sz w:val="32"/>
          <w:szCs w:val="32"/>
        </w:rPr>
      </w:pPr>
      <w:r>
        <w:rPr>
          <w:rFonts w:hint="eastAsia" w:ascii="黑体" w:hAnsi="黑体" w:eastAsia="黑体"/>
          <w:sz w:val="32"/>
          <w:szCs w:val="32"/>
        </w:rPr>
        <w:t xml:space="preserve">    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一、关于中共三亚市海棠区委政法委员会2026年财政拨款收支预算情况的总体说明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中共三亚市海棠区委政法委员会</w:t>
      </w:r>
      <w:r>
        <w:rPr>
          <w:rFonts w:hint="eastAsia" w:ascii="仿宋_GB2312" w:hAnsi="黑体" w:eastAsia="仿宋_GB2312" w:cs="仿宋_GB2312"/>
          <w:sz w:val="32"/>
          <w:szCs w:val="32"/>
        </w:rPr>
        <w:t>2026年</w:t>
      </w:r>
      <w:r>
        <w:rPr>
          <w:rFonts w:hint="eastAsia" w:ascii="仿宋_GB2312" w:hAnsi="黑体" w:eastAsia="仿宋_GB2312"/>
          <w:sz w:val="32"/>
          <w:szCs w:val="32"/>
        </w:rPr>
        <w:t>财政拨款收支总预算</w:t>
      </w:r>
      <w:r>
        <w:rPr>
          <w:rFonts w:hint="eastAsia" w:ascii="仿宋_GB2312" w:hAnsi="黑体" w:eastAsia="仿宋_GB2312" w:cs="仿宋_GB2312"/>
          <w:sz w:val="32"/>
          <w:szCs w:val="32"/>
        </w:rPr>
        <w:t>3008.16</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rPr>
        <w:t>3008.16</w:t>
      </w:r>
      <w:r>
        <w:rPr>
          <w:rFonts w:hint="eastAsia" w:ascii="仿宋_GB2312" w:hAnsi="黑体" w:eastAsia="仿宋_GB2312"/>
          <w:sz w:val="32"/>
          <w:szCs w:val="32"/>
        </w:rPr>
        <w:t>万元，包括一般公共预算本年收入</w:t>
      </w:r>
      <w:r>
        <w:rPr>
          <w:rFonts w:ascii="仿宋_GB2312" w:hAnsi="黑体" w:eastAsia="仿宋_GB2312" w:cs="仿宋_GB2312"/>
          <w:sz w:val="32"/>
          <w:szCs w:val="32"/>
        </w:rPr>
        <w:t>2,968.16</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40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3008.16</w:t>
      </w:r>
      <w:r>
        <w:rPr>
          <w:rFonts w:hint="eastAsia" w:ascii="仿宋_GB2312" w:hAnsi="黑体" w:eastAsia="仿宋_GB2312"/>
          <w:sz w:val="32"/>
          <w:szCs w:val="32"/>
        </w:rPr>
        <w:t>万元，包括一般公共服务支出</w:t>
      </w:r>
      <w:r>
        <w:rPr>
          <w:rFonts w:ascii="仿宋_GB2312" w:hAnsi="黑体" w:eastAsia="仿宋_GB2312" w:cs="仿宋_GB2312"/>
          <w:sz w:val="32"/>
          <w:szCs w:val="32"/>
        </w:rPr>
        <w:t>2708.46</w:t>
      </w:r>
      <w:r>
        <w:rPr>
          <w:rFonts w:hint="eastAsia" w:ascii="仿宋_GB2312" w:hAnsi="黑体" w:eastAsia="仿宋_GB2312"/>
          <w:sz w:val="32"/>
          <w:szCs w:val="32"/>
        </w:rPr>
        <w:t>万元、公共安全支出</w:t>
      </w:r>
      <w:r>
        <w:rPr>
          <w:rFonts w:ascii="仿宋_GB2312" w:hAnsi="黑体" w:eastAsia="仿宋_GB2312" w:cs="仿宋_GB2312"/>
          <w:sz w:val="32"/>
          <w:szCs w:val="32"/>
        </w:rPr>
        <w:t>237.78</w:t>
      </w:r>
      <w:r>
        <w:rPr>
          <w:rFonts w:hint="eastAsia" w:ascii="仿宋_GB2312" w:hAnsi="黑体" w:eastAsia="仿宋_GB2312"/>
          <w:sz w:val="32"/>
          <w:szCs w:val="32"/>
        </w:rPr>
        <w:t>万元、社会保障和就业支出</w:t>
      </w:r>
      <w:r>
        <w:rPr>
          <w:rFonts w:ascii="仿宋_GB2312" w:hAnsi="黑体" w:eastAsia="仿宋_GB2312" w:cs="仿宋_GB2312"/>
          <w:sz w:val="32"/>
          <w:szCs w:val="32"/>
        </w:rPr>
        <w:t>26.71</w:t>
      </w:r>
      <w:r>
        <w:rPr>
          <w:rFonts w:hint="eastAsia" w:ascii="仿宋_GB2312" w:hAnsi="黑体" w:eastAsia="仿宋_GB2312"/>
          <w:sz w:val="32"/>
          <w:szCs w:val="32"/>
        </w:rPr>
        <w:t>万元、卫生健康支出</w:t>
      </w:r>
      <w:r>
        <w:rPr>
          <w:rFonts w:ascii="仿宋_GB2312" w:hAnsi="黑体" w:eastAsia="仿宋_GB2312"/>
          <w:sz w:val="32"/>
          <w:szCs w:val="32"/>
        </w:rPr>
        <w:t>19.67</w:t>
      </w:r>
      <w:r>
        <w:rPr>
          <w:rFonts w:hint="eastAsia" w:ascii="仿宋_GB2312" w:hAnsi="黑体" w:eastAsia="仿宋_GB2312"/>
          <w:sz w:val="32"/>
          <w:szCs w:val="32"/>
        </w:rPr>
        <w:t>万元、住房保障支出</w:t>
      </w:r>
      <w:r>
        <w:rPr>
          <w:rFonts w:ascii="仿宋_GB2312" w:hAnsi="黑体" w:eastAsia="仿宋_GB2312"/>
          <w:sz w:val="32"/>
          <w:szCs w:val="32"/>
        </w:rPr>
        <w:t>15.54</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二、关于中共三亚市海棠区委政法委员会2026年一般公共预算当年拨款情况说明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中共三亚市海棠区委政法委员会</w:t>
      </w:r>
      <w:r>
        <w:rPr>
          <w:rFonts w:hint="eastAsia" w:ascii="仿宋_GB2312" w:hAnsi="黑体" w:eastAsia="仿宋_GB2312" w:cs="仿宋_GB2312"/>
          <w:sz w:val="32"/>
          <w:szCs w:val="32"/>
        </w:rPr>
        <w:t>2026年</w:t>
      </w:r>
      <w:r>
        <w:rPr>
          <w:rFonts w:hint="eastAsia" w:ascii="仿宋_GB2312" w:hAnsi="黑体" w:eastAsia="仿宋_GB2312"/>
          <w:sz w:val="32"/>
          <w:szCs w:val="32"/>
        </w:rPr>
        <w:t>一般公共预算当年拨款</w:t>
      </w:r>
      <w:r>
        <w:rPr>
          <w:rFonts w:hint="eastAsia" w:ascii="仿宋_GB2312" w:hAnsi="黑体" w:eastAsia="仿宋_GB2312" w:cs="仿宋_GB2312"/>
          <w:sz w:val="32"/>
          <w:szCs w:val="32"/>
        </w:rPr>
        <w:t>3008.16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减少193.82</w:t>
      </w:r>
      <w:r>
        <w:rPr>
          <w:rFonts w:hint="eastAsia" w:ascii="仿宋_GB2312" w:hAnsi="黑体" w:eastAsia="仿宋_GB2312"/>
          <w:sz w:val="32"/>
          <w:szCs w:val="32"/>
        </w:rPr>
        <w:t>万元，主要是雪亮工程预算减少。</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ascii="仿宋_GB2312" w:hAnsi="黑体" w:eastAsia="仿宋_GB2312" w:cs="仿宋_GB2312"/>
          <w:sz w:val="32"/>
          <w:szCs w:val="32"/>
        </w:rPr>
        <w:t>2708.46</w:t>
      </w:r>
      <w:r>
        <w:rPr>
          <w:rFonts w:hint="eastAsia" w:ascii="仿宋_GB2312" w:hAnsi="黑体" w:eastAsia="仿宋_GB2312"/>
          <w:sz w:val="32"/>
          <w:szCs w:val="32"/>
        </w:rPr>
        <w:t>万元，占</w:t>
      </w:r>
      <w:r>
        <w:rPr>
          <w:rFonts w:hint="eastAsia" w:ascii="仿宋_GB2312" w:hAnsi="黑体" w:eastAsia="仿宋_GB2312" w:cs="仿宋_GB2312"/>
          <w:sz w:val="32"/>
          <w:szCs w:val="32"/>
        </w:rPr>
        <w:t>90.04</w:t>
      </w:r>
      <w:r>
        <w:rPr>
          <w:rFonts w:hint="eastAsia" w:ascii="仿宋_GB2312" w:hAnsi="黑体" w:eastAsia="仿宋_GB2312"/>
          <w:sz w:val="32"/>
          <w:szCs w:val="32"/>
        </w:rPr>
        <w:t>%；公共安全支出</w:t>
      </w:r>
      <w:r>
        <w:rPr>
          <w:rFonts w:ascii="仿宋_GB2312" w:hAnsi="黑体" w:eastAsia="仿宋_GB2312" w:cs="仿宋_GB2312"/>
          <w:sz w:val="32"/>
          <w:szCs w:val="32"/>
        </w:rPr>
        <w:t>237.78</w:t>
      </w:r>
      <w:r>
        <w:rPr>
          <w:rFonts w:hint="eastAsia" w:ascii="仿宋_GB2312" w:hAnsi="黑体" w:eastAsia="仿宋_GB2312"/>
          <w:sz w:val="32"/>
          <w:szCs w:val="32"/>
        </w:rPr>
        <w:t>万元，占</w:t>
      </w:r>
      <w:r>
        <w:rPr>
          <w:rFonts w:hint="eastAsia" w:ascii="仿宋_GB2312" w:hAnsi="黑体" w:eastAsia="仿宋_GB2312" w:cs="仿宋_GB2312"/>
          <w:sz w:val="32"/>
          <w:szCs w:val="32"/>
        </w:rPr>
        <w:t>7.90</w:t>
      </w:r>
      <w:r>
        <w:rPr>
          <w:rFonts w:hint="eastAsia" w:ascii="仿宋_GB2312" w:hAnsi="黑体" w:eastAsia="仿宋_GB2312"/>
          <w:sz w:val="32"/>
          <w:szCs w:val="32"/>
        </w:rPr>
        <w:t>%；社会保障和就业支出</w:t>
      </w:r>
      <w:r>
        <w:rPr>
          <w:rFonts w:ascii="仿宋_GB2312" w:hAnsi="黑体" w:eastAsia="仿宋_GB2312" w:cs="仿宋_GB2312"/>
          <w:sz w:val="32"/>
          <w:szCs w:val="32"/>
        </w:rPr>
        <w:t>26.71</w:t>
      </w:r>
      <w:r>
        <w:rPr>
          <w:rFonts w:hint="eastAsia" w:ascii="仿宋_GB2312" w:hAnsi="黑体" w:eastAsia="仿宋_GB2312"/>
          <w:sz w:val="32"/>
          <w:szCs w:val="32"/>
        </w:rPr>
        <w:t>万元，占</w:t>
      </w:r>
      <w:r>
        <w:rPr>
          <w:rFonts w:hint="eastAsia" w:ascii="仿宋_GB2312" w:hAnsi="黑体" w:eastAsia="仿宋_GB2312" w:cs="仿宋_GB2312"/>
          <w:sz w:val="32"/>
          <w:szCs w:val="32"/>
        </w:rPr>
        <w:t>0.89</w:t>
      </w:r>
      <w:r>
        <w:rPr>
          <w:rFonts w:hint="eastAsia" w:ascii="仿宋_GB2312" w:hAnsi="黑体" w:eastAsia="仿宋_GB2312"/>
          <w:sz w:val="32"/>
          <w:szCs w:val="32"/>
        </w:rPr>
        <w:t>%；卫生健康支出</w:t>
      </w:r>
      <w:r>
        <w:rPr>
          <w:rFonts w:ascii="仿宋_GB2312" w:hAnsi="黑体" w:eastAsia="仿宋_GB2312"/>
          <w:sz w:val="32"/>
          <w:szCs w:val="32"/>
        </w:rPr>
        <w:t>19.67</w:t>
      </w:r>
      <w:r>
        <w:rPr>
          <w:rFonts w:hint="eastAsia" w:ascii="仿宋_GB2312" w:hAnsi="黑体" w:eastAsia="仿宋_GB2312"/>
          <w:sz w:val="32"/>
          <w:szCs w:val="32"/>
        </w:rPr>
        <w:t>万元，占</w:t>
      </w:r>
      <w:r>
        <w:rPr>
          <w:rFonts w:hint="eastAsia" w:ascii="仿宋_GB2312" w:hAnsi="黑体" w:eastAsia="仿宋_GB2312" w:cs="仿宋_GB2312"/>
          <w:sz w:val="32"/>
          <w:szCs w:val="32"/>
        </w:rPr>
        <w:t>0.65</w:t>
      </w:r>
      <w:r>
        <w:rPr>
          <w:rFonts w:hint="eastAsia" w:ascii="仿宋_GB2312" w:hAnsi="黑体" w:eastAsia="仿宋_GB2312"/>
          <w:sz w:val="32"/>
          <w:szCs w:val="32"/>
        </w:rPr>
        <w:t>%；住房保障支出</w:t>
      </w:r>
      <w:r>
        <w:rPr>
          <w:rFonts w:ascii="仿宋_GB2312" w:hAnsi="黑体" w:eastAsia="仿宋_GB2312"/>
          <w:sz w:val="32"/>
          <w:szCs w:val="32"/>
        </w:rPr>
        <w:t>15.54</w:t>
      </w:r>
      <w:r>
        <w:rPr>
          <w:rFonts w:hint="eastAsia" w:ascii="仿宋_GB2312" w:hAnsi="黑体" w:eastAsia="仿宋_GB2312"/>
          <w:sz w:val="32"/>
          <w:szCs w:val="32"/>
        </w:rPr>
        <w:t>万元占</w:t>
      </w:r>
      <w:r>
        <w:rPr>
          <w:rFonts w:hint="eastAsia" w:ascii="仿宋_GB2312" w:hAnsi="黑体" w:eastAsia="仿宋_GB2312" w:cs="仿宋_GB2312"/>
          <w:sz w:val="32"/>
          <w:szCs w:val="32"/>
        </w:rPr>
        <w:t>0.52</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1.一般公共服务（类）党委办公厅（室）及相关机构事务（款）行政运行（项）2026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161.30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增加51.84</w:t>
      </w:r>
      <w:r>
        <w:rPr>
          <w:rFonts w:hint="eastAsia" w:ascii="仿宋_GB2312" w:hAnsi="黑体" w:eastAsia="仿宋_GB2312"/>
          <w:sz w:val="32"/>
          <w:szCs w:val="32"/>
        </w:rPr>
        <w:t>万元，主要是</w:t>
      </w:r>
      <w:r>
        <w:rPr>
          <w:rFonts w:hint="eastAsia" w:ascii="仿宋_GB2312" w:hAnsi="黑体" w:eastAsia="仿宋_GB2312" w:cs="仿宋_GB2312"/>
          <w:sz w:val="32"/>
          <w:szCs w:val="32"/>
        </w:rPr>
        <w:t>人员</w:t>
      </w:r>
      <w:r>
        <w:rPr>
          <w:rFonts w:hint="eastAsia" w:ascii="仿宋_GB2312" w:hAnsi="黑体" w:eastAsia="仿宋_GB2312"/>
          <w:sz w:val="32"/>
          <w:szCs w:val="32"/>
        </w:rPr>
        <w:t>工资社保。</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一般公共服务（类）党委办公厅（室）及相关机构事务（款）一般行政管理事务（项）2026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2547.16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减少458.88</w:t>
      </w:r>
      <w:r>
        <w:rPr>
          <w:rFonts w:hint="eastAsia" w:ascii="仿宋_GB2312" w:hAnsi="黑体" w:eastAsia="仿宋_GB2312"/>
          <w:sz w:val="32"/>
          <w:szCs w:val="32"/>
        </w:rPr>
        <w:t>万元，主要是</w:t>
      </w:r>
      <w:r>
        <w:rPr>
          <w:rFonts w:hint="eastAsia" w:ascii="仿宋_GB2312" w:hAnsi="宋体" w:eastAsia="仿宋_GB2312"/>
          <w:color w:val="000000"/>
          <w:kern w:val="0"/>
          <w:sz w:val="32"/>
          <w:szCs w:val="32"/>
        </w:rPr>
        <w:t>综合执法站、两站两员辅助性服务项目列其他款项支出，雪亮工程预算</w:t>
      </w:r>
      <w:r>
        <w:rPr>
          <w:rFonts w:hint="eastAsia" w:ascii="仿宋_GB2312" w:hAnsi="黑体" w:eastAsia="仿宋_GB2312"/>
          <w:sz w:val="32"/>
          <w:szCs w:val="32"/>
        </w:rPr>
        <w:t>减少。</w:t>
      </w:r>
    </w:p>
    <w:p>
      <w:pPr>
        <w:ind w:firstLine="640" w:firstLineChars="200"/>
        <w:rPr>
          <w:rFonts w:ascii="仿宋_GB2312" w:hAnsi="宋体" w:eastAsia="仿宋_GB2312" w:cs="Times New Roman"/>
          <w:color w:val="000000"/>
          <w:kern w:val="0"/>
          <w:sz w:val="32"/>
          <w:szCs w:val="32"/>
        </w:rPr>
      </w:pPr>
      <w:r>
        <w:rPr>
          <w:rFonts w:hint="eastAsia" w:ascii="仿宋_GB2312" w:hAnsi="宋体" w:eastAsia="仿宋_GB2312"/>
          <w:color w:val="000000"/>
          <w:kern w:val="0"/>
          <w:sz w:val="32"/>
          <w:szCs w:val="32"/>
        </w:rPr>
        <w:t>3.</w:t>
      </w:r>
      <w:r>
        <w:rPr>
          <w:rFonts w:hint="eastAsia"/>
        </w:rPr>
        <w:t xml:space="preserve"> </w:t>
      </w:r>
      <w:r>
        <w:rPr>
          <w:rFonts w:hint="eastAsia" w:ascii="仿宋_GB2312" w:hAnsi="宋体" w:eastAsia="仿宋_GB2312"/>
          <w:color w:val="000000"/>
          <w:kern w:val="0"/>
          <w:sz w:val="32"/>
          <w:szCs w:val="32"/>
        </w:rPr>
        <w:t>公共安全支出（类）公安（款）一般行政管理事务（项）2026年预算数为237.78万元，比上年预算数增加237.78万元，主要是综合执法站、两站两员辅助性服务项目。</w:t>
      </w:r>
    </w:p>
    <w:p>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4.社会保障和就业支出（类）行政事业单位养老支出（款）机关事业单位基本养老保险缴费支出（项）2026年预算数为17.81万元，与上年预算数增加2.27万元，主要是人员社保。</w:t>
      </w:r>
    </w:p>
    <w:p>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5.社会保障和就业支出（类）行政事业单位养老支出（款）机关事业单位职业年金缴费支出（项）2026年预算数为8.90万元，比上年预算数增加1.13万元，主要是人员社保。</w:t>
      </w:r>
    </w:p>
    <w:p>
      <w:pPr>
        <w:ind w:firstLine="640" w:firstLineChars="200"/>
        <w:rPr>
          <w:rFonts w:ascii="仿宋_GB2312" w:eastAsia="仿宋_GB2312"/>
          <w:sz w:val="32"/>
          <w:szCs w:val="32"/>
        </w:rPr>
      </w:pPr>
      <w:r>
        <w:rPr>
          <w:rFonts w:hint="eastAsia" w:ascii="仿宋_GB2312" w:eastAsia="仿宋_GB2312"/>
          <w:sz w:val="32"/>
          <w:szCs w:val="32"/>
        </w:rPr>
        <w:t>6.卫生健康支出（类）行政事业单位医疗（款）行政单位医疗（项）2026年预算数为6.71万元，比上年预算数增加0.49万元，主要是人员社保。</w:t>
      </w:r>
    </w:p>
    <w:p>
      <w:pPr>
        <w:ind w:firstLine="640" w:firstLineChars="200"/>
        <w:rPr>
          <w:rFonts w:ascii="仿宋_GB2312" w:eastAsia="仿宋_GB2312"/>
          <w:sz w:val="32"/>
          <w:szCs w:val="32"/>
        </w:rPr>
      </w:pPr>
      <w:r>
        <w:rPr>
          <w:rFonts w:hint="eastAsia" w:ascii="仿宋_GB2312" w:eastAsia="仿宋_GB2312"/>
          <w:sz w:val="32"/>
          <w:szCs w:val="32"/>
        </w:rPr>
        <w:t>7.卫生健康支出（类）行政事业单位医疗（款）公务员医疗补助（项）2026年预算数为12.95万元，比上年预算数增加1.23万元，主要是人员社保。。</w:t>
      </w:r>
    </w:p>
    <w:p>
      <w:pPr>
        <w:ind w:firstLine="640" w:firstLineChars="200"/>
        <w:rPr>
          <w:rFonts w:ascii="仿宋_GB2312" w:eastAsia="仿宋_GB2312"/>
          <w:sz w:val="32"/>
          <w:szCs w:val="32"/>
        </w:rPr>
      </w:pPr>
      <w:r>
        <w:rPr>
          <w:rFonts w:hint="eastAsia" w:ascii="仿宋_GB2312" w:eastAsia="仿宋_GB2312"/>
          <w:sz w:val="32"/>
          <w:szCs w:val="32"/>
        </w:rPr>
        <w:t>8. 住房保障支出（类）住房改革支出（款）住房公积金（项）2026年预算为15.54万元，比上年预算数增加1.48万元，主要是人员社保。。</w:t>
      </w:r>
    </w:p>
    <w:p>
      <w:pPr>
        <w:ind w:firstLine="640"/>
        <w:rPr>
          <w:rFonts w:ascii="黑体" w:hAnsi="黑体" w:eastAsia="黑体"/>
          <w:sz w:val="32"/>
          <w:szCs w:val="32"/>
        </w:rPr>
      </w:pPr>
      <w:r>
        <w:rPr>
          <w:rFonts w:hint="eastAsia" w:ascii="黑体" w:hAnsi="黑体" w:eastAsia="黑体"/>
          <w:sz w:val="32"/>
          <w:szCs w:val="32"/>
        </w:rPr>
        <w:t>三、关于中共三亚市海棠区委政法委员会2026年一般公共预算基本支出情况说明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中共三亚市海棠区委政法委员会</w:t>
      </w:r>
      <w:r>
        <w:rPr>
          <w:rFonts w:hint="eastAsia" w:ascii="仿宋_GB2312" w:hAnsi="黑体" w:eastAsia="仿宋_GB2312" w:cs="仿宋_GB2312"/>
          <w:sz w:val="32"/>
          <w:szCs w:val="32"/>
        </w:rPr>
        <w:t>2026年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rPr>
        <w:t>223.22</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207.26</w:t>
      </w:r>
      <w:r>
        <w:rPr>
          <w:rFonts w:hint="eastAsia" w:ascii="仿宋_GB2312" w:hAnsi="黑体" w:eastAsia="仿宋_GB2312"/>
          <w:sz w:val="32"/>
          <w:szCs w:val="32"/>
        </w:rPr>
        <w:t>万元，基本工资、津贴补贴、奖金、社会保障缴费、住房公积金、医疗费等;</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15.97</w:t>
      </w:r>
      <w:r>
        <w:rPr>
          <w:rFonts w:hint="eastAsia" w:ascii="仿宋_GB2312" w:hAnsi="黑体" w:eastAsia="仿宋_GB2312"/>
          <w:sz w:val="32"/>
          <w:szCs w:val="32"/>
        </w:rPr>
        <w:t>万元，主要包括：办公费、咨询费、手续费、水费、电费、</w:t>
      </w:r>
      <w:r>
        <w:rPr>
          <w:rFonts w:hint="eastAsia" w:ascii="仿宋_GB2312" w:hAnsi="黑体" w:eastAsia="仿宋_GB2312" w:cs="仿宋_GB2312"/>
          <w:sz w:val="32"/>
          <w:szCs w:val="32"/>
        </w:rPr>
        <w:t>工会经费、其他商品和服务等</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中共三亚市海棠区委政法委员会2026年</w:t>
      </w:r>
      <w:r>
        <w:rPr>
          <w:rFonts w:hint="eastAsia" w:ascii="黑体" w:hAnsi="黑体" w:eastAsia="黑体"/>
          <w:sz w:val="32"/>
          <w:shd w:val="clear" w:color="auto" w:fill="FFFFFF"/>
        </w:rPr>
        <w:t>“三公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（一）中共三亚市海棠区委政法委员会</w:t>
      </w:r>
      <w:r>
        <w:rPr>
          <w:rFonts w:hint="eastAsia" w:ascii="仿宋_GB2312" w:hAnsi="黑体" w:eastAsia="仿宋_GB2312" w:cs="仿宋_GB2312"/>
          <w:sz w:val="32"/>
          <w:szCs w:val="32"/>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sz w:val="32"/>
          <w:szCs w:val="32"/>
        </w:rPr>
        <w:t>1.5</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w:t>
      </w:r>
      <w:r>
        <w:rPr>
          <w:rFonts w:hint="eastAsia" w:ascii="Times New Roman" w:hAnsi="Times New Roman" w:eastAsia="仿宋_GB2312" w:cs="Times New Roman"/>
          <w:sz w:val="32"/>
          <w:shd w:val="clear" w:color="auto" w:fill="FFFFFF"/>
        </w:rPr>
        <w:t>中共三亚市海棠区委政法委员会</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人。出国（境）团组主要包括：1.团组：目的地</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天，主要任务</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1.5</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1.5</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rPr>
        <w:t>19.79</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w:t>
      </w:r>
      <w:r>
        <w:rPr>
          <w:rFonts w:ascii="Times New Roman" w:hAnsi="Times New Roman" w:eastAsia="仿宋_GB2312" w:cs="Times New Roman"/>
          <w:sz w:val="32"/>
          <w:shd w:val="clear" w:color="auto" w:fill="FFFFFF"/>
        </w:rPr>
        <w:t>主要原因包括：</w:t>
      </w:r>
      <w:r>
        <w:rPr>
          <w:rFonts w:hint="eastAsia" w:ascii="仿宋_GB2312" w:hAnsi="Times New Roman" w:eastAsia="仿宋_GB2312" w:cs="Times New Roman"/>
          <w:sz w:val="32"/>
          <w:shd w:val="clear" w:color="auto" w:fill="FFFFFF"/>
        </w:rPr>
        <w:t>2026年“三公</w:t>
      </w:r>
      <w:r>
        <w:rPr>
          <w:rFonts w:hint="eastAsia" w:ascii="Times New Roman" w:hAnsi="Times New Roman" w:eastAsia="仿宋_GB2312" w:cs="Times New Roman"/>
          <w:sz w:val="32"/>
          <w:shd w:val="clear" w:color="auto" w:fill="FFFFFF"/>
        </w:rPr>
        <w:t>”经费预算减少。公务车保有量</w:t>
      </w:r>
      <w:r>
        <w:rPr>
          <w:rFonts w:hint="eastAsia" w:ascii="仿宋_GB2312" w:hAnsi="黑体" w:eastAsia="仿宋_GB2312" w:cs="仿宋_GB2312"/>
          <w:sz w:val="32"/>
          <w:szCs w:val="32"/>
        </w:rPr>
        <w:t>1辆，计划购置0辆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rPr>
        <w:t>0批0人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（二）中共三亚市海棠区委政法委员会</w:t>
      </w:r>
      <w:r>
        <w:rPr>
          <w:rFonts w:hint="eastAsia" w:ascii="仿宋_GB2312" w:hAnsi="黑体" w:eastAsia="仿宋_GB2312" w:cs="仿宋_GB2312"/>
          <w:sz w:val="32"/>
          <w:szCs w:val="32"/>
        </w:rPr>
        <w:t>2026年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w:t>
      </w:r>
      <w:r>
        <w:rPr>
          <w:rFonts w:hint="eastAsia" w:ascii="Times New Roman" w:hAnsi="Times New Roman" w:eastAsia="仿宋_GB2312" w:cs="Times New Roman"/>
          <w:sz w:val="32"/>
          <w:shd w:val="clear" w:color="auto" w:fill="FFFFFF"/>
        </w:rPr>
        <w:t>中共三亚市海棠区委政法委员会</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rPr>
        <w:t>2025</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人。出国（境）团组主要包括：1.团组：目的地</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天，主要任务</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0辆，计划购置0辆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rPr>
        <w:t>0批0人</w:t>
      </w:r>
      <w:r>
        <w:rPr>
          <w:rFonts w:hint="eastAsia" w:ascii="Times New Roman" w:hAnsi="Times New Roman" w:eastAsia="仿宋_GB2312" w:cs="Times New Roman"/>
          <w:sz w:val="32"/>
          <w:shd w:val="clear" w:color="auto" w:fill="FFFFFF"/>
        </w:rPr>
        <w:t>。</w:t>
      </w:r>
    </w:p>
    <w:p>
      <w:pPr>
        <w:rPr>
          <w:rFonts w:ascii="Times New Roman" w:hAnsi="Times New Roman" w:eastAsia="仿宋_GB2312" w:cs="Times New Roman"/>
          <w:sz w:val="32"/>
          <w:shd w:val="clear" w:color="auto" w:fill="FFFFFF"/>
        </w:rPr>
      </w:pP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rPr>
        <w:t>中共三亚市海棠区委政法委员会2026年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Times New Roman" w:hAnsi="Times New Roman" w:eastAsia="仿宋_GB2312" w:cs="Times New Roman"/>
          <w:sz w:val="32"/>
          <w:shd w:val="clear" w:color="auto" w:fill="FFFFFF"/>
        </w:rPr>
        <w:t>中共三亚市海棠区委政法委员会</w:t>
      </w:r>
      <w:r>
        <w:rPr>
          <w:rFonts w:hint="eastAsia" w:ascii="仿宋_GB2312" w:hAnsi="黑体" w:eastAsia="仿宋_GB2312" w:cs="仿宋_GB2312"/>
          <w:sz w:val="32"/>
          <w:szCs w:val="32"/>
        </w:rPr>
        <w:t>2026年</w:t>
      </w:r>
      <w:r>
        <w:rPr>
          <w:rFonts w:hint="eastAsia" w:ascii="仿宋_GB2312" w:hAnsi="黑体" w:eastAsia="仿宋_GB2312"/>
          <w:sz w:val="32"/>
          <w:szCs w:val="32"/>
        </w:rPr>
        <w:t>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减少59.63</w:t>
      </w:r>
      <w:r>
        <w:rPr>
          <w:rFonts w:hint="eastAsia" w:ascii="仿宋_GB2312" w:hAnsi="黑体" w:eastAsia="仿宋_GB2312"/>
          <w:sz w:val="32"/>
          <w:szCs w:val="32"/>
        </w:rPr>
        <w:t>万元，主要是项目已竣工结算，2026年没有该项支出。</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科学技术支出（类）核电站乏燃料处理处置基金支出（款）乏燃料运输（项）2026年</w:t>
      </w:r>
      <w:r>
        <w:rPr>
          <w:rFonts w:hint="eastAsia" w:ascii="仿宋_GB2312" w:hAnsi="黑体" w:eastAsia="仿宋_GB2312"/>
          <w:sz w:val="32"/>
          <w:szCs w:val="32"/>
        </w:rPr>
        <w:t>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，主要是2026年没有该项支出。</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科学技术支出（类）核电站乏燃料处理处置基金支出（款）乏燃料离堆贮存（项）2026年</w:t>
      </w:r>
      <w:r>
        <w:rPr>
          <w:rFonts w:hint="eastAsia" w:ascii="仿宋_GB2312" w:hAnsi="黑体" w:eastAsia="仿宋_GB2312"/>
          <w:sz w:val="32"/>
          <w:szCs w:val="32"/>
        </w:rPr>
        <w:t>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，主要是2026年没有该项支出。</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中共三亚市海棠区委政法委员会2026年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按照综合预算原则，中共三亚市海棠区委政法委员会所有收入和支出均纳入部门预算管理。收入包括：一般公共预算收入、</w:t>
      </w:r>
      <w:r>
        <w:rPr>
          <w:rFonts w:hint="eastAsia" w:ascii="仿宋_GB2312" w:hAnsi="黑体" w:eastAsia="仿宋_GB2312"/>
          <w:sz w:val="32"/>
          <w:szCs w:val="32"/>
        </w:rPr>
        <w:t>上年结转；支出包括：</w:t>
      </w:r>
      <w:r>
        <w:rPr>
          <w:rFonts w:hint="eastAsia" w:ascii="仿宋_GB2312" w:hAnsi="宋体" w:eastAsia="仿宋_GB2312"/>
          <w:color w:val="000000"/>
          <w:sz w:val="32"/>
          <w:szCs w:val="32"/>
        </w:rPr>
        <w:t>一般公共服务支出、公共安全支出、社会保障和就业支出、卫生健康支出、住房保障支出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rPr>
        <w:t>中共三亚市海棠区委政法委员会2026</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3008.16</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中共三亚市海棠区委政法委员会2026年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中共三亚市海棠区委政法委员会2026年</w:t>
      </w:r>
      <w:r>
        <w:rPr>
          <w:rFonts w:hint="eastAsia" w:ascii="仿宋_GB2312" w:hAnsi="黑体" w:eastAsia="仿宋_GB2312"/>
          <w:sz w:val="32"/>
          <w:szCs w:val="32"/>
        </w:rPr>
        <w:t>收入预算</w:t>
      </w:r>
      <w:r>
        <w:rPr>
          <w:rFonts w:hint="eastAsia" w:ascii="仿宋_GB2312" w:hAnsi="黑体" w:eastAsia="仿宋_GB2312" w:cs="仿宋_GB2312"/>
          <w:sz w:val="32"/>
          <w:szCs w:val="32"/>
        </w:rPr>
        <w:t>3008.16</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40</w:t>
      </w:r>
      <w:r>
        <w:rPr>
          <w:rFonts w:hint="eastAsia" w:ascii="仿宋_GB2312" w:hAnsi="黑体" w:eastAsia="仿宋_GB2312"/>
          <w:sz w:val="32"/>
          <w:szCs w:val="32"/>
        </w:rPr>
        <w:t>万元，占</w:t>
      </w:r>
      <w:r>
        <w:rPr>
          <w:rFonts w:hint="eastAsia" w:ascii="仿宋_GB2312" w:hAnsi="黑体" w:eastAsia="仿宋_GB2312" w:cs="仿宋_GB2312"/>
          <w:sz w:val="32"/>
          <w:szCs w:val="32"/>
        </w:rPr>
        <w:t>1.33</w:t>
      </w:r>
      <w:r>
        <w:rPr>
          <w:rFonts w:hint="eastAsia" w:ascii="仿宋_GB2312" w:hAnsi="黑体" w:eastAsia="仿宋_GB2312"/>
          <w:sz w:val="32"/>
          <w:szCs w:val="32"/>
        </w:rPr>
        <w:t>%；一般公共预算拨款收入</w:t>
      </w:r>
      <w:r>
        <w:rPr>
          <w:rFonts w:hint="eastAsia" w:ascii="仿宋_GB2312" w:hAnsi="黑体" w:eastAsia="仿宋_GB2312" w:cs="仿宋_GB2312"/>
          <w:sz w:val="32"/>
          <w:szCs w:val="32"/>
        </w:rPr>
        <w:t>2968.16</w:t>
      </w:r>
      <w:r>
        <w:rPr>
          <w:rFonts w:hint="eastAsia" w:ascii="仿宋_GB2312" w:hAnsi="黑体" w:eastAsia="仿宋_GB2312"/>
          <w:sz w:val="32"/>
          <w:szCs w:val="32"/>
        </w:rPr>
        <w:t>万元，占</w:t>
      </w:r>
      <w:r>
        <w:rPr>
          <w:rFonts w:hint="eastAsia" w:ascii="仿宋_GB2312" w:hAnsi="黑体" w:eastAsia="仿宋_GB2312" w:cs="仿宋_GB2312"/>
          <w:sz w:val="32"/>
          <w:szCs w:val="32"/>
        </w:rPr>
        <w:t>98.67</w:t>
      </w:r>
      <w:r>
        <w:rPr>
          <w:rFonts w:hint="eastAsia" w:ascii="仿宋_GB2312" w:hAnsi="黑体" w:eastAsia="仿宋_GB2312"/>
          <w:sz w:val="32"/>
          <w:szCs w:val="32"/>
        </w:rPr>
        <w:t>%；政府性基金预算拨款收入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减少193.82</w:t>
      </w:r>
      <w:r>
        <w:rPr>
          <w:rFonts w:hint="eastAsia" w:ascii="仿宋_GB2312" w:hAnsi="黑体" w:eastAsia="仿宋_GB2312"/>
          <w:sz w:val="32"/>
          <w:szCs w:val="32"/>
        </w:rPr>
        <w:t>万元，主要是雪亮工程预算减少。</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中共三亚市海棠区委政法委员会2026年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中共三亚市海棠区委政法委员会2026年</w:t>
      </w:r>
      <w:r>
        <w:rPr>
          <w:rFonts w:hint="eastAsia" w:ascii="仿宋_GB2312" w:hAnsi="黑体" w:eastAsia="仿宋_GB2312"/>
          <w:sz w:val="32"/>
          <w:szCs w:val="32"/>
        </w:rPr>
        <w:t>支出预算</w:t>
      </w:r>
      <w:r>
        <w:rPr>
          <w:rFonts w:hint="eastAsia" w:ascii="仿宋_GB2312" w:hAnsi="黑体" w:eastAsia="仿宋_GB2312" w:cs="仿宋_GB2312"/>
          <w:sz w:val="32"/>
          <w:szCs w:val="32"/>
        </w:rPr>
        <w:t>,3008.16</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223.22</w:t>
      </w:r>
      <w:r>
        <w:rPr>
          <w:rFonts w:hint="eastAsia" w:ascii="仿宋_GB2312" w:hAnsi="黑体" w:eastAsia="仿宋_GB2312"/>
          <w:sz w:val="32"/>
          <w:szCs w:val="32"/>
        </w:rPr>
        <w:t>万元，占</w:t>
      </w:r>
      <w:r>
        <w:rPr>
          <w:rFonts w:hint="eastAsia" w:ascii="仿宋_GB2312" w:hAnsi="黑体" w:eastAsia="仿宋_GB2312" w:cs="仿宋_GB2312"/>
          <w:sz w:val="32"/>
          <w:szCs w:val="32"/>
        </w:rPr>
        <w:t>7.42</w:t>
      </w:r>
      <w:r>
        <w:rPr>
          <w:rFonts w:hint="eastAsia" w:ascii="仿宋_GB2312" w:hAnsi="黑体" w:eastAsia="仿宋_GB2312"/>
          <w:sz w:val="32"/>
          <w:szCs w:val="32"/>
        </w:rPr>
        <w:t>%；项目支出</w:t>
      </w:r>
      <w:r>
        <w:rPr>
          <w:rFonts w:hint="eastAsia" w:ascii="仿宋_GB2312" w:hAnsi="黑体" w:eastAsia="仿宋_GB2312" w:cs="仿宋_GB2312"/>
          <w:sz w:val="32"/>
          <w:szCs w:val="32"/>
        </w:rPr>
        <w:t>2784.94</w:t>
      </w:r>
      <w:r>
        <w:rPr>
          <w:rFonts w:hint="eastAsia" w:ascii="仿宋_GB2312" w:hAnsi="黑体" w:eastAsia="仿宋_GB2312"/>
          <w:sz w:val="32"/>
          <w:szCs w:val="32"/>
        </w:rPr>
        <w:t>万元，占</w:t>
      </w:r>
      <w:r>
        <w:rPr>
          <w:rFonts w:hint="eastAsia" w:ascii="仿宋_GB2312" w:hAnsi="黑体" w:eastAsia="仿宋_GB2312" w:cs="仿宋_GB2312"/>
          <w:sz w:val="32"/>
          <w:szCs w:val="32"/>
        </w:rPr>
        <w:t>92.58</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减少193.82</w:t>
      </w:r>
      <w:r>
        <w:rPr>
          <w:rFonts w:hint="eastAsia" w:ascii="仿宋_GB2312" w:hAnsi="黑体" w:eastAsia="仿宋_GB2312"/>
          <w:sz w:val="32"/>
          <w:szCs w:val="32"/>
        </w:rPr>
        <w:t>万元，主要是雪亮工程预算减少。其中委托业务费预算总额</w:t>
      </w:r>
      <w:r>
        <w:rPr>
          <w:rFonts w:hint="eastAsia" w:ascii="仿宋_GB2312" w:hAnsi="黑体" w:eastAsia="仿宋_GB2312"/>
          <w:sz w:val="32"/>
          <w:szCs w:val="32"/>
          <w:lang w:val="en-US" w:eastAsia="zh-CN"/>
        </w:rPr>
        <w:t>2385.35</w:t>
      </w:r>
      <w:r>
        <w:rPr>
          <w:rFonts w:hint="eastAsia" w:ascii="仿宋_GB2312" w:hAnsi="黑体" w:eastAsia="仿宋_GB2312"/>
          <w:sz w:val="32"/>
          <w:szCs w:val="32"/>
        </w:rPr>
        <w:t>万元，</w:t>
      </w:r>
      <w:r>
        <w:rPr>
          <w:rFonts w:hint="eastAsia" w:ascii="仿宋_GB2312" w:hAnsi="黑体" w:eastAsia="仿宋_GB2312"/>
          <w:sz w:val="32"/>
          <w:szCs w:val="32"/>
          <w:lang w:eastAsia="zh-CN"/>
        </w:rPr>
        <w:t>比</w:t>
      </w:r>
      <w:r>
        <w:rPr>
          <w:rFonts w:hint="eastAsia" w:ascii="仿宋_GB2312" w:hAnsi="黑体" w:eastAsia="仿宋_GB2312"/>
          <w:sz w:val="32"/>
          <w:szCs w:val="32"/>
        </w:rPr>
        <w:t>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925.58万元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2026</w:t>
      </w:r>
      <w:r>
        <w:rPr>
          <w:rFonts w:hint="eastAsia" w:ascii="仿宋_GB2312" w:hAnsi="黑体" w:eastAsia="仿宋_GB2312"/>
          <w:sz w:val="32"/>
          <w:szCs w:val="32"/>
        </w:rPr>
        <w:t>年中共三亚市</w:t>
      </w:r>
      <w:r>
        <w:rPr>
          <w:rFonts w:hint="eastAsia" w:ascii="仿宋_GB2312" w:hAnsi="黑体" w:eastAsia="仿宋_GB2312" w:cs="仿宋_GB2312"/>
          <w:sz w:val="32"/>
          <w:szCs w:val="32"/>
        </w:rPr>
        <w:t>海棠区委政法委员会机关运行经费预算15.97</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2026年</w:t>
      </w:r>
      <w:r>
        <w:rPr>
          <w:rFonts w:hint="eastAsia" w:ascii="仿宋_GB2312" w:hAnsi="黑体" w:eastAsia="仿宋_GB2312"/>
          <w:sz w:val="32"/>
          <w:szCs w:val="32"/>
        </w:rPr>
        <w:t>中共三亚市</w:t>
      </w:r>
      <w:r>
        <w:rPr>
          <w:rFonts w:hint="eastAsia" w:ascii="仿宋_GB2312" w:hAnsi="黑体" w:eastAsia="仿宋_GB2312" w:cs="仿宋_GB2312"/>
          <w:sz w:val="32"/>
          <w:szCs w:val="32"/>
        </w:rPr>
        <w:t>海棠区委政法委员会政府采购预算总额0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截至2025</w:t>
      </w:r>
      <w:r>
        <w:rPr>
          <w:rFonts w:hint="eastAsia" w:ascii="仿宋_GB2312" w:hAnsi="黑体" w:eastAsia="仿宋_GB2312"/>
          <w:sz w:val="32"/>
          <w:szCs w:val="32"/>
        </w:rPr>
        <w:t>年12月31日，中共三亚市</w:t>
      </w:r>
      <w:r>
        <w:rPr>
          <w:rFonts w:hint="eastAsia" w:ascii="仿宋_GB2312" w:hAnsi="黑体" w:eastAsia="仿宋_GB2312" w:cs="仿宋_GB2312"/>
          <w:sz w:val="32"/>
          <w:szCs w:val="32"/>
        </w:rPr>
        <w:t>海棠区委政法委员会共有车辆1辆，其中，领导干部用车0辆，一般公务用车1辆、机要通信应急用车0辆、一般执法执勤用车0辆、特种专业技术用车0辆、其他用车0辆。单位价值100万元以上设备0台（套）。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2026年</w:t>
      </w:r>
      <w:r>
        <w:rPr>
          <w:rFonts w:hint="eastAsia" w:ascii="仿宋_GB2312" w:hAnsi="黑体" w:eastAsia="仿宋_GB2312"/>
          <w:sz w:val="32"/>
          <w:szCs w:val="32"/>
        </w:rPr>
        <w:t>中共三亚市</w:t>
      </w:r>
      <w:r>
        <w:rPr>
          <w:rFonts w:hint="eastAsia" w:ascii="仿宋_GB2312" w:hAnsi="黑体" w:eastAsia="仿宋_GB2312" w:cs="仿宋_GB2312"/>
          <w:sz w:val="32"/>
          <w:szCs w:val="32"/>
        </w:rPr>
        <w:t>海棠区委政法委员会24个项目实行绩效目标管理，涉及一般公共预算</w:t>
      </w:r>
      <w:r>
        <w:rPr>
          <w:rFonts w:hint="eastAsia" w:ascii="仿宋_GB2312" w:hAnsi="黑体" w:eastAsia="仿宋_GB2312" w:cs="仿宋_GB2312"/>
          <w:sz w:val="32"/>
          <w:szCs w:val="32"/>
          <w:lang w:val="en-US" w:eastAsia="zh-CN"/>
        </w:rPr>
        <w:t>2968.16</w:t>
      </w:r>
      <w:r>
        <w:rPr>
          <w:rFonts w:hint="eastAsia" w:ascii="仿宋_GB2312" w:hAnsi="黑体" w:eastAsia="仿宋_GB2312"/>
          <w:sz w:val="32"/>
          <w:szCs w:val="32"/>
        </w:rPr>
        <w:t>万元、政府性基金</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I4MzZjNzJjMDA3MGZhNGQ4Yjk0OGM0MTA5NTQyYzkifQ=="/>
  </w:docVars>
  <w:rsids>
    <w:rsidRoot w:val="448D4D51"/>
    <w:rsid w:val="00004D3C"/>
    <w:rsid w:val="000A7591"/>
    <w:rsid w:val="001500CC"/>
    <w:rsid w:val="00174751"/>
    <w:rsid w:val="0027302B"/>
    <w:rsid w:val="002875CA"/>
    <w:rsid w:val="003A6708"/>
    <w:rsid w:val="003D42FA"/>
    <w:rsid w:val="00497035"/>
    <w:rsid w:val="00571654"/>
    <w:rsid w:val="005F094C"/>
    <w:rsid w:val="00640C06"/>
    <w:rsid w:val="006724E1"/>
    <w:rsid w:val="006D3591"/>
    <w:rsid w:val="008924D5"/>
    <w:rsid w:val="008947D2"/>
    <w:rsid w:val="008B0651"/>
    <w:rsid w:val="00943205"/>
    <w:rsid w:val="00A65326"/>
    <w:rsid w:val="00A838A6"/>
    <w:rsid w:val="00AE1205"/>
    <w:rsid w:val="00B45624"/>
    <w:rsid w:val="00BC3184"/>
    <w:rsid w:val="00C15DF9"/>
    <w:rsid w:val="00C603BA"/>
    <w:rsid w:val="00CF179B"/>
    <w:rsid w:val="00D06ACC"/>
    <w:rsid w:val="00D14CEC"/>
    <w:rsid w:val="00D67CF5"/>
    <w:rsid w:val="00D777A6"/>
    <w:rsid w:val="00DB519F"/>
    <w:rsid w:val="00DC2350"/>
    <w:rsid w:val="00DC7789"/>
    <w:rsid w:val="00E36913"/>
    <w:rsid w:val="00EC0801"/>
    <w:rsid w:val="00FA48CD"/>
    <w:rsid w:val="00FB4756"/>
    <w:rsid w:val="00FC1522"/>
    <w:rsid w:val="036E1BA8"/>
    <w:rsid w:val="14A838BA"/>
    <w:rsid w:val="16F04D4B"/>
    <w:rsid w:val="1BAE6F47"/>
    <w:rsid w:val="1FE361D1"/>
    <w:rsid w:val="27A45160"/>
    <w:rsid w:val="30417CA5"/>
    <w:rsid w:val="448D4D51"/>
    <w:rsid w:val="4E4101D9"/>
    <w:rsid w:val="61FC4B9F"/>
    <w:rsid w:val="644545DB"/>
    <w:rsid w:val="651C1525"/>
    <w:rsid w:val="77312996"/>
    <w:rsid w:val="7FC42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7">
    <w:name w:val="列出段落1"/>
    <w:basedOn w:val="1"/>
    <w:qFormat/>
    <w:uiPriority w:val="34"/>
    <w:pPr>
      <w:ind w:firstLine="420" w:firstLineChars="200"/>
    </w:pPr>
  </w:style>
  <w:style w:type="character" w:customStyle="1" w:styleId="8">
    <w:name w:val="页眉 Char"/>
    <w:basedOn w:val="6"/>
    <w:link w:val="3"/>
    <w:qFormat/>
    <w:uiPriority w:val="0"/>
    <w:rPr>
      <w:rFonts w:ascii="Calibri" w:hAnsi="Calibri" w:eastAsia="宋体" w:cs="黑体"/>
      <w:kern w:val="2"/>
      <w:sz w:val="18"/>
      <w:szCs w:val="18"/>
    </w:rPr>
  </w:style>
  <w:style w:type="character" w:customStyle="1" w:styleId="9">
    <w:name w:val="页脚 Char"/>
    <w:basedOn w:val="6"/>
    <w:link w:val="2"/>
    <w:qFormat/>
    <w:uiPriority w:val="0"/>
    <w:rPr>
      <w:rFonts w:ascii="Calibri" w:hAnsi="Calibri" w:eastAsia="宋体" w:cs="黑体"/>
      <w:kern w:val="2"/>
      <w:sz w:val="18"/>
      <w:szCs w:val="18"/>
    </w:rPr>
  </w:style>
  <w:style w:type="paragraph" w:customStyle="1" w:styleId="10">
    <w:name w:val="普通(网站) Char Char"/>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网格办</Company>
  <Pages>12</Pages>
  <Words>727</Words>
  <Characters>4147</Characters>
  <Lines>34</Lines>
  <Paragraphs>9</Paragraphs>
  <TotalTime>3863</TotalTime>
  <ScaleCrop>false</ScaleCrop>
  <LinksUpToDate>false</LinksUpToDate>
  <CharactersWithSpaces>4865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2026-02-27T03:04:18Z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E44246760B3449D6B6D3A65065F59043_13</vt:lpwstr>
  </property>
</Properties>
</file>