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sz w:val="52"/>
          <w:szCs w:val="52"/>
          <w:lang w:eastAsia="zh-CN"/>
        </w:rPr>
      </w:pPr>
      <w:r>
        <w:rPr>
          <w:rFonts w:hint="eastAsia" w:ascii="宋体" w:hAnsi="宋体" w:eastAsia="宋体" w:cs="宋体"/>
          <w:sz w:val="52"/>
          <w:szCs w:val="52"/>
          <w:lang w:val="en-US" w:eastAsia="zh-CN"/>
        </w:rPr>
        <w:t>202</w:t>
      </w:r>
      <w:r>
        <w:rPr>
          <w:rFonts w:hint="eastAsia" w:ascii="宋体" w:hAnsi="宋体" w:cs="宋体"/>
          <w:sz w:val="52"/>
          <w:szCs w:val="52"/>
          <w:lang w:val="en-US" w:eastAsia="zh-CN"/>
        </w:rPr>
        <w:t>6</w:t>
      </w:r>
      <w:r>
        <w:rPr>
          <w:rFonts w:hint="eastAsia" w:ascii="宋体" w:hAnsi="宋体" w:eastAsia="宋体" w:cs="宋体"/>
          <w:sz w:val="52"/>
          <w:szCs w:val="52"/>
        </w:rPr>
        <w:t>年</w:t>
      </w:r>
      <w:r>
        <w:rPr>
          <w:rFonts w:hint="eastAsia"/>
          <w:sz w:val="52"/>
          <w:szCs w:val="52"/>
          <w:lang w:eastAsia="zh-CN"/>
        </w:rPr>
        <w:t>三亚市海棠区总工会</w:t>
      </w:r>
    </w:p>
    <w:p>
      <w:pPr>
        <w:jc w:val="center"/>
        <w:rPr>
          <w:sz w:val="52"/>
          <w:szCs w:val="52"/>
        </w:rPr>
      </w:pPr>
      <w:r>
        <w:rPr>
          <w:rFonts w:hint="eastAsia"/>
          <w:sz w:val="52"/>
          <w:szCs w:val="52"/>
          <w:lang w:val="en-US" w:eastAsia="zh-CN"/>
        </w:rPr>
        <w:t>部门</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lang w:eastAsia="zh-CN"/>
        </w:rPr>
        <w:t>三亚市海棠区总工会</w:t>
      </w:r>
      <w:r>
        <w:rPr>
          <w:rFonts w:hint="eastAsia" w:ascii="黑体" w:hAnsi="黑体" w:eastAsia="黑体"/>
          <w:sz w:val="32"/>
          <w:szCs w:val="32"/>
        </w:rPr>
        <w:t>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部门预算单位构成</w:t>
      </w:r>
    </w:p>
    <w:p>
      <w:pPr>
        <w:pStyle w:val="4"/>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三亚市海棠区总工会</w:t>
      </w:r>
      <w:r>
        <w:rPr>
          <w:rFonts w:hint="eastAsia" w:ascii="黑体" w:hAnsi="黑体" w:eastAsia="黑体" w:cs="黑体"/>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val="en-US" w:eastAsia="zh-CN"/>
        </w:rPr>
        <w:t>部门</w:t>
      </w:r>
      <w:r>
        <w:rPr>
          <w:rFonts w:hint="eastAsia" w:ascii="黑体" w:hAnsi="黑体" w:eastAsia="黑体"/>
          <w:sz w:val="32"/>
          <w:szCs w:val="32"/>
        </w:rPr>
        <w:t>预算表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三亚市海棠区总工会</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cs="黑体"/>
          <w:sz w:val="32"/>
          <w:szCs w:val="32"/>
          <w:lang w:eastAsia="zh-CN"/>
        </w:rPr>
        <w:t>部门</w:t>
      </w:r>
      <w:r>
        <w:rPr>
          <w:rFonts w:hint="eastAsia" w:ascii="黑体" w:hAnsi="黑体" w:eastAsia="黑体"/>
          <w:sz w:val="32"/>
          <w:szCs w:val="32"/>
        </w:rPr>
        <w:t>预算情况说明</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4"/>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三亚市海棠区总工会</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一）贯彻中央及省、市有关工会工作的方针，政策，执行全总、省总、市总工会代表大会决议，依法拟定并组织实施本区工会组织、工会事业发展的规划和措施，组织全区各级工会认真履行工会“维护、建设、参与、教育”的职能，领导全区工会工作。</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（二）抓好区工会自身建设，指导基层工会开展职工之家建设。</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（三）指导基层工会推行厂务公开、民主管理，推进企业普遍开展工资集体协商，构建和谐劳动关系。</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（四）负责全区工会经费和工会资产的收、管、用和审查、审计工作；指导基层工会发展职工劳动福利事业。</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（五）维护职工的合法权益和女职工的特殊权益，指导和承担工会法律援助与法律服务工作。扶持下岗职工再就业，推动职工互助互济和开展对特困职工救助活动。</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（六）协助有关部门开展安全生产检查工作，落实安全生产措施，建立健全安全生产、劳动保护组织。</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（七）做好劳动模范的推荐、管理和服务等工作。</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（八）指导基层工会开展爱国主义教育、职业道德教育、职业技能培训、技术创新和职工文化体育活动。</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（九）开展涉及职工切身利益的调查研究，为区委、区政府制定相应政策、措施提供依据，参与区委、区政府及有关部门涉及职工利益的政策、措施的研究和制定。</w:t>
      </w:r>
    </w:p>
    <w:p>
      <w:pPr>
        <w:pStyle w:val="4"/>
        <w:keepNext w:val="0"/>
        <w:keepLines w:val="0"/>
        <w:pageBreakBefore w:val="0"/>
        <w:widowControl w:val="0"/>
        <w:numPr>
          <w:ilvl w:val="0"/>
          <w:numId w:val="0"/>
        </w:numPr>
        <w:kinsoku/>
        <w:wordWrap/>
        <w:overflowPunct/>
        <w:topLinePunct w:val="0"/>
        <w:autoSpaceDE/>
        <w:autoSpaceDN/>
        <w:bidi w:val="0"/>
        <w:adjustRightInd/>
        <w:snapToGrid/>
        <w:ind w:left="638" w:leftChars="304" w:firstLine="0" w:firstLineChars="0"/>
        <w:jc w:val="left"/>
        <w:textAlignment w:val="auto"/>
        <w:rPr>
          <w:rFonts w:hint="eastAsia" w:ascii="黑体" w:hAnsi="黑体" w:eastAsia="黑体" w:cs="仿宋_GB2312"/>
          <w:sz w:val="32"/>
          <w:szCs w:val="32"/>
          <w:lang w:eastAsia="zh-CN"/>
        </w:rPr>
      </w:pPr>
      <w:r>
        <w:rPr>
          <w:rFonts w:hint="eastAsia" w:ascii="仿宋_GB2312" w:hAnsi="黑体" w:eastAsia="仿宋_GB2312" w:cs="仿宋_GB2312"/>
          <w:sz w:val="32"/>
          <w:szCs w:val="32"/>
        </w:rPr>
        <w:t>（十）承办区委、区政府和上级工会组织交办的工作。</w:t>
      </w:r>
      <w:r>
        <w:rPr>
          <w:rFonts w:hint="eastAsia" w:ascii="黑体" w:hAnsi="黑体" w:eastAsia="黑体" w:cs="仿宋_GB2312"/>
          <w:sz w:val="32"/>
          <w:szCs w:val="32"/>
          <w:lang w:eastAsia="zh-CN"/>
        </w:rPr>
        <w:t>二、部门预算单位构成</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纳入三亚市海棠区总工会202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预算编制范围的</w:t>
      </w:r>
      <w:r>
        <w:rPr>
          <w:rFonts w:hint="eastAsia" w:ascii="仿宋_GB2312" w:hAnsi="黑体" w:eastAsia="仿宋_GB2312" w:cs="仿宋_GB2312"/>
          <w:sz w:val="32"/>
          <w:szCs w:val="32"/>
          <w:lang w:eastAsia="zh-CN"/>
        </w:rPr>
        <w:t>二级预算包括</w:t>
      </w:r>
      <w:r>
        <w:rPr>
          <w:rFonts w:hint="eastAsia" w:ascii="仿宋_GB2312" w:hAnsi="黑体"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rPr>
        <w:t>三亚市海棠区总工会本级</w:t>
      </w:r>
      <w:r>
        <w:rPr>
          <w:rFonts w:hint="eastAsia" w:ascii="仿宋_GB2312" w:hAnsi="黑体" w:eastAsia="仿宋_GB2312" w:cs="仿宋_GB2312"/>
          <w:sz w:val="32"/>
          <w:szCs w:val="32"/>
          <w:lang w:eastAsia="zh-CN"/>
        </w:rPr>
        <w:t>基层预算单位，无下属单位及内设机构。</w:t>
      </w:r>
    </w:p>
    <w:p>
      <w:pPr>
        <w:numPr>
          <w:ilvl w:val="0"/>
          <w:numId w:val="0"/>
        </w:numPr>
        <w:rPr>
          <w:rFonts w:hint="eastAsia" w:ascii="仿宋_GB2312" w:hAnsi="黑体" w:eastAsia="仿宋_GB2312" w:cs="仿宋_GB2312"/>
          <w:sz w:val="32"/>
          <w:szCs w:val="32"/>
        </w:rPr>
      </w:pPr>
    </w:p>
    <w:p>
      <w:pPr>
        <w:numPr>
          <w:ilvl w:val="0"/>
          <w:numId w:val="0"/>
        </w:numPr>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三亚市海棠区总工会</w:t>
      </w:r>
      <w:r>
        <w:rPr>
          <w:rFonts w:hint="eastAsia" w:ascii="黑体" w:hAnsi="黑体" w:eastAsia="黑体" w:cs="黑体"/>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val="en-US" w:eastAsia="zh-CN"/>
        </w:rPr>
        <w:t>部门</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部门</w:t>
      </w:r>
      <w:r>
        <w:rPr>
          <w:rFonts w:hint="eastAsia" w:ascii="仿宋_GB2312" w:hAnsi="黑体" w:eastAsia="仿宋_GB2312"/>
          <w:b/>
          <w:sz w:val="32"/>
          <w:szCs w:val="32"/>
        </w:rPr>
        <w:t>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三亚市海棠区总工会</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cs="黑体"/>
          <w:sz w:val="32"/>
          <w:szCs w:val="32"/>
          <w:lang w:val="en-US" w:eastAsia="zh-CN"/>
        </w:rPr>
        <w:t>部门</w:t>
      </w:r>
      <w:r>
        <w:rPr>
          <w:rFonts w:hint="eastAsia" w:ascii="黑体" w:hAnsi="黑体" w:eastAsia="黑体"/>
          <w:sz w:val="32"/>
          <w:szCs w:val="32"/>
        </w:rPr>
        <w:t>预算情况说明</w:t>
      </w: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三亚市海棠区总工会</w:t>
      </w:r>
      <w:r>
        <w:rPr>
          <w:rFonts w:hint="eastAsia" w:ascii="黑体" w:hAnsi="黑体" w:eastAsia="黑体" w:cs="黑体"/>
          <w:sz w:val="32"/>
          <w:szCs w:val="32"/>
          <w:lang w:val="en-US" w:eastAsia="zh-CN"/>
        </w:rPr>
        <w:t>2025</w:t>
      </w:r>
      <w:r>
        <w:rPr>
          <w:rFonts w:hint="eastAsia" w:ascii="黑体" w:hAnsi="黑体" w:eastAsia="黑体" w:cs="黑体"/>
          <w:sz w:val="32"/>
          <w:szCs w:val="32"/>
        </w:rPr>
        <w:t>年财政拨款收支预算情况的总体说明</w:t>
      </w:r>
    </w:p>
    <w:p>
      <w:pPr>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eastAsia="zh-CN"/>
        </w:rPr>
        <w:t>三亚市海棠区总工会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466.62</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rPr>
        <w:t>466.62</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466.62</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466.62</w:t>
      </w:r>
      <w:r>
        <w:rPr>
          <w:rFonts w:hint="eastAsia" w:ascii="仿宋_GB2312" w:hAnsi="黑体" w:eastAsia="仿宋_GB2312"/>
          <w:sz w:val="32"/>
          <w:szCs w:val="32"/>
        </w:rPr>
        <w:t>万元，包括一般公共服务支出440.43万元、社会保障和就业支出10.82万元、卫生健康支出9.06万元、住房保障支出6.31万元，结转下年0万元。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三亚市海棠区总工会</w:t>
      </w:r>
      <w:r>
        <w:rPr>
          <w:rFonts w:hint="eastAsia" w:ascii="黑体" w:hAnsi="黑体" w:eastAsia="黑体" w:cs="黑体"/>
          <w:sz w:val="32"/>
          <w:szCs w:val="32"/>
          <w:lang w:val="en-US" w:eastAsia="zh-CN"/>
        </w:rPr>
        <w:t>2026</w:t>
      </w:r>
      <w:r>
        <w:rPr>
          <w:rFonts w:hint="eastAsia" w:ascii="黑体" w:hAnsi="黑体" w:eastAsia="黑体" w:cs="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eastAsia="zh-CN"/>
        </w:rPr>
        <w:t>三亚市海棠区总工会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rPr>
        <w:t>466.62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8.04</w:t>
      </w:r>
      <w:r>
        <w:rPr>
          <w:rFonts w:hint="eastAsia" w:ascii="仿宋_GB2312" w:hAnsi="黑体" w:eastAsia="仿宋_GB2312"/>
          <w:sz w:val="32"/>
          <w:szCs w:val="32"/>
        </w:rPr>
        <w:t>万元，主要是202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年持续开展足球比赛、篮球比赛、乒乓球比赛、羽毛球比赛、拔河比赛，预计1200人次；海棠区工会干部履职能力提升培训班，预计1</w:t>
      </w:r>
      <w:r>
        <w:rPr>
          <w:rFonts w:hint="eastAsia" w:ascii="仿宋_GB2312" w:hAnsi="黑体" w:eastAsia="仿宋_GB2312"/>
          <w:sz w:val="32"/>
          <w:szCs w:val="32"/>
          <w:lang w:val="en-US" w:eastAsia="zh-CN"/>
        </w:rPr>
        <w:t>20</w:t>
      </w:r>
      <w:r>
        <w:rPr>
          <w:rFonts w:hint="eastAsia" w:ascii="仿宋_GB2312" w:hAnsi="黑体" w:eastAsia="仿宋_GB2312"/>
          <w:sz w:val="32"/>
          <w:szCs w:val="32"/>
        </w:rPr>
        <w:t>人；支付海棠区工会阵地物业管理费</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12351工会服务热线、服务基层工会</w:t>
      </w:r>
      <w:r>
        <w:rPr>
          <w:rFonts w:hint="eastAsia" w:ascii="仿宋_GB2312" w:hAnsi="黑体" w:eastAsia="仿宋_GB2312"/>
          <w:sz w:val="32"/>
          <w:szCs w:val="32"/>
        </w:rPr>
        <w:t>等</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一般公共服务（类）支出440.43万元，占94.</w:t>
      </w:r>
      <w:r>
        <w:rPr>
          <w:rFonts w:hint="eastAsia" w:ascii="仿宋_GB2312" w:hAnsi="黑体" w:eastAsia="仿宋_GB2312" w:cs="仿宋_GB2312"/>
          <w:sz w:val="32"/>
          <w:szCs w:val="32"/>
          <w:lang w:val="en-US" w:eastAsia="zh-CN"/>
        </w:rPr>
        <w:t>39</w:t>
      </w:r>
      <w:r>
        <w:rPr>
          <w:rFonts w:hint="eastAsia" w:ascii="仿宋_GB2312" w:hAnsi="黑体" w:eastAsia="仿宋_GB2312" w:cs="仿宋_GB2312"/>
          <w:sz w:val="32"/>
          <w:szCs w:val="32"/>
        </w:rPr>
        <w:t>%；社会保障和就业（类）支出10.82万元，占2.</w:t>
      </w:r>
      <w:r>
        <w:rPr>
          <w:rFonts w:hint="eastAsia" w:ascii="仿宋_GB2312" w:hAnsi="黑体" w:eastAsia="仿宋_GB2312" w:cs="仿宋_GB2312"/>
          <w:sz w:val="32"/>
          <w:szCs w:val="32"/>
          <w:lang w:val="en-US" w:eastAsia="zh-CN"/>
        </w:rPr>
        <w:t>32</w:t>
      </w:r>
      <w:r>
        <w:rPr>
          <w:rFonts w:hint="eastAsia" w:ascii="仿宋_GB2312" w:hAnsi="黑体" w:eastAsia="仿宋_GB2312" w:cs="仿宋_GB2312"/>
          <w:sz w:val="32"/>
          <w:szCs w:val="32"/>
        </w:rPr>
        <w:t>%；卫生健康（类）支出9.06万元，占1.</w:t>
      </w:r>
      <w:r>
        <w:rPr>
          <w:rFonts w:hint="eastAsia" w:ascii="仿宋_GB2312" w:hAnsi="黑体" w:eastAsia="仿宋_GB2312" w:cs="仿宋_GB2312"/>
          <w:sz w:val="32"/>
          <w:szCs w:val="32"/>
          <w:lang w:val="en-US" w:eastAsia="zh-CN"/>
        </w:rPr>
        <w:t>94</w:t>
      </w:r>
      <w:r>
        <w:rPr>
          <w:rFonts w:hint="eastAsia" w:ascii="仿宋_GB2312" w:hAnsi="黑体" w:eastAsia="仿宋_GB2312" w:cs="仿宋_GB2312"/>
          <w:sz w:val="32"/>
          <w:szCs w:val="32"/>
        </w:rPr>
        <w:t>%;住房保障（类）支出6.31万元，占1.</w:t>
      </w:r>
      <w:r>
        <w:rPr>
          <w:rFonts w:hint="eastAsia" w:ascii="仿宋_GB2312" w:hAnsi="黑体" w:eastAsia="仿宋_GB2312" w:cs="仿宋_GB2312"/>
          <w:sz w:val="32"/>
          <w:szCs w:val="32"/>
          <w:lang w:val="en-US" w:eastAsia="zh-CN"/>
        </w:rPr>
        <w:t>35</w:t>
      </w:r>
      <w:r>
        <w:rPr>
          <w:rFonts w:hint="eastAsia" w:ascii="仿宋_GB2312" w:hAnsi="黑体" w:eastAsia="仿宋_GB2312" w:cs="仿宋_GB2312"/>
          <w:sz w:val="32"/>
          <w:szCs w:val="32"/>
        </w:rPr>
        <w:t xml:space="preserve">%。  </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1.一般公共服务支出（类）群众团体事务（款）一般行政管理事务（项）202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年预算数为382.60万元，比上年预算数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51</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项目经费</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rPr>
        <w:t>。</w:t>
      </w:r>
    </w:p>
    <w:p>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年预算数为7.21万元，比上年预算数增加</w:t>
      </w:r>
      <w:r>
        <w:rPr>
          <w:rFonts w:hint="eastAsia" w:ascii="仿宋_GB2312" w:hAnsi="黑体" w:eastAsia="仿宋_GB2312" w:cs="仿宋_GB2312"/>
          <w:sz w:val="32"/>
          <w:szCs w:val="32"/>
          <w:lang w:val="en-US" w:eastAsia="zh-CN"/>
        </w:rPr>
        <w:t>0.47</w:t>
      </w:r>
      <w:r>
        <w:rPr>
          <w:rFonts w:hint="eastAsia" w:ascii="仿宋_GB2312" w:hAnsi="黑体" w:eastAsia="仿宋_GB2312" w:cs="仿宋_GB2312"/>
          <w:sz w:val="32"/>
          <w:szCs w:val="32"/>
        </w:rPr>
        <w:t>万元，主要是基本支出的养老保险缴费增加。</w:t>
      </w:r>
    </w:p>
    <w:p>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.社会保障和就业支出（类）行政事业单位养老支出（款）机关事业单位职业年金缴费支出（项）202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年预算数为3.61万元，比上年预算数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0.24</w:t>
      </w:r>
      <w:r>
        <w:rPr>
          <w:rFonts w:hint="eastAsia" w:ascii="仿宋_GB2312" w:hAnsi="黑体" w:eastAsia="仿宋_GB2312" w:cs="仿宋_GB2312"/>
          <w:sz w:val="32"/>
          <w:szCs w:val="32"/>
        </w:rPr>
        <w:t>万元，主要是单位职业年金</w:t>
      </w:r>
      <w:r>
        <w:rPr>
          <w:rFonts w:hint="eastAsia" w:ascii="仿宋_GB2312" w:hAnsi="黑体" w:eastAsia="仿宋_GB2312" w:cs="仿宋_GB2312"/>
          <w:sz w:val="32"/>
          <w:szCs w:val="32"/>
          <w:lang w:eastAsia="zh-CN"/>
        </w:rPr>
        <w:t>纪实</w:t>
      </w:r>
      <w:r>
        <w:rPr>
          <w:rFonts w:hint="eastAsia" w:ascii="仿宋_GB2312" w:hAnsi="黑体" w:eastAsia="仿宋_GB2312" w:cs="仿宋_GB2312"/>
          <w:sz w:val="32"/>
          <w:szCs w:val="32"/>
        </w:rPr>
        <w:t>缴费</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rPr>
        <w:t>。</w:t>
      </w:r>
    </w:p>
    <w:p>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.卫生健康支出（类）行政事业单位医疗（款）行政单位医疗（项）202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年预算数为2.90万元，比上年预算数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0.22</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主要是医疗保险缴费减少</w:t>
      </w:r>
      <w:r>
        <w:rPr>
          <w:rFonts w:hint="eastAsia" w:ascii="仿宋_GB2312" w:hAnsi="黑体" w:eastAsia="仿宋_GB2312" w:cs="仿宋_GB2312"/>
          <w:sz w:val="32"/>
          <w:szCs w:val="32"/>
        </w:rPr>
        <w:t>。</w:t>
      </w:r>
    </w:p>
    <w:p>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.卫生健康支出（类）行政事业单位医疗（款）公务员医疗补助（项）202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年预算数为6.16万元，比上一年预算数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0.37</w:t>
      </w:r>
      <w:r>
        <w:rPr>
          <w:rFonts w:hint="eastAsia" w:ascii="仿宋_GB2312" w:hAnsi="黑体" w:eastAsia="仿宋_GB2312" w:cs="仿宋_GB2312"/>
          <w:sz w:val="32"/>
          <w:szCs w:val="32"/>
        </w:rPr>
        <w:t>万元，主要是公务员医疗补助</w:t>
      </w:r>
      <w:r>
        <w:rPr>
          <w:rFonts w:hint="eastAsia" w:ascii="仿宋_GB2312" w:hAnsi="黑体" w:eastAsia="仿宋_GB2312" w:cs="仿宋_GB2312"/>
          <w:sz w:val="32"/>
          <w:szCs w:val="32"/>
          <w:lang w:eastAsia="zh-CN"/>
        </w:rPr>
        <w:t>缴纳增加</w:t>
      </w:r>
      <w:r>
        <w:rPr>
          <w:rFonts w:hint="eastAsia" w:ascii="仿宋_GB2312" w:hAnsi="黑体" w:eastAsia="仿宋_GB2312" w:cs="仿宋_GB2312"/>
          <w:sz w:val="32"/>
          <w:szCs w:val="32"/>
        </w:rPr>
        <w:t>。</w:t>
      </w:r>
    </w:p>
    <w:p>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.住房保障支出（类）住房改革支出（款）住房公积金（项）202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6.31</w:t>
      </w:r>
      <w:r>
        <w:rPr>
          <w:rFonts w:hint="eastAsia" w:ascii="仿宋_GB2312" w:hAnsi="黑体" w:eastAsia="仿宋_GB2312" w:cs="仿宋_GB2312"/>
          <w:sz w:val="32"/>
          <w:szCs w:val="32"/>
        </w:rPr>
        <w:t>万元，比上一年预算数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0.35</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住房公积金缴费增加</w:t>
      </w:r>
      <w:r>
        <w:rPr>
          <w:rFonts w:hint="eastAsia" w:ascii="仿宋_GB2312" w:hAnsi="黑体" w:eastAsia="仿宋_GB2312" w:cs="仿宋_GB2312"/>
          <w:sz w:val="32"/>
          <w:szCs w:val="32"/>
        </w:rPr>
        <w:t>。</w:t>
      </w:r>
    </w:p>
    <w:p>
      <w:pPr>
        <w:ind w:firstLine="64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rPr>
        <w:t>一般公共服务支出（类）群众团体事务（款）行政运行（项）202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57.83</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57.83</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项目经费</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三亚市海棠区总工会</w:t>
      </w:r>
      <w:r>
        <w:rPr>
          <w:rFonts w:hint="eastAsia" w:ascii="黑体" w:hAnsi="黑体" w:eastAsia="黑体" w:cs="黑体"/>
          <w:sz w:val="32"/>
          <w:szCs w:val="32"/>
          <w:lang w:val="en-US" w:eastAsia="zh-CN"/>
        </w:rPr>
        <w:t>2026</w:t>
      </w:r>
      <w:r>
        <w:rPr>
          <w:rFonts w:hint="eastAsia" w:ascii="黑体" w:hAnsi="黑体" w:eastAsia="黑体" w:cs="黑体"/>
          <w:sz w:val="32"/>
          <w:szCs w:val="32"/>
        </w:rPr>
        <w:t>年一</w:t>
      </w:r>
      <w:r>
        <w:rPr>
          <w:rFonts w:hint="eastAsia" w:ascii="黑体" w:hAnsi="黑体" w:eastAsia="黑体"/>
          <w:sz w:val="32"/>
          <w:szCs w:val="32"/>
        </w:rPr>
        <w:t>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三亚市海棠区总工会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84.02</w:t>
      </w:r>
      <w:r>
        <w:rPr>
          <w:rFonts w:hint="eastAsia" w:ascii="仿宋_GB2312" w:hAnsi="黑体" w:eastAsia="仿宋_GB2312"/>
          <w:sz w:val="32"/>
          <w:szCs w:val="32"/>
        </w:rPr>
        <w:t>万元，其中：</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81.37</w:t>
      </w:r>
      <w:r>
        <w:rPr>
          <w:rFonts w:hint="eastAsia" w:ascii="仿宋_GB2312" w:hAnsi="黑体" w:eastAsia="仿宋_GB2312"/>
          <w:sz w:val="32"/>
          <w:szCs w:val="32"/>
        </w:rPr>
        <w:t>万元，主要包括：基本工资、津贴补贴、奖金、社会保障缴费、住房公积金、机关事业单位基本养老保险缴费等;</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2.65</w:t>
      </w:r>
      <w:r>
        <w:rPr>
          <w:rFonts w:hint="eastAsia" w:ascii="仿宋_GB2312" w:hAnsi="黑体" w:eastAsia="仿宋_GB2312"/>
          <w:sz w:val="32"/>
          <w:szCs w:val="32"/>
        </w:rPr>
        <w:t>万元，主要包括：办公费、咨询费、手续费、水费、电费、工会经费等。</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三亚市海棠区总工会</w:t>
      </w:r>
      <w:r>
        <w:rPr>
          <w:rFonts w:hint="eastAsia" w:ascii="黑体" w:hAnsi="黑体" w:eastAsia="黑体" w:cs="黑体"/>
          <w:sz w:val="32"/>
          <w:szCs w:val="32"/>
          <w:lang w:val="en-US" w:eastAsia="zh-CN"/>
        </w:rPr>
        <w:t>2026</w:t>
      </w:r>
      <w:r>
        <w:rPr>
          <w:rFonts w:hint="eastAsia" w:ascii="黑体" w:hAnsi="黑体" w:eastAsia="黑体" w:cs="黑体"/>
          <w:sz w:val="32"/>
          <w:shd w:val="clear" w:color="auto" w:fill="FFFFFF"/>
        </w:rPr>
        <w:t>年“三公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三亚市海棠区总工会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eastAsia="zh-CN"/>
        </w:rPr>
        <w:t>三亚市海棠区总工会</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人。出国（境）团组主要包括：1.团组：目的地</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三亚市海棠区总工会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hint="eastAsia" w:ascii="Times New Roman" w:hAnsi="Times New Roman" w:eastAsia="仿宋_GB2312" w:cs="Times New Roman"/>
          <w:sz w:val="32"/>
          <w:shd w:val="clear" w:color="auto" w:fill="FFFFFF"/>
          <w:lang w:val="en-US" w:eastAsia="zh-CN"/>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eastAsia="zh-CN"/>
        </w:rPr>
        <w:t>三亚市海棠区总工会</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人。出国（境）团组主要包括：1.团组：目的地</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三亚市海棠区总工会</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三亚市海棠区总工会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三亚市海棠区总工会</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三亚市海棠区总工会</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预算管理。收入包括：一般公共预算收入</w:t>
      </w:r>
      <w:r>
        <w:rPr>
          <w:rFonts w:hint="eastAsia" w:ascii="仿宋_GB2312" w:hAnsi="黑体" w:eastAsia="仿宋_GB2312"/>
          <w:sz w:val="32"/>
          <w:szCs w:val="32"/>
        </w:rPr>
        <w:t>；支出包括：一般公共服务支出、社会保障和就业支出、卫生健康支出、住房保障支出。</w:t>
      </w:r>
      <w:r>
        <w:rPr>
          <w:rFonts w:hint="eastAsia" w:ascii="仿宋_GB2312" w:hAnsi="黑体" w:eastAsia="仿宋_GB2312" w:cs="仿宋_GB2312"/>
          <w:sz w:val="32"/>
          <w:szCs w:val="32"/>
          <w:lang w:eastAsia="zh-CN"/>
        </w:rPr>
        <w:t>三亚市海棠区总工会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466.62</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三亚市海棠区总工会</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三亚市海棠区总工会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rPr>
        <w:t>466.62</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w:t>
      </w:r>
      <w:r>
        <w:rPr>
          <w:rFonts w:hint="eastAsia" w:ascii="仿宋_GB2312" w:hAnsi="黑体" w:eastAsia="仿宋_GB2312" w:cs="仿宋_GB2312"/>
          <w:sz w:val="32"/>
          <w:szCs w:val="32"/>
        </w:rPr>
        <w:t>466.62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8.04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工会服务经费和基本支出增加</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三亚市海棠区总工会</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三亚市海棠区总工会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rPr>
        <w:t>466.62</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84.02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18.01</w:t>
      </w:r>
      <w:r>
        <w:rPr>
          <w:rFonts w:hint="eastAsia" w:ascii="仿宋_GB2312" w:hAnsi="黑体" w:eastAsia="仿宋_GB2312"/>
          <w:sz w:val="32"/>
          <w:szCs w:val="32"/>
        </w:rPr>
        <w:t>%；项目支出</w:t>
      </w:r>
      <w:r>
        <w:rPr>
          <w:rFonts w:hint="eastAsia" w:ascii="仿宋_GB2312" w:hAnsi="黑体" w:eastAsia="仿宋_GB2312" w:cs="仿宋_GB2312"/>
          <w:sz w:val="32"/>
          <w:szCs w:val="32"/>
        </w:rPr>
        <w:t>382.60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81.99</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8.04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工会服务经费和基本支出增加</w:t>
      </w:r>
      <w:bookmarkStart w:id="0" w:name="_GoBack"/>
      <w:r>
        <w:rPr>
          <w:rFonts w:hint="eastAsia" w:ascii="仿宋_GB2312" w:hAnsi="黑体" w:eastAsia="仿宋_GB2312"/>
          <w:sz w:val="32"/>
          <w:szCs w:val="32"/>
        </w:rPr>
        <w:t>。其中委托业务费预算总额</w:t>
      </w:r>
      <w:r>
        <w:rPr>
          <w:rFonts w:hint="eastAsia" w:ascii="仿宋_GB2312" w:hAnsi="黑体" w:eastAsia="仿宋_GB2312"/>
          <w:sz w:val="32"/>
          <w:szCs w:val="32"/>
          <w:lang w:val="en-US" w:eastAsia="zh-CN"/>
        </w:rPr>
        <w:t>138.7</w:t>
      </w:r>
      <w:r>
        <w:rPr>
          <w:rFonts w:hint="eastAsia" w:ascii="仿宋_GB2312" w:hAnsi="黑体" w:eastAsia="仿宋_GB2312"/>
          <w:sz w:val="32"/>
          <w:szCs w:val="32"/>
        </w:rPr>
        <w:t>万元，比上年预算数增加</w:t>
      </w:r>
      <w:r>
        <w:rPr>
          <w:rFonts w:hint="eastAsia" w:ascii="仿宋_GB2312" w:hAnsi="黑体" w:eastAsia="仿宋_GB2312"/>
          <w:sz w:val="32"/>
          <w:szCs w:val="32"/>
          <w:lang w:val="en-US" w:eastAsia="zh-CN"/>
        </w:rPr>
        <w:t>22.7</w:t>
      </w:r>
      <w:r>
        <w:rPr>
          <w:rFonts w:hint="eastAsia" w:ascii="仿宋_GB2312" w:hAnsi="黑体" w:eastAsia="仿宋_GB2312"/>
          <w:sz w:val="32"/>
          <w:szCs w:val="32"/>
        </w:rPr>
        <w:t>万元。</w:t>
      </w:r>
    </w:p>
    <w:bookmarkEnd w:id="0"/>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三亚市海棠区总工会</w:t>
      </w:r>
      <w:r>
        <w:rPr>
          <w:rFonts w:hint="eastAsia" w:ascii="仿宋_GB2312" w:hAnsi="黑体" w:eastAsia="仿宋_GB2312" w:cs="仿宋_GB2312"/>
          <w:sz w:val="32"/>
          <w:szCs w:val="32"/>
        </w:rPr>
        <w:t>的机关运行经费预算2.65</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三亚市海棠区总工会</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三亚市海棠区总工会</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eastAsia="zh-CN"/>
        </w:rPr>
        <w:t>三亚市海棠区总工会</w:t>
      </w:r>
      <w:r>
        <w:rPr>
          <w:rFonts w:hint="eastAsia" w:ascii="仿宋_GB2312" w:hAnsi="黑体" w:eastAsia="仿宋_GB2312" w:cs="仿宋_GB2312"/>
          <w:sz w:val="32"/>
          <w:szCs w:val="32"/>
          <w:lang w:val="en-US" w:eastAsia="zh-CN"/>
        </w:rPr>
        <w:t>16</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466.62</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1F01BD2"/>
    <w:rsid w:val="02C848FD"/>
    <w:rsid w:val="03A10CAA"/>
    <w:rsid w:val="04293179"/>
    <w:rsid w:val="04651CD8"/>
    <w:rsid w:val="04806B11"/>
    <w:rsid w:val="067246BE"/>
    <w:rsid w:val="06A66D03"/>
    <w:rsid w:val="071E34F0"/>
    <w:rsid w:val="096B4234"/>
    <w:rsid w:val="0B9A495D"/>
    <w:rsid w:val="0C3D67FB"/>
    <w:rsid w:val="0D7F205C"/>
    <w:rsid w:val="0DC65EDD"/>
    <w:rsid w:val="0E150E4B"/>
    <w:rsid w:val="0F0767AD"/>
    <w:rsid w:val="1025513D"/>
    <w:rsid w:val="10480E2B"/>
    <w:rsid w:val="113969C6"/>
    <w:rsid w:val="12DB5F87"/>
    <w:rsid w:val="13A66595"/>
    <w:rsid w:val="149273E1"/>
    <w:rsid w:val="155618F4"/>
    <w:rsid w:val="157D3325"/>
    <w:rsid w:val="168B1A72"/>
    <w:rsid w:val="190F0738"/>
    <w:rsid w:val="197917AB"/>
    <w:rsid w:val="1A1D0C33"/>
    <w:rsid w:val="1BAE6F47"/>
    <w:rsid w:val="1C3A1F70"/>
    <w:rsid w:val="1ED65DE0"/>
    <w:rsid w:val="21B04A82"/>
    <w:rsid w:val="21E52114"/>
    <w:rsid w:val="23E12CD1"/>
    <w:rsid w:val="248A15BB"/>
    <w:rsid w:val="25DE6EB0"/>
    <w:rsid w:val="26E77B9C"/>
    <w:rsid w:val="27A45160"/>
    <w:rsid w:val="28697739"/>
    <w:rsid w:val="28FE2577"/>
    <w:rsid w:val="2BC43604"/>
    <w:rsid w:val="2DE13A49"/>
    <w:rsid w:val="2F1F0B51"/>
    <w:rsid w:val="2F7549E3"/>
    <w:rsid w:val="32D7273B"/>
    <w:rsid w:val="32EC3440"/>
    <w:rsid w:val="34117602"/>
    <w:rsid w:val="356E638F"/>
    <w:rsid w:val="35926521"/>
    <w:rsid w:val="371A057C"/>
    <w:rsid w:val="37B13D5B"/>
    <w:rsid w:val="385007D9"/>
    <w:rsid w:val="393B2A2C"/>
    <w:rsid w:val="39D07618"/>
    <w:rsid w:val="3A231E3E"/>
    <w:rsid w:val="3A6D30B9"/>
    <w:rsid w:val="3A6D4E67"/>
    <w:rsid w:val="3ACA050B"/>
    <w:rsid w:val="3C983CE2"/>
    <w:rsid w:val="3DA037A5"/>
    <w:rsid w:val="3E371A14"/>
    <w:rsid w:val="3EC11C25"/>
    <w:rsid w:val="3F626F64"/>
    <w:rsid w:val="40E1035D"/>
    <w:rsid w:val="411B561D"/>
    <w:rsid w:val="448D4D51"/>
    <w:rsid w:val="44E421C9"/>
    <w:rsid w:val="450F36EA"/>
    <w:rsid w:val="455E3D2A"/>
    <w:rsid w:val="478C7274"/>
    <w:rsid w:val="49357497"/>
    <w:rsid w:val="4A8A55E5"/>
    <w:rsid w:val="4C806C7C"/>
    <w:rsid w:val="4CCE3E8B"/>
    <w:rsid w:val="4D0B42A4"/>
    <w:rsid w:val="4EB66985"/>
    <w:rsid w:val="4F457D08"/>
    <w:rsid w:val="50045AFA"/>
    <w:rsid w:val="502D5E15"/>
    <w:rsid w:val="51051E45"/>
    <w:rsid w:val="51752B27"/>
    <w:rsid w:val="51D3784E"/>
    <w:rsid w:val="534C7AEF"/>
    <w:rsid w:val="53C03E02"/>
    <w:rsid w:val="54AA6D09"/>
    <w:rsid w:val="54D916B7"/>
    <w:rsid w:val="55EC7130"/>
    <w:rsid w:val="56CE4A87"/>
    <w:rsid w:val="59084281"/>
    <w:rsid w:val="598633F7"/>
    <w:rsid w:val="5B4044D2"/>
    <w:rsid w:val="5B6F4E81"/>
    <w:rsid w:val="5D4F60A9"/>
    <w:rsid w:val="5E4E6BDA"/>
    <w:rsid w:val="60B30F76"/>
    <w:rsid w:val="61FC4B9F"/>
    <w:rsid w:val="62430DE6"/>
    <w:rsid w:val="62570027"/>
    <w:rsid w:val="62B62F9F"/>
    <w:rsid w:val="62E278F0"/>
    <w:rsid w:val="644545DB"/>
    <w:rsid w:val="64CD637E"/>
    <w:rsid w:val="651C1525"/>
    <w:rsid w:val="66F67E0E"/>
    <w:rsid w:val="681D1441"/>
    <w:rsid w:val="684A41D6"/>
    <w:rsid w:val="68582403"/>
    <w:rsid w:val="69012A9A"/>
    <w:rsid w:val="6AB9187F"/>
    <w:rsid w:val="6ADA17F5"/>
    <w:rsid w:val="6E35746E"/>
    <w:rsid w:val="70EB650A"/>
    <w:rsid w:val="71C805F9"/>
    <w:rsid w:val="71DA2D11"/>
    <w:rsid w:val="71EF5B86"/>
    <w:rsid w:val="7372081D"/>
    <w:rsid w:val="73840550"/>
    <w:rsid w:val="73EA2AA9"/>
    <w:rsid w:val="75383CE8"/>
    <w:rsid w:val="778E7071"/>
    <w:rsid w:val="78000AED"/>
    <w:rsid w:val="79B0209F"/>
    <w:rsid w:val="79E91A91"/>
    <w:rsid w:val="7B1E7CB4"/>
    <w:rsid w:val="7B252618"/>
    <w:rsid w:val="7B6B0973"/>
    <w:rsid w:val="7BAC4AE8"/>
    <w:rsid w:val="7DE71E07"/>
    <w:rsid w:val="7E68119A"/>
    <w:rsid w:val="7FC426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4135</Words>
  <Characters>4460</Characters>
  <Lines>0</Lines>
  <Paragraphs>0</Paragraphs>
  <TotalTime>1</TotalTime>
  <ScaleCrop>false</ScaleCrop>
  <LinksUpToDate>false</LinksUpToDate>
  <CharactersWithSpaces>4489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2026-02-26T07:23:15Z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47A26372DEF94B9D8A88B78BB4984B71_13</vt:lpwstr>
  </property>
  <property fmtid="{D5CDD505-2E9C-101B-9397-08002B2CF9AE}" pid="4" name="KSOTemplateDocerSaveRecord">
    <vt:lpwstr>eyJoZGlkIjoiYWMyMmU1ZWY3NmE4YjU0NjlhNDEwODRkNGUzNjQzZDgiLCJ1c2VySWQiOiIzNTQzOTY5MjMifQ==</vt:lpwstr>
  </property>
</Properties>
</file>