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sz w:val="84"/>
          <w:szCs w:val="84"/>
          <w:u w:val="single"/>
          <w:lang w:eastAsia="zh-CN"/>
        </w:rPr>
      </w:pPr>
      <w:bookmarkStart w:id="0" w:name="_GoBack"/>
      <w:bookmarkEnd w:id="0"/>
    </w:p>
    <w:p>
      <w:pPr>
        <w:rPr>
          <w:sz w:val="84"/>
          <w:szCs w:val="84"/>
          <w:u w:val="single"/>
        </w:rPr>
      </w:pPr>
    </w:p>
    <w:p>
      <w:pPr>
        <w:rPr>
          <w:sz w:val="84"/>
          <w:szCs w:val="84"/>
          <w:u w:val="single"/>
        </w:rPr>
      </w:pPr>
    </w:p>
    <w:p>
      <w:pPr>
        <w:rPr>
          <w:sz w:val="84"/>
          <w:szCs w:val="84"/>
          <w:u w:val="single"/>
        </w:rPr>
      </w:pPr>
    </w:p>
    <w:p>
      <w:pPr>
        <w:jc w:val="center"/>
        <w:rPr>
          <w:rFonts w:hint="eastAsia"/>
          <w:sz w:val="52"/>
          <w:szCs w:val="52"/>
          <w:lang w:val="en-US" w:eastAsia="zh-CN"/>
        </w:rPr>
      </w:pPr>
      <w:r>
        <w:rPr>
          <w:rFonts w:hint="eastAsia" w:ascii="宋体" w:hAnsi="宋体" w:eastAsia="宋体" w:cs="宋体"/>
          <w:sz w:val="52"/>
          <w:szCs w:val="52"/>
          <w:lang w:val="en-US" w:eastAsia="zh-CN"/>
        </w:rPr>
        <w:t>202</w:t>
      </w:r>
      <w:r>
        <w:rPr>
          <w:rFonts w:hint="eastAsia" w:ascii="宋体" w:hAnsi="宋体" w:cs="宋体"/>
          <w:sz w:val="52"/>
          <w:szCs w:val="52"/>
          <w:lang w:val="en-US" w:eastAsia="zh-CN"/>
        </w:rPr>
        <w:t>6</w:t>
      </w:r>
      <w:r>
        <w:rPr>
          <w:rFonts w:hint="eastAsia" w:ascii="宋体" w:hAnsi="宋体" w:eastAsia="宋体" w:cs="宋体"/>
          <w:sz w:val="52"/>
          <w:szCs w:val="52"/>
        </w:rPr>
        <w:t>年</w:t>
      </w:r>
      <w:r>
        <w:rPr>
          <w:rFonts w:hint="eastAsia"/>
          <w:sz w:val="52"/>
          <w:szCs w:val="52"/>
          <w:lang w:val="en-US" w:eastAsia="zh-CN"/>
        </w:rPr>
        <w:t>三亚市海棠区营商环境</w:t>
      </w:r>
    </w:p>
    <w:p>
      <w:pPr>
        <w:jc w:val="center"/>
        <w:rPr>
          <w:sz w:val="52"/>
          <w:szCs w:val="52"/>
        </w:rPr>
      </w:pPr>
      <w:r>
        <w:rPr>
          <w:rFonts w:hint="eastAsia"/>
          <w:sz w:val="52"/>
          <w:szCs w:val="52"/>
          <w:lang w:val="en-US" w:eastAsia="zh-CN"/>
        </w:rPr>
        <w:t>建设局</w:t>
      </w:r>
      <w:r>
        <w:rPr>
          <w:rFonts w:hint="eastAsia"/>
          <w:sz w:val="52"/>
          <w:szCs w:val="52"/>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三亚市海棠区营商环境建设局</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三亚市海棠区营商环境建设局2026</w:t>
      </w:r>
      <w:r>
        <w:rPr>
          <w:rFonts w:hint="eastAsia" w:ascii="黑体" w:hAnsi="黑体" w:eastAsia="黑体"/>
          <w:sz w:val="32"/>
          <w:szCs w:val="32"/>
        </w:rPr>
        <w:t>年部门预算表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4"/>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三亚市海棠区营商环境建设局2026</w:t>
      </w:r>
      <w:r>
        <w:rPr>
          <w:rFonts w:hint="eastAsia" w:ascii="黑体" w:hAnsi="黑体" w:eastAsia="黑体" w:cs="黑体"/>
          <w:sz w:val="32"/>
          <w:szCs w:val="32"/>
        </w:rPr>
        <w:t>年</w:t>
      </w:r>
      <w:r>
        <w:rPr>
          <w:rFonts w:hint="eastAsia" w:ascii="黑体" w:hAnsi="黑体" w:eastAsia="黑体"/>
          <w:sz w:val="32"/>
          <w:szCs w:val="32"/>
        </w:rPr>
        <w:t>部门预算情况说明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4"/>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4"/>
        <w:keepNext w:val="0"/>
        <w:keepLines w:val="0"/>
        <w:pageBreakBefore w:val="0"/>
        <w:widowControl w:val="0"/>
        <w:numPr>
          <w:ilvl w:val="0"/>
          <w:numId w:val="4"/>
        </w:numPr>
        <w:kinsoku/>
        <w:wordWrap/>
        <w:overflowPunct/>
        <w:topLinePunct w:val="0"/>
        <w:autoSpaceDE/>
        <w:autoSpaceDN/>
        <w:bidi w:val="0"/>
        <w:adjustRightInd/>
        <w:snapToGrid/>
        <w:spacing w:line="560" w:lineRule="exact"/>
        <w:ind w:right="0" w:rightChars="0" w:firstLineChars="0"/>
        <w:jc w:val="center"/>
        <w:textAlignment w:val="auto"/>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三亚市海棠区营商环境建设局</w:t>
      </w:r>
      <w:r>
        <w:rPr>
          <w:rFonts w:hint="eastAsia" w:ascii="黑体" w:hAnsi="黑体" w:eastAsia="黑体"/>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ascii="仿宋_GB2312" w:hAnsi="仿宋_GB2312" w:eastAsia="仿宋_GB2312" w:cs="仿宋_GB2312"/>
          <w:sz w:val="32"/>
          <w:szCs w:val="32"/>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rPr>
        <w:t>三亚市海棠区营商环境建设局职能如下：</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一）</w:t>
      </w:r>
      <w:r>
        <w:rPr>
          <w:rFonts w:hint="eastAsia" w:ascii="仿宋_GB2312" w:hAnsi="黑体" w:eastAsia="仿宋_GB2312" w:cs="仿宋_GB2312"/>
          <w:sz w:val="32"/>
          <w:szCs w:val="32"/>
        </w:rPr>
        <w:t>负责建立健全全区营商环境体制机制建设，研究制定营商环境、政务服务及信息化建设、社会信用体系建设等方面的政策措施、工作计划、评价指标体系建设并组织实施。</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二）</w:t>
      </w:r>
      <w:r>
        <w:rPr>
          <w:rFonts w:hint="eastAsia" w:ascii="仿宋_GB2312" w:hAnsi="黑体" w:eastAsia="仿宋_GB2312" w:cs="仿宋_GB2312"/>
          <w:sz w:val="32"/>
          <w:szCs w:val="32"/>
        </w:rPr>
        <w:t>组织指导、统筹协调推进全区营商环境建设工作，牵头推进营商环境建设相关职能转变，负责推进营商环境建设相关的制度系统集成创新，建立健全以法治为基础，稳定、公开、透明、可预期的制度体系。</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三）</w:t>
      </w:r>
      <w:r>
        <w:rPr>
          <w:rFonts w:hint="eastAsia" w:ascii="仿宋_GB2312" w:hAnsi="黑体" w:eastAsia="仿宋_GB2312" w:cs="仿宋_GB2312"/>
          <w:sz w:val="32"/>
          <w:szCs w:val="32"/>
        </w:rPr>
        <w:t>负责受理营商环境相关的咨询、投诉、举报，协调处理损害营商环境的行为；负责研究影响全区营商环境建设的历史遗留问题并提出解决的意见建议，协调推动相关部门解决营商环境建设中的历史遗留问题。</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四）</w:t>
      </w:r>
      <w:r>
        <w:rPr>
          <w:rFonts w:hint="eastAsia" w:ascii="仿宋_GB2312" w:hAnsi="黑体" w:eastAsia="仿宋_GB2312" w:cs="仿宋_GB2312"/>
          <w:sz w:val="32"/>
          <w:szCs w:val="32"/>
        </w:rPr>
        <w:t>统筹推进全区社会信用体系建设，指导和监督管理社会信用建设工作，组织开展诚信海棠建设。</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五）</w:t>
      </w:r>
      <w:r>
        <w:rPr>
          <w:rFonts w:hint="eastAsia" w:ascii="仿宋_GB2312" w:hAnsi="黑体" w:eastAsia="仿宋_GB2312" w:cs="仿宋_GB2312"/>
          <w:sz w:val="32"/>
          <w:szCs w:val="32"/>
        </w:rPr>
        <w:t>负责加快推进政府数字化转型和数字政府建设工作，协调推进全区政务服务管理工作，统筹推进政务服务信息化、智能化建设工作；推动政务服务数据共建共享。</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六）</w:t>
      </w:r>
      <w:r>
        <w:rPr>
          <w:rFonts w:hint="eastAsia" w:ascii="仿宋_GB2312" w:hAnsi="黑体" w:eastAsia="仿宋_GB2312" w:cs="仿宋_GB2312"/>
          <w:sz w:val="32"/>
          <w:szCs w:val="32"/>
        </w:rPr>
        <w:t>统筹推进“放管服”改革、优化政务服务，辅助行政审批制度改革，研究提出全区行政审批事项清单及调整建议，负责跨部门审批事项和重大事项的协调。</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七）</w:t>
      </w:r>
      <w:r>
        <w:rPr>
          <w:rFonts w:hint="eastAsia" w:ascii="仿宋_GB2312" w:hAnsi="黑体" w:eastAsia="仿宋_GB2312" w:cs="仿宋_GB2312"/>
          <w:sz w:val="32"/>
          <w:szCs w:val="32"/>
        </w:rPr>
        <w:t>负责办理承接的行政审批及前后置手续或环节的有关事项，牵头对承接的行政审批事项及前后置手续或环节涉及的现场踏勘。评估评审及专家论证等工作。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八）</w:t>
      </w:r>
      <w:r>
        <w:rPr>
          <w:rFonts w:hint="eastAsia" w:ascii="仿宋_GB2312" w:hAnsi="黑体" w:eastAsia="仿宋_GB2312" w:cs="仿宋_GB2312"/>
          <w:sz w:val="32"/>
          <w:szCs w:val="32"/>
        </w:rPr>
        <w:t>负责组织实施营商环境建设工作人员及行政审批工作人员的教育培训、考核以及日常监督管理等工作。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九）</w:t>
      </w:r>
      <w:r>
        <w:rPr>
          <w:rFonts w:hint="eastAsia" w:ascii="仿宋_GB2312" w:hAnsi="黑体" w:eastAsia="仿宋_GB2312" w:cs="仿宋_GB2312"/>
          <w:sz w:val="32"/>
          <w:szCs w:val="32"/>
        </w:rPr>
        <w:t>统筹协调推进区内中央及省级机构、实属企事业单位的营商环境建设工作。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十）</w:t>
      </w:r>
      <w:r>
        <w:rPr>
          <w:rFonts w:hint="eastAsia" w:ascii="仿宋_GB2312" w:hAnsi="黑体" w:eastAsia="仿宋_GB2312" w:cs="仿宋_GB2312"/>
          <w:sz w:val="32"/>
          <w:szCs w:val="32"/>
        </w:rPr>
        <w:t>完成区委、区政府和上级部门交办的其他任务。</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rPr>
        <w:t>三亚市海棠区政务服务中心（下属事业单位）职能如下：</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十一）</w:t>
      </w:r>
      <w:r>
        <w:rPr>
          <w:rFonts w:hint="eastAsia" w:ascii="仿宋_GB2312" w:hAnsi="黑体" w:eastAsia="仿宋_GB2312" w:cs="仿宋_GB2312"/>
          <w:sz w:val="32"/>
          <w:szCs w:val="32"/>
        </w:rPr>
        <w:t>依法拟定并组织实施政务服务方面的规划和措施。</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十二）</w:t>
      </w:r>
      <w:r>
        <w:rPr>
          <w:rFonts w:hint="eastAsia" w:ascii="仿宋_GB2312" w:hAnsi="黑体" w:eastAsia="仿宋_GB2312" w:cs="仿宋_GB2312"/>
          <w:sz w:val="32"/>
          <w:szCs w:val="32"/>
        </w:rPr>
        <w:t>负责对进入政务服务中心办理的行政许可和审批事项的监督管理、协调服务。</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十三）</w:t>
      </w:r>
      <w:r>
        <w:rPr>
          <w:rFonts w:hint="eastAsia" w:ascii="仿宋_GB2312" w:hAnsi="黑体" w:eastAsia="仿宋_GB2312" w:cs="仿宋_GB2312"/>
          <w:sz w:val="32"/>
          <w:szCs w:val="32"/>
        </w:rPr>
        <w:t>对涉及两个以上部门行政审批项目联合审批提供协调服务；对审批项目的审批运转情况进行收集整理、协调、督察，并向有关部门提出改进建议。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十四）</w:t>
      </w:r>
      <w:r>
        <w:rPr>
          <w:rFonts w:hint="eastAsia" w:ascii="仿宋_GB2312" w:hAnsi="黑体" w:eastAsia="仿宋_GB2312" w:cs="仿宋_GB2312"/>
          <w:sz w:val="32"/>
          <w:szCs w:val="32"/>
        </w:rPr>
        <w:t>协调服务本区招投标活动有关事宜。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十五）</w:t>
      </w:r>
      <w:r>
        <w:rPr>
          <w:rFonts w:hint="eastAsia" w:ascii="仿宋_GB2312" w:hAnsi="黑体" w:eastAsia="仿宋_GB2312" w:cs="仿宋_GB2312"/>
          <w:sz w:val="32"/>
          <w:szCs w:val="32"/>
        </w:rPr>
        <w:t>受理社会公众、服务对象对进入政务服务中心提供政务服务的工作人员违法违纪行为的投诉、举报，并移交有关部门查处。</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十六）</w:t>
      </w:r>
      <w:r>
        <w:rPr>
          <w:rFonts w:hint="eastAsia" w:ascii="仿宋_GB2312" w:hAnsi="黑体" w:eastAsia="仿宋_GB2312" w:cs="仿宋_GB2312"/>
          <w:sz w:val="32"/>
          <w:szCs w:val="32"/>
        </w:rPr>
        <w:t>负责对进入政务服务中心提供政务服务的人员的现场管理、日常考勤和年度考核，并提供必要的服务；监督指导社区居（村）委会开展便民服务。</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十七）</w:t>
      </w:r>
      <w:r>
        <w:rPr>
          <w:rFonts w:hint="eastAsia" w:ascii="仿宋_GB2312" w:hAnsi="黑体" w:eastAsia="仿宋_GB2312" w:cs="仿宋_GB2312"/>
          <w:sz w:val="32"/>
          <w:szCs w:val="32"/>
        </w:rPr>
        <w:t>承办区委、区政府及上级部门交办的工作。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800" w:firstLineChars="250"/>
        <w:jc w:val="left"/>
        <w:textAlignment w:val="auto"/>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三亚市海棠区营商环境建设局</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年部门预算编制范围的二级预算单位包括：</w:t>
      </w:r>
    </w:p>
    <w:p>
      <w:pPr>
        <w:pStyle w:val="4"/>
        <w:keepNext w:val="0"/>
        <w:keepLines w:val="0"/>
        <w:pageBreakBefore w:val="0"/>
        <w:widowControl w:val="0"/>
        <w:numPr>
          <w:ilvl w:val="0"/>
          <w:numId w:val="5"/>
        </w:numPr>
        <w:kinsoku/>
        <w:wordWrap/>
        <w:overflowPunct/>
        <w:topLinePunct w:val="0"/>
        <w:autoSpaceDE/>
        <w:autoSpaceDN/>
        <w:bidi w:val="0"/>
        <w:adjustRightInd/>
        <w:snapToGrid/>
        <w:spacing w:line="560" w:lineRule="exact"/>
        <w:ind w:right="0" w:rightChars="0" w:firstLineChars="0"/>
        <w:jc w:val="left"/>
        <w:textAlignment w:val="auto"/>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三亚市海棠区营商环境建设局本级</w:t>
      </w:r>
    </w:p>
    <w:p>
      <w:pPr>
        <w:pStyle w:val="4"/>
        <w:keepNext w:val="0"/>
        <w:keepLines w:val="0"/>
        <w:pageBreakBefore w:val="0"/>
        <w:widowControl w:val="0"/>
        <w:numPr>
          <w:ilvl w:val="0"/>
          <w:numId w:val="5"/>
        </w:numPr>
        <w:kinsoku/>
        <w:wordWrap/>
        <w:overflowPunct/>
        <w:topLinePunct w:val="0"/>
        <w:autoSpaceDE/>
        <w:autoSpaceDN/>
        <w:bidi w:val="0"/>
        <w:adjustRightInd/>
        <w:snapToGrid/>
        <w:spacing w:line="560" w:lineRule="exact"/>
        <w:ind w:right="0" w:rightChars="0" w:firstLineChars="0"/>
        <w:jc w:val="left"/>
        <w:textAlignment w:val="auto"/>
        <w:rPr>
          <w:rFonts w:ascii="仿宋_GB2312" w:hAnsi="黑体" w:eastAsia="仿宋_GB2312" w:cs="仿宋_GB2312"/>
          <w:sz w:val="32"/>
          <w:szCs w:val="32"/>
        </w:rPr>
      </w:pPr>
      <w:r>
        <w:rPr>
          <w:rFonts w:hint="eastAsia" w:ascii="仿宋_GB2312" w:hAnsi="黑体" w:eastAsia="仿宋_GB2312" w:cs="仿宋_GB2312"/>
          <w:sz w:val="32"/>
          <w:szCs w:val="32"/>
        </w:rPr>
        <w:t>三亚市海棠区政务服务中心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560" w:lineRule="exact"/>
        <w:ind w:left="800" w:right="0" w:rightChars="0"/>
        <w:jc w:val="left"/>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800" w:right="0" w:rightChars="0"/>
        <w:jc w:val="center"/>
        <w:textAlignment w:val="auto"/>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150"/>
        <w:textAlignment w:val="auto"/>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w:t>
      </w:r>
      <w:r>
        <w:rPr>
          <w:rFonts w:hint="eastAsia" w:ascii="黑体" w:hAnsi="黑体" w:eastAsia="黑体" w:cs="黑体"/>
          <w:sz w:val="32"/>
          <w:szCs w:val="32"/>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黑体" w:eastAsia="仿宋_GB2312"/>
          <w:sz w:val="32"/>
          <w:szCs w:val="32"/>
        </w:rPr>
      </w:pPr>
      <w:r>
        <w:rPr>
          <w:rFonts w:hint="eastAsia" w:ascii="仿宋_GB2312" w:hAnsi="黑体" w:eastAsia="仿宋_GB2312"/>
          <w:sz w:val="32"/>
          <w:szCs w:val="32"/>
          <w:lang w:eastAsia="zh-CN"/>
        </w:rPr>
        <w:t>三亚市海棠区营商环境建设局</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773.94</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773.94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，包括一般公共预算本年收入</w:t>
      </w:r>
      <w:r>
        <w:rPr>
          <w:rFonts w:hint="eastAsia" w:ascii="仿宋_GB2312" w:hAnsi="黑体" w:eastAsia="仿宋_GB2312" w:cs="仿宋_GB2312"/>
          <w:sz w:val="32"/>
          <w:szCs w:val="32"/>
          <w:lang w:val="en-US" w:eastAsia="zh-CN"/>
        </w:rPr>
        <w:t>773.94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；支出总计</w:t>
      </w:r>
      <w:r>
        <w:rPr>
          <w:rFonts w:hint="eastAsia" w:ascii="仿宋_GB2312" w:hAnsi="黑体" w:eastAsia="仿宋_GB2312" w:cs="仿宋_GB2312"/>
          <w:sz w:val="32"/>
          <w:szCs w:val="32"/>
          <w:lang w:val="en-US" w:eastAsia="zh-CN"/>
        </w:rPr>
        <w:t>773.94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，包括一般公共服务支出</w:t>
      </w:r>
      <w:r>
        <w:rPr>
          <w:rFonts w:hint="eastAsia" w:ascii="仿宋_GB2312" w:hAnsi="黑体" w:eastAsia="仿宋_GB2312" w:cs="仿宋_GB2312"/>
          <w:sz w:val="32"/>
          <w:szCs w:val="32"/>
          <w:lang w:val="en-US" w:eastAsia="zh-CN"/>
        </w:rPr>
        <w:t>721.44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、社会保障和就业支出</w:t>
      </w:r>
      <w:r>
        <w:rPr>
          <w:rFonts w:hint="eastAsia" w:ascii="仿宋_GB2312" w:hAnsi="黑体" w:eastAsia="仿宋_GB2312" w:cs="仿宋_GB2312"/>
          <w:sz w:val="32"/>
          <w:szCs w:val="32"/>
          <w:lang w:val="en-US" w:eastAsia="zh-CN"/>
        </w:rPr>
        <w:t>22.02</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、卫生健康支出</w:t>
      </w:r>
      <w:r>
        <w:rPr>
          <w:rFonts w:hint="eastAsia" w:ascii="仿宋_GB2312" w:hAnsi="黑体" w:eastAsia="仿宋_GB2312" w:cs="仿宋_GB2312"/>
          <w:sz w:val="32"/>
          <w:szCs w:val="32"/>
          <w:lang w:val="en-US" w:eastAsia="zh-CN"/>
        </w:rPr>
        <w:t>17.36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13.11万元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jc w:val="left"/>
        <w:textAlignment w:val="auto"/>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w:t>
      </w:r>
      <w:r>
        <w:rPr>
          <w:rFonts w:hint="eastAsia" w:ascii="黑体" w:hAnsi="黑体" w:eastAsia="黑体" w:cs="黑体"/>
          <w:sz w:val="32"/>
          <w:szCs w:val="32"/>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jc w:val="left"/>
        <w:textAlignment w:val="auto"/>
        <w:rPr>
          <w:rFonts w:ascii="楷体" w:hAnsi="楷体" w:eastAsia="楷体"/>
          <w:sz w:val="32"/>
          <w:szCs w:val="32"/>
        </w:rPr>
      </w:pPr>
      <w:r>
        <w:rPr>
          <w:rFonts w:hint="eastAsia" w:ascii="楷体" w:hAnsi="楷体" w:eastAsia="楷体"/>
          <w:sz w:val="32"/>
          <w:szCs w:val="32"/>
        </w:rPr>
        <w:t>（一）一般公共预算当年规模变化情况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三亚市海棠区营商环境建设局</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773.94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1.91</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，主要是严格落实过紧日子要求，优化财政支出结构</w:t>
      </w:r>
      <w:r>
        <w:rPr>
          <w:rFonts w:hint="eastAsia" w:ascii="仿宋_GB2312" w:hAnsi="黑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jc w:val="left"/>
        <w:textAlignment w:val="auto"/>
        <w:rPr>
          <w:rFonts w:ascii="楷体" w:hAnsi="楷体" w:eastAsia="楷体"/>
          <w:sz w:val="32"/>
          <w:szCs w:val="32"/>
        </w:rPr>
      </w:pPr>
      <w:r>
        <w:rPr>
          <w:rFonts w:hint="eastAsia" w:ascii="楷体" w:hAnsi="楷体" w:eastAsia="楷体"/>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800" w:firstLineChars="250"/>
        <w:textAlignment w:val="auto"/>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721.44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93.22</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22.02</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2.85</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17.36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2.24</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13.11</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1.69</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jc w:val="left"/>
        <w:textAlignment w:val="auto"/>
        <w:rPr>
          <w:rFonts w:ascii="楷体" w:hAnsi="楷体" w:eastAsia="楷体"/>
          <w:sz w:val="32"/>
          <w:szCs w:val="32"/>
        </w:rPr>
      </w:pPr>
      <w:r>
        <w:rPr>
          <w:rFonts w:hint="eastAsia" w:ascii="楷体" w:hAnsi="楷体" w:eastAsia="楷体"/>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cs="仿宋_GB2312"/>
          <w:sz w:val="32"/>
          <w:szCs w:val="32"/>
        </w:rPr>
        <w:t>1.一般公共服务（类）政府办公厅（室）及相关机构事务（款）行政运行（项）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64.07</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25.64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，主要是严格落实过紧日子要求，优化财政支出结构</w:t>
      </w:r>
      <w:r>
        <w:rPr>
          <w:rFonts w:hint="eastAsia" w:ascii="仿宋_GB2312" w:hAnsi="黑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一般公共服务（类）政府办公厅（室）及相关机构事务（款）一般行政管理事务（项）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37.60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11.60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根据《中共三亚市海棠区委机构编制委员会关于调整三亚市海棠区政务服务中心编制的通知》（海棠编委〔2024〕36号）精神，新增12名编制，相应核增人员及公用经费</w:t>
      </w:r>
      <w:r>
        <w:rPr>
          <w:rFonts w:hint="eastAsia" w:ascii="仿宋_GB2312" w:hAnsi="黑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一般公共服务（类）政府办公厅（室）及相关机构事务（款）政务公开审批（项）2026年预算数为548.60万元，比上年预算数增加20.27万元，主要是为落实《中共三亚市委优化营商环境领导小组办公室关于印发&lt;关于深入推进信用社区（村）建设工作指导意见&gt;的通知》（三营商办</w:t>
      </w:r>
      <w:r>
        <w:rPr>
          <w:rFonts w:hint="eastAsia" w:ascii="仿宋_GB2312" w:hAnsi="仿宋_GB2312" w:eastAsia="仿宋_GB2312" w:cs="仿宋_GB2312"/>
          <w:sz w:val="32"/>
          <w:szCs w:val="32"/>
          <w:lang w:val="en-US" w:eastAsia="zh-CN"/>
        </w:rPr>
        <w:t>〔2025〕50号）精神，本年</w:t>
      </w:r>
      <w:r>
        <w:rPr>
          <w:rFonts w:hint="eastAsia" w:ascii="仿宋_GB2312" w:hAnsi="黑体" w:eastAsia="仿宋_GB2312"/>
          <w:sz w:val="32"/>
          <w:szCs w:val="32"/>
          <w:lang w:val="en-US" w:eastAsia="zh-CN"/>
        </w:rPr>
        <w:t>新增安排社会信用社区（村）建设经费，用于保障基层信用体系深化推进。</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4.一般公共服务（类）政府办公厅（室）及相关机构事务（款）事业运行（项）2026年预算数为63.18万元，比上年预算数增加5.03万元，主要是人员正常晋级晋档，按照工资比例核定的工会费、福利费相应提高。</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5.一般公共服务（类）政府办公厅（室）及相关机构事务（款）其他政府办公厅（室）及相关机构事务支出（项）2025年预算数为8万元，比上年预算数减少2万元，主要是参照上年执行数准确编制2026年年初预算。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6.社会保障和就业支出（类）行政事业单位养老支出（款）机关事业单位基本养老保险缴费支出（项）2026年预算数为14.68万元，比上年预算数减少4.28万元，主要是参照上年执行数准确编制养老保险单位负担部分年初预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7.社会保障和就业支出（类）行政事业单位养老支出（款）机关事业单位职业年金缴费支出（项）2026年预算数为7.34万元，比上年预算数减少2.14万元，主要是参照上年执行数准确编制职业年金单位负担部分年初预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8.卫生健康支出（类）行政事业单位医疗（款）行政单位医疗（项）2026年预算数为2.85万元，比上年预算数增加0.46万元，主要是参照上年执行数准确编制医疗保险单位负担部分年初预算。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9.卫生健康支出（类）行政事业单位医疗（款）事业单位医疗 （项）2026年预算数为2.08万元，比上年预算数减少0.05万元，主要是参照上年执行数准确编制医疗保险单位负担部分年初预算。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10.卫生健康支出（类）行政事业单位医疗（款）公务员医疗补助（项）2026年预算数为12.43万元，比上年预算数减少2.18万元，主要是参照上年执行数准确编制公务员医疗补助单位负担部分年初预算。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11.住房保障支出（类）住房改革支出（款）住房公积金（项）2026年预算数为13.11万元，比上年预算数减少2.98万元，主要是参照上年执行数准确编制住房公积金单位负担部分年初预算。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textAlignment w:val="auto"/>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w:t>
      </w:r>
      <w:r>
        <w:rPr>
          <w:rFonts w:hint="eastAsia" w:ascii="黑体" w:hAnsi="黑体" w:eastAsia="黑体" w:cs="黑体"/>
          <w:sz w:val="32"/>
          <w:szCs w:val="32"/>
        </w:rPr>
        <w:t>年一</w:t>
      </w:r>
      <w:r>
        <w:rPr>
          <w:rFonts w:hint="eastAsia" w:ascii="黑体" w:hAnsi="黑体" w:eastAsia="黑体"/>
          <w:sz w:val="32"/>
          <w:szCs w:val="32"/>
        </w:rPr>
        <w:t>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sz w:val="32"/>
          <w:szCs w:val="32"/>
        </w:rPr>
      </w:pPr>
      <w:r>
        <w:rPr>
          <w:rFonts w:hint="eastAsia" w:ascii="仿宋_GB2312" w:hAnsi="黑体" w:eastAsia="仿宋_GB2312"/>
          <w:sz w:val="32"/>
          <w:szCs w:val="32"/>
          <w:lang w:eastAsia="zh-CN"/>
        </w:rPr>
        <w:t>三亚市海棠区营商环境建设局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lang w:val="en-US" w:eastAsia="zh-CN"/>
        </w:rPr>
        <w:t>179.74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167.56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，主要包括：基本工资、津贴补贴、奖金、</w:t>
      </w:r>
      <w:r>
        <w:rPr>
          <w:rFonts w:hint="eastAsia" w:ascii="仿宋_GB2312" w:hAnsi="黑体" w:eastAsia="仿宋_GB2312"/>
          <w:sz w:val="32"/>
          <w:szCs w:val="32"/>
          <w:lang w:val="en-US" w:eastAsia="zh-CN"/>
        </w:rPr>
        <w:t>绩效工资、</w:t>
      </w:r>
      <w:r>
        <w:rPr>
          <w:rFonts w:hint="eastAsia" w:ascii="仿宋_GB2312" w:hAnsi="黑体" w:eastAsia="仿宋_GB2312"/>
          <w:sz w:val="32"/>
          <w:szCs w:val="32"/>
        </w:rPr>
        <w:t>机关事业单位基本养老保险缴费、职业年金缴费</w:t>
      </w:r>
      <w:r>
        <w:rPr>
          <w:rFonts w:hint="eastAsia" w:ascii="仿宋_GB2312" w:hAnsi="黑体" w:eastAsia="仿宋_GB2312"/>
          <w:sz w:val="32"/>
          <w:szCs w:val="32"/>
          <w:lang w:eastAsia="zh-CN"/>
        </w:rPr>
        <w:t>、职工基本医疗保险缴费、公务员医疗补助缴费、其他社会保障缴费、住房公积金、医疗费、其他工资福利支出、邮电费、其他交通费用</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12.18</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，主要包括：其他工资福利支出</w:t>
      </w:r>
      <w:r>
        <w:rPr>
          <w:rFonts w:hint="eastAsia" w:ascii="仿宋_GB2312" w:hAnsi="黑体" w:eastAsia="仿宋_GB2312"/>
          <w:sz w:val="32"/>
          <w:szCs w:val="32"/>
          <w:lang w:eastAsia="zh-CN"/>
        </w:rPr>
        <w:t>、</w:t>
      </w:r>
      <w:r>
        <w:rPr>
          <w:rFonts w:hint="eastAsia" w:ascii="仿宋_GB2312" w:hAnsi="黑体" w:eastAsia="仿宋_GB2312"/>
          <w:sz w:val="32"/>
          <w:szCs w:val="32"/>
        </w:rPr>
        <w:t>办公费、</w:t>
      </w:r>
      <w:r>
        <w:rPr>
          <w:rFonts w:hint="eastAsia" w:ascii="仿宋_GB2312" w:hAnsi="黑体" w:eastAsia="仿宋_GB2312"/>
          <w:sz w:val="32"/>
          <w:szCs w:val="32"/>
          <w:lang w:val="en-US" w:eastAsia="zh-CN"/>
        </w:rPr>
        <w:t>印刷</w:t>
      </w:r>
      <w:r>
        <w:rPr>
          <w:rFonts w:hint="eastAsia" w:ascii="仿宋_GB2312" w:hAnsi="黑体" w:eastAsia="仿宋_GB2312"/>
          <w:sz w:val="32"/>
          <w:szCs w:val="32"/>
        </w:rPr>
        <w:t>费、</w:t>
      </w:r>
      <w:r>
        <w:rPr>
          <w:rFonts w:hint="eastAsia" w:ascii="仿宋_GB2312" w:hAnsi="黑体" w:eastAsia="仿宋_GB2312"/>
          <w:sz w:val="32"/>
          <w:szCs w:val="32"/>
          <w:lang w:val="en-US" w:eastAsia="zh-CN"/>
        </w:rPr>
        <w:t>邮电</w:t>
      </w:r>
      <w:r>
        <w:rPr>
          <w:rFonts w:hint="eastAsia" w:ascii="仿宋_GB2312" w:hAnsi="黑体" w:eastAsia="仿宋_GB2312"/>
          <w:sz w:val="32"/>
          <w:szCs w:val="32"/>
        </w:rPr>
        <w:t>费、维修（护）费、</w:t>
      </w:r>
      <w:r>
        <w:rPr>
          <w:rFonts w:hint="eastAsia" w:ascii="仿宋_GB2312" w:hAnsi="黑体" w:eastAsia="仿宋_GB2312"/>
          <w:sz w:val="32"/>
          <w:szCs w:val="32"/>
          <w:lang w:val="en-US" w:eastAsia="zh-CN"/>
        </w:rPr>
        <w:t>培训</w:t>
      </w:r>
      <w:r>
        <w:rPr>
          <w:rFonts w:hint="eastAsia" w:ascii="仿宋_GB2312" w:hAnsi="黑体" w:eastAsia="仿宋_GB2312"/>
          <w:sz w:val="32"/>
          <w:szCs w:val="32"/>
        </w:rPr>
        <w:t>费、工会经费</w:t>
      </w:r>
      <w:r>
        <w:rPr>
          <w:rFonts w:hint="eastAsia" w:ascii="仿宋_GB2312" w:hAnsi="黑体" w:eastAsia="仿宋_GB2312"/>
          <w:sz w:val="32"/>
          <w:szCs w:val="32"/>
          <w:lang w:eastAsia="zh-CN"/>
        </w:rPr>
        <w:t>、其他商品和服务支出、生活补助</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三亚市海棠区营商环境建设局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30"/>
        <w:textAlignment w:val="auto"/>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val="en-US" w:eastAsia="zh-CN"/>
        </w:rPr>
        <w:t>是均无预算</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val="en-US" w:eastAsia="zh-CN"/>
        </w:rPr>
        <w:t>相关部门</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ascii="Times New Roman" w:hAnsi="Times New Roman" w:eastAsia="仿宋_GB2312" w:cs="Times New Roman"/>
          <w:sz w:val="32"/>
          <w:shd w:val="clear" w:color="auto" w:fill="FFFFFF"/>
        </w:rPr>
        <w:t>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lang w:val="en-US" w:eastAsia="zh-CN"/>
        </w:rPr>
        <w:t>无出国（境）团组。</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lang w:val="en-US" w:eastAsia="zh-CN"/>
        </w:rPr>
        <w:t>主要原因是均无预算。</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val="en-US" w:eastAsia="zh-CN"/>
        </w:rPr>
        <w:t>是均无预算</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三亚市海棠区营商环境建设局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val="en-US" w:eastAsia="zh-CN"/>
        </w:rPr>
        <w:t>是均无预算</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val="en-US" w:eastAsia="zh-CN"/>
        </w:rPr>
        <w:t>相关部门</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ascii="Times New Roman" w:hAnsi="Times New Roman" w:eastAsia="仿宋_GB2312" w:cs="Times New Roman"/>
          <w:sz w:val="32"/>
          <w:shd w:val="clear" w:color="auto" w:fill="FFFFFF"/>
        </w:rPr>
        <w:t>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lang w:val="en-US" w:eastAsia="zh-CN"/>
        </w:rPr>
        <w:t>无</w:t>
      </w:r>
      <w:r>
        <w:rPr>
          <w:rFonts w:ascii="Times New Roman" w:hAnsi="Times New Roman" w:eastAsia="仿宋_GB2312" w:cs="Times New Roman"/>
          <w:sz w:val="32"/>
          <w:shd w:val="clear" w:color="auto" w:fill="FFFFFF"/>
        </w:rPr>
        <w:t>出国（境）团组</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val="en-US" w:eastAsia="zh-CN"/>
        </w:rPr>
        <w:t>是均无预算</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val="en-US" w:eastAsia="zh-CN"/>
        </w:rPr>
        <w:t>均无预算</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jc w:val="left"/>
        <w:textAlignment w:val="auto"/>
        <w:rPr>
          <w:rFonts w:ascii="楷体" w:hAnsi="楷体" w:eastAsia="楷体"/>
          <w:sz w:val="32"/>
          <w:szCs w:val="32"/>
        </w:rPr>
      </w:pPr>
      <w:r>
        <w:rPr>
          <w:rFonts w:hint="eastAsia" w:ascii="楷体" w:hAnsi="楷体" w:eastAsia="楷体"/>
          <w:sz w:val="32"/>
          <w:szCs w:val="32"/>
        </w:rPr>
        <w:t>（一）政府性基金预算当年规模变化情况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sz w:val="32"/>
          <w:szCs w:val="32"/>
        </w:rPr>
      </w:pPr>
      <w:r>
        <w:rPr>
          <w:rFonts w:hint="eastAsia" w:ascii="仿宋_GB2312" w:hAnsi="黑体" w:eastAsia="仿宋_GB2312"/>
          <w:sz w:val="32"/>
          <w:szCs w:val="32"/>
          <w:lang w:eastAsia="zh-CN"/>
        </w:rPr>
        <w:t>三亚市海棠区营商环境建设局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jc w:val="left"/>
        <w:textAlignment w:val="auto"/>
        <w:rPr>
          <w:rFonts w:ascii="楷体" w:hAnsi="楷体" w:eastAsia="楷体"/>
          <w:sz w:val="32"/>
          <w:szCs w:val="32"/>
        </w:rPr>
      </w:pPr>
      <w:r>
        <w:rPr>
          <w:rFonts w:hint="eastAsia" w:ascii="楷体" w:hAnsi="楷体" w:eastAsia="楷体"/>
          <w:sz w:val="32"/>
          <w:szCs w:val="32"/>
        </w:rPr>
        <w:t>（二）政府性基金预算当年拨款结构情况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800" w:firstLineChars="250"/>
        <w:textAlignment w:val="auto"/>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hint="eastAsia" w:ascii="仿宋_GB2312" w:hAnsi="黑体" w:eastAsia="仿宋_GB2312"/>
          <w:sz w:val="32"/>
          <w:szCs w:val="32"/>
          <w:lang w:val="en-US" w:eastAsia="zh-CN"/>
        </w:rPr>
        <w:t>占0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jc w:val="left"/>
        <w:textAlignment w:val="auto"/>
        <w:rPr>
          <w:rFonts w:ascii="楷体" w:hAnsi="楷体" w:eastAsia="楷体"/>
          <w:sz w:val="32"/>
          <w:szCs w:val="32"/>
        </w:rPr>
      </w:pPr>
      <w:r>
        <w:rPr>
          <w:rFonts w:hint="eastAsia" w:ascii="楷体" w:hAnsi="楷体" w:eastAsia="楷体"/>
          <w:sz w:val="32"/>
          <w:szCs w:val="32"/>
        </w:rPr>
        <w:t>（三）政府性基金预算当年拨款具体使用情况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 科学技术支出（类）核电站乏燃料处理处置基金支出（款）乏燃料运输（项）2026年预算数为0万元，比上年预算数持平0万元，主要是均无相关预算。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 科学技术支出（类）核电站乏燃料处理处置基金支出（款）乏燃料离堆贮存（项）2026年预算数为0万元，比上年预算数持平0万元，主要是均无相关预算。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三亚市海棠区营商环境建设局</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；支出包括：一般公共服务支出、社会保障和就业支出、卫生健康支出、住房保障支出。</w:t>
      </w:r>
      <w:r>
        <w:rPr>
          <w:rFonts w:hint="eastAsia" w:ascii="仿宋_GB2312" w:hAnsi="黑体" w:eastAsia="仿宋_GB2312" w:cs="仿宋_GB2312"/>
          <w:sz w:val="32"/>
          <w:szCs w:val="32"/>
          <w:lang w:eastAsia="zh-CN"/>
        </w:rPr>
        <w:t>三亚市海棠区营商环境建设局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773.94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eastAsia="zh-CN"/>
        </w:rPr>
        <w:t>三亚市海棠区营商环境建设局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773.94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lang w:val="en-US" w:eastAsia="zh-CN"/>
        </w:rPr>
        <w:t>773.94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100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1.91</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，主要是严格落实过紧日子要求，优化财政支出结构。</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三亚市海棠区营商环境建设局</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eastAsia="zh-CN"/>
        </w:rPr>
        <w:t>三亚市海棠区营商环境建设局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773.94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，其中：基本支出</w:t>
      </w:r>
      <w:r>
        <w:rPr>
          <w:rFonts w:hint="eastAsia" w:ascii="仿宋_GB2312" w:hAnsi="黑体" w:eastAsia="仿宋_GB2312" w:cs="仿宋_GB2312"/>
          <w:sz w:val="32"/>
          <w:szCs w:val="32"/>
          <w:lang w:val="en-US" w:eastAsia="zh-CN"/>
        </w:rPr>
        <w:t>179.94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23.25</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594.20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76.78</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1.19</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，主要是严格落实过紧日子要求，优化财政支出结构。其中委托业务费预算总额</w:t>
      </w:r>
      <w:r>
        <w:rPr>
          <w:rFonts w:hint="eastAsia" w:ascii="仿宋_GB2312" w:hAnsi="黑体" w:eastAsia="仿宋_GB2312"/>
          <w:sz w:val="32"/>
          <w:szCs w:val="32"/>
          <w:lang w:val="en-US" w:eastAsia="zh-CN"/>
        </w:rPr>
        <w:t>482.76</w:t>
      </w:r>
      <w:r>
        <w:rPr>
          <w:rFonts w:hint="eastAsia" w:ascii="仿宋_GB2312" w:hAnsi="黑体" w:eastAsia="仿宋_GB2312"/>
          <w:sz w:val="32"/>
          <w:szCs w:val="32"/>
        </w:rPr>
        <w:t>万元，比上年预算数增加</w:t>
      </w:r>
      <w:r>
        <w:rPr>
          <w:rFonts w:hint="eastAsia" w:ascii="仿宋_GB2312" w:hAnsi="黑体" w:eastAsia="仿宋_GB2312"/>
          <w:sz w:val="32"/>
          <w:szCs w:val="32"/>
          <w:lang w:val="en-US" w:eastAsia="zh-CN"/>
        </w:rPr>
        <w:t>122.76</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2026年三亚市海棠区营商环境建设局</w:t>
      </w:r>
      <w:r>
        <w:rPr>
          <w:rFonts w:hint="eastAsia" w:ascii="仿宋_GB2312" w:hAnsi="黑体" w:eastAsia="仿宋_GB2312" w:cs="仿宋_GB2312"/>
          <w:sz w:val="32"/>
          <w:szCs w:val="32"/>
        </w:rPr>
        <w:t>机关运行经费预算</w:t>
      </w:r>
      <w:r>
        <w:rPr>
          <w:rFonts w:hint="eastAsia" w:ascii="仿宋_GB2312" w:hAnsi="黑体" w:eastAsia="仿宋_GB2312" w:cs="仿宋_GB2312"/>
          <w:sz w:val="32"/>
          <w:szCs w:val="32"/>
          <w:lang w:val="en-US" w:eastAsia="zh-CN"/>
        </w:rPr>
        <w:t>12.18</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三亚市海棠区营商环境建设局</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（三）国有资产占有使用情况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三亚市海棠区营商环境建设局</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（四）绩效目标设置情况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三亚市海棠区营商环境建设局</w:t>
      </w:r>
      <w:r>
        <w:rPr>
          <w:rFonts w:hint="eastAsia" w:ascii="仿宋_GB2312" w:hAnsi="黑体" w:eastAsia="仿宋_GB2312" w:cs="仿宋_GB2312"/>
          <w:sz w:val="32"/>
          <w:szCs w:val="32"/>
          <w:lang w:val="en-US" w:eastAsia="zh-CN"/>
        </w:rPr>
        <w:t>31</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773.94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ascii="仿宋_GB2312" w:hAnsi="宋体" w:eastAsia="仿宋_GB2312" w:cs="宋体"/>
          <w:color w:val="000000"/>
          <w:kern w:val="0"/>
          <w:sz w:val="32"/>
          <w:szCs w:val="30"/>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ascii="黑体" w:hAnsi="黑体" w:eastAsia="黑体"/>
          <w:b/>
          <w:sz w:val="32"/>
          <w:szCs w:val="32"/>
        </w:rPr>
      </w:pPr>
      <w:r>
        <w:rPr>
          <w:rFonts w:hint="eastAsia" w:ascii="黑体" w:hAnsi="黑体" w:eastAsia="黑体"/>
          <w:b/>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eastAsia="仿宋_GB2312" w:cs="宋体"/>
          <w:bCs/>
          <w:color w:val="000000"/>
          <w:kern w:val="0"/>
          <w:sz w:val="32"/>
          <w:szCs w:val="32"/>
          <w:lang w:val="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0A81F83"/>
    <w:rsid w:val="041B214E"/>
    <w:rsid w:val="044A7A19"/>
    <w:rsid w:val="045F1B71"/>
    <w:rsid w:val="04802DEC"/>
    <w:rsid w:val="04A409AB"/>
    <w:rsid w:val="05115004"/>
    <w:rsid w:val="05CA383D"/>
    <w:rsid w:val="05D044B8"/>
    <w:rsid w:val="064F482E"/>
    <w:rsid w:val="073A0127"/>
    <w:rsid w:val="073D280A"/>
    <w:rsid w:val="07DD7686"/>
    <w:rsid w:val="088757B7"/>
    <w:rsid w:val="0AB90954"/>
    <w:rsid w:val="0B80521B"/>
    <w:rsid w:val="0BC63A55"/>
    <w:rsid w:val="0BE045BF"/>
    <w:rsid w:val="0C4D3FBC"/>
    <w:rsid w:val="0DA046C6"/>
    <w:rsid w:val="0DB77A01"/>
    <w:rsid w:val="0FFF210C"/>
    <w:rsid w:val="108A612D"/>
    <w:rsid w:val="1281246D"/>
    <w:rsid w:val="12F123E2"/>
    <w:rsid w:val="133F1708"/>
    <w:rsid w:val="133F31F0"/>
    <w:rsid w:val="13BA5431"/>
    <w:rsid w:val="13D84123"/>
    <w:rsid w:val="148E7CD8"/>
    <w:rsid w:val="14B01AD3"/>
    <w:rsid w:val="161267DA"/>
    <w:rsid w:val="16596BEC"/>
    <w:rsid w:val="166F2D30"/>
    <w:rsid w:val="16AE2FEB"/>
    <w:rsid w:val="16D268AB"/>
    <w:rsid w:val="17430943"/>
    <w:rsid w:val="18243946"/>
    <w:rsid w:val="18340D65"/>
    <w:rsid w:val="18E93624"/>
    <w:rsid w:val="1A0E1232"/>
    <w:rsid w:val="1AC241CE"/>
    <w:rsid w:val="1B846D4C"/>
    <w:rsid w:val="1CD86FB8"/>
    <w:rsid w:val="1EDD75B5"/>
    <w:rsid w:val="1F755341"/>
    <w:rsid w:val="1F8A4618"/>
    <w:rsid w:val="1FC7285F"/>
    <w:rsid w:val="20B86C82"/>
    <w:rsid w:val="228D6692"/>
    <w:rsid w:val="23053693"/>
    <w:rsid w:val="23932158"/>
    <w:rsid w:val="2443534A"/>
    <w:rsid w:val="24701DDB"/>
    <w:rsid w:val="27782227"/>
    <w:rsid w:val="2940743A"/>
    <w:rsid w:val="2941604A"/>
    <w:rsid w:val="2A3B73B5"/>
    <w:rsid w:val="2B2260F9"/>
    <w:rsid w:val="2B610287"/>
    <w:rsid w:val="2C3F1A4E"/>
    <w:rsid w:val="2C7336AF"/>
    <w:rsid w:val="2D124F40"/>
    <w:rsid w:val="2D2E7F55"/>
    <w:rsid w:val="2DA56DE0"/>
    <w:rsid w:val="2DB87CB0"/>
    <w:rsid w:val="2DD641F5"/>
    <w:rsid w:val="2E2D3FE9"/>
    <w:rsid w:val="2EEA24CC"/>
    <w:rsid w:val="2F540BD3"/>
    <w:rsid w:val="2FFB2F58"/>
    <w:rsid w:val="305D7210"/>
    <w:rsid w:val="308A66D5"/>
    <w:rsid w:val="31387C4B"/>
    <w:rsid w:val="315D465A"/>
    <w:rsid w:val="31FA7AD5"/>
    <w:rsid w:val="32FF2D62"/>
    <w:rsid w:val="335D3B27"/>
    <w:rsid w:val="345923C4"/>
    <w:rsid w:val="34F31F66"/>
    <w:rsid w:val="35A25968"/>
    <w:rsid w:val="36085574"/>
    <w:rsid w:val="3759460D"/>
    <w:rsid w:val="38AA4930"/>
    <w:rsid w:val="39163516"/>
    <w:rsid w:val="3A794DEE"/>
    <w:rsid w:val="3ACE6617"/>
    <w:rsid w:val="3CB9454E"/>
    <w:rsid w:val="3D380553"/>
    <w:rsid w:val="3E1B2B3D"/>
    <w:rsid w:val="3E1D1E4A"/>
    <w:rsid w:val="3EAE2825"/>
    <w:rsid w:val="400620E3"/>
    <w:rsid w:val="411D5FEA"/>
    <w:rsid w:val="42015B1F"/>
    <w:rsid w:val="422F2A57"/>
    <w:rsid w:val="428A40E7"/>
    <w:rsid w:val="42D9796C"/>
    <w:rsid w:val="44132A70"/>
    <w:rsid w:val="4473178D"/>
    <w:rsid w:val="448D4D51"/>
    <w:rsid w:val="44E75425"/>
    <w:rsid w:val="45680480"/>
    <w:rsid w:val="46605E21"/>
    <w:rsid w:val="46A451F1"/>
    <w:rsid w:val="46D00DA8"/>
    <w:rsid w:val="473B1A78"/>
    <w:rsid w:val="47D01816"/>
    <w:rsid w:val="48723F03"/>
    <w:rsid w:val="4AAF3068"/>
    <w:rsid w:val="4B0903E8"/>
    <w:rsid w:val="4B6F77C8"/>
    <w:rsid w:val="4C1F2998"/>
    <w:rsid w:val="4C482206"/>
    <w:rsid w:val="4D6C6396"/>
    <w:rsid w:val="4E8664AB"/>
    <w:rsid w:val="4FE72932"/>
    <w:rsid w:val="50107E60"/>
    <w:rsid w:val="501F4D6C"/>
    <w:rsid w:val="5198183F"/>
    <w:rsid w:val="52DF373D"/>
    <w:rsid w:val="54513680"/>
    <w:rsid w:val="5499308A"/>
    <w:rsid w:val="560A6F76"/>
    <w:rsid w:val="56CB0A6E"/>
    <w:rsid w:val="574000C2"/>
    <w:rsid w:val="57F67A04"/>
    <w:rsid w:val="58D074D1"/>
    <w:rsid w:val="591E5C29"/>
    <w:rsid w:val="59A94C79"/>
    <w:rsid w:val="5AA75534"/>
    <w:rsid w:val="5AEA588E"/>
    <w:rsid w:val="5B10265C"/>
    <w:rsid w:val="5BF81651"/>
    <w:rsid w:val="5C4C073F"/>
    <w:rsid w:val="5ED7283E"/>
    <w:rsid w:val="602363AF"/>
    <w:rsid w:val="619F36F1"/>
    <w:rsid w:val="625266C1"/>
    <w:rsid w:val="62C93185"/>
    <w:rsid w:val="637C5B36"/>
    <w:rsid w:val="64565B59"/>
    <w:rsid w:val="646939D2"/>
    <w:rsid w:val="647F454E"/>
    <w:rsid w:val="652B27FC"/>
    <w:rsid w:val="685870D3"/>
    <w:rsid w:val="68BA17B9"/>
    <w:rsid w:val="69055510"/>
    <w:rsid w:val="69A85D20"/>
    <w:rsid w:val="6B535FFF"/>
    <w:rsid w:val="6D4D4A0C"/>
    <w:rsid w:val="6DDF5CCD"/>
    <w:rsid w:val="6DEC1060"/>
    <w:rsid w:val="6ED00CEB"/>
    <w:rsid w:val="6F305DC4"/>
    <w:rsid w:val="6F5E066A"/>
    <w:rsid w:val="7001115D"/>
    <w:rsid w:val="70120FB2"/>
    <w:rsid w:val="70D94E76"/>
    <w:rsid w:val="716F1FDB"/>
    <w:rsid w:val="72E36915"/>
    <w:rsid w:val="7437324B"/>
    <w:rsid w:val="74D2494F"/>
    <w:rsid w:val="74D74E1F"/>
    <w:rsid w:val="75D00801"/>
    <w:rsid w:val="75DC6795"/>
    <w:rsid w:val="76AD7764"/>
    <w:rsid w:val="76D1170B"/>
    <w:rsid w:val="78445B2C"/>
    <w:rsid w:val="78CD066E"/>
    <w:rsid w:val="796E7F4E"/>
    <w:rsid w:val="7A1C3F23"/>
    <w:rsid w:val="7B413534"/>
    <w:rsid w:val="7CC82CA3"/>
    <w:rsid w:val="7E0242A9"/>
    <w:rsid w:val="7ECE65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3</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2026-02-26T07:20:48Z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0BF8275AB992446AAFB4F2E77DBF29FE_13</vt:lpwstr>
  </property>
</Properties>
</file>