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黑体" w:hAnsi="黑体" w:eastAsia="黑体" w:cs="MingLiU"/>
          <w:sz w:val="44"/>
          <w:szCs w:val="44"/>
        </w:rPr>
      </w:pPr>
    </w:p>
    <w:p>
      <w:pPr>
        <w:rPr>
          <w:rFonts w:hint="eastAsia"/>
        </w:rPr>
      </w:pPr>
      <w:bookmarkStart w:id="0" w:name="_Toc8177"/>
      <w:bookmarkStart w:id="1" w:name="_Toc19867"/>
      <w:bookmarkStart w:id="2" w:name="_Toc1758"/>
    </w:p>
    <w:p>
      <w:pPr>
        <w:spacing w:line="700" w:lineRule="exact"/>
        <w:jc w:val="center"/>
        <w:outlineLvl w:val="0"/>
        <w:rPr>
          <w:rFonts w:hint="eastAsia" w:ascii="黑体" w:hAnsi="黑体" w:eastAsia="黑体" w:cs="黑体"/>
          <w:b/>
          <w:bCs/>
          <w:sz w:val="44"/>
          <w:szCs w:val="44"/>
        </w:rPr>
      </w:pPr>
      <w:bookmarkStart w:id="3" w:name="_Toc32633"/>
      <w:bookmarkStart w:id="4" w:name="_Toc241"/>
    </w:p>
    <w:p>
      <w:pPr>
        <w:pStyle w:val="20"/>
        <w:widowControl w:val="0"/>
        <w:spacing w:before="0" w:beforeAutospacing="0" w:after="0" w:afterAutospacing="0" w:line="700" w:lineRule="exact"/>
        <w:jc w:val="center"/>
        <w:rPr>
          <w:rFonts w:hint="eastAsia" w:ascii="黑体" w:hAnsi="黑体" w:eastAsia="黑体" w:cs="MingLiU"/>
          <w:b/>
          <w:bCs/>
          <w:color w:val="000000"/>
          <w:kern w:val="0"/>
          <w:sz w:val="44"/>
          <w:szCs w:val="44"/>
          <w:lang w:bidi="en-US"/>
        </w:rPr>
      </w:pPr>
      <w:r>
        <w:rPr>
          <w:rFonts w:hint="eastAsia" w:ascii="黑体" w:hAnsi="黑体" w:eastAsia="黑体" w:cs="MingLiU"/>
          <w:b/>
          <w:bCs/>
          <w:color w:val="000000"/>
          <w:kern w:val="0"/>
          <w:sz w:val="44"/>
          <w:szCs w:val="44"/>
          <w:lang w:bidi="en-US"/>
        </w:rPr>
        <w:t>三亚市海棠区</w:t>
      </w:r>
      <w:bookmarkEnd w:id="0"/>
      <w:bookmarkEnd w:id="1"/>
      <w:bookmarkEnd w:id="2"/>
      <w:bookmarkEnd w:id="3"/>
      <w:bookmarkEnd w:id="4"/>
    </w:p>
    <w:p>
      <w:pPr>
        <w:pStyle w:val="20"/>
        <w:widowControl w:val="0"/>
        <w:spacing w:before="0" w:beforeAutospacing="0" w:after="0" w:afterAutospacing="0" w:line="700" w:lineRule="exact"/>
        <w:jc w:val="center"/>
        <w:rPr>
          <w:rFonts w:hint="eastAsia" w:ascii="黑体" w:hAnsi="黑体" w:eastAsia="黑体" w:cs="MingLiU"/>
          <w:b/>
          <w:bCs/>
          <w:color w:val="000000"/>
          <w:kern w:val="0"/>
          <w:sz w:val="44"/>
          <w:szCs w:val="44"/>
          <w:lang w:bidi="en-US"/>
        </w:rPr>
      </w:pPr>
      <w:bookmarkStart w:id="5" w:name="_Toc25746"/>
      <w:bookmarkStart w:id="6" w:name="_Toc28490"/>
      <w:bookmarkStart w:id="7" w:name="_Toc17253"/>
      <w:bookmarkStart w:id="8" w:name="_Toc28246"/>
      <w:bookmarkStart w:id="9" w:name="_Toc1601"/>
      <w:r>
        <w:rPr>
          <w:rFonts w:hint="eastAsia" w:ascii="黑体" w:hAnsi="黑体" w:eastAsia="黑体" w:cs="MingLiU"/>
          <w:b/>
          <w:bCs/>
          <w:color w:val="000000"/>
          <w:kern w:val="0"/>
          <w:sz w:val="44"/>
          <w:szCs w:val="44"/>
          <w:lang w:bidi="en-US"/>
        </w:rPr>
        <w:t>大型群体性活动突发事件应急预案</w:t>
      </w:r>
      <w:bookmarkEnd w:id="5"/>
      <w:bookmarkEnd w:id="6"/>
      <w:bookmarkEnd w:id="7"/>
      <w:bookmarkEnd w:id="8"/>
      <w:bookmarkEnd w:id="9"/>
    </w:p>
    <w:p>
      <w:pPr>
        <w:widowControl/>
        <w:spacing w:before="100" w:beforeAutospacing="1" w:after="100" w:afterAutospacing="1"/>
        <w:jc w:val="center"/>
        <w:rPr>
          <w:rFonts w:ascii="宋体" w:hAnsi="宋体" w:cs="MingLiU"/>
          <w:szCs w:val="21"/>
          <w:u w:val="single"/>
        </w:rPr>
      </w:pPr>
      <w:r>
        <w:rPr>
          <w:rFonts w:hint="eastAsia" w:ascii="黑体" w:hAnsi="黑体" w:eastAsia="黑体" w:cs="黑体"/>
          <w:sz w:val="36"/>
          <w:szCs w:val="36"/>
        </w:rPr>
        <w:t>（</w:t>
      </w:r>
      <w:r>
        <w:rPr>
          <w:rFonts w:ascii="黑体" w:hAnsi="黑体" w:eastAsia="黑体" w:cs="黑体"/>
          <w:sz w:val="36"/>
          <w:szCs w:val="36"/>
        </w:rPr>
        <w:t>1.0</w:t>
      </w:r>
      <w:r>
        <w:rPr>
          <w:rFonts w:hint="eastAsia" w:ascii="黑体" w:hAnsi="黑体" w:eastAsia="黑体" w:cs="黑体"/>
          <w:sz w:val="36"/>
          <w:szCs w:val="36"/>
        </w:rPr>
        <w:t>版）</w:t>
      </w:r>
    </w:p>
    <w:p>
      <w:pPr>
        <w:widowControl/>
        <w:spacing w:before="100" w:beforeAutospacing="1" w:after="100" w:afterAutospacing="1"/>
        <w:rPr>
          <w:rFonts w:ascii="宋体" w:hAnsi="宋体" w:cs="宋体"/>
          <w:b/>
          <w:bCs/>
          <w:sz w:val="44"/>
          <w:szCs w:val="44"/>
        </w:rPr>
      </w:pPr>
      <w:r>
        <w:rPr>
          <w:rFonts w:hint="eastAsia" w:ascii="宋体" w:hAnsi="宋体" w:cs="宋体"/>
          <w:b/>
          <w:bCs/>
          <w:sz w:val="44"/>
          <w:szCs w:val="44"/>
        </w:rPr>
        <w:t xml:space="preserve">    </w:t>
      </w:r>
    </w:p>
    <w:p>
      <w:pPr>
        <w:widowControl/>
        <w:spacing w:before="100" w:beforeAutospacing="1" w:after="100" w:afterAutospacing="1"/>
        <w:rPr>
          <w:rFonts w:ascii="宋体" w:hAnsi="宋体" w:cs="宋体"/>
          <w:b/>
          <w:bCs/>
          <w:sz w:val="44"/>
          <w:szCs w:val="44"/>
        </w:rPr>
      </w:pPr>
    </w:p>
    <w:p>
      <w:pPr>
        <w:widowControl/>
        <w:spacing w:before="100" w:beforeAutospacing="1" w:after="100" w:afterAutospacing="1" w:line="360" w:lineRule="auto"/>
        <w:jc w:val="center"/>
        <w:rPr>
          <w:rFonts w:ascii="黑体" w:hAnsi="黑体" w:eastAsia="黑体" w:cs="黑体"/>
          <w:sz w:val="24"/>
          <w:szCs w:val="24"/>
        </w:rPr>
      </w:pPr>
      <w:bookmarkStart w:id="10" w:name="bookmark4"/>
      <w:bookmarkStart w:id="11" w:name="bookmark5"/>
      <w:bookmarkStart w:id="12" w:name="bookmark3"/>
    </w:p>
    <w:p>
      <w:pPr>
        <w:widowControl/>
        <w:spacing w:before="100" w:beforeAutospacing="1" w:after="100" w:afterAutospacing="1" w:line="360" w:lineRule="auto"/>
        <w:jc w:val="center"/>
        <w:rPr>
          <w:rFonts w:ascii="黑体" w:hAnsi="黑体" w:eastAsia="黑体" w:cs="黑体"/>
          <w:sz w:val="24"/>
          <w:szCs w:val="24"/>
        </w:rPr>
      </w:pPr>
    </w:p>
    <w:p>
      <w:pPr>
        <w:widowControl/>
        <w:spacing w:before="100" w:beforeAutospacing="1" w:after="100" w:afterAutospacing="1" w:line="360" w:lineRule="auto"/>
        <w:jc w:val="center"/>
        <w:rPr>
          <w:rFonts w:ascii="宋体" w:hAnsi="宋体" w:cs="宋体"/>
          <w:b/>
          <w:bCs/>
          <w:sz w:val="32"/>
          <w:szCs w:val="32"/>
        </w:rPr>
      </w:pPr>
    </w:p>
    <w:p>
      <w:pPr>
        <w:widowControl/>
        <w:spacing w:before="100" w:beforeAutospacing="1" w:after="100" w:afterAutospacing="1" w:line="360" w:lineRule="auto"/>
        <w:rPr>
          <w:rFonts w:ascii="黑体" w:hAnsi="黑体" w:eastAsia="黑体" w:cs="MingLiU"/>
          <w:sz w:val="28"/>
          <w:szCs w:val="28"/>
        </w:rPr>
      </w:pPr>
    </w:p>
    <w:p>
      <w:pPr>
        <w:widowControl/>
        <w:spacing w:before="100" w:beforeAutospacing="1" w:after="100" w:afterAutospacing="1" w:line="360" w:lineRule="auto"/>
        <w:rPr>
          <w:rFonts w:ascii="黑体" w:hAnsi="黑体" w:eastAsia="黑体" w:cs="MingLiU"/>
          <w:sz w:val="28"/>
          <w:szCs w:val="28"/>
        </w:rPr>
      </w:pPr>
    </w:p>
    <w:p>
      <w:pPr>
        <w:widowControl/>
        <w:spacing w:before="100" w:beforeAutospacing="1" w:after="100" w:afterAutospacing="1" w:line="360" w:lineRule="auto"/>
        <w:rPr>
          <w:rFonts w:ascii="黑体" w:hAnsi="黑体" w:eastAsia="黑体" w:cs="MingLiU"/>
          <w:sz w:val="28"/>
          <w:szCs w:val="28"/>
        </w:rPr>
      </w:pPr>
    </w:p>
    <w:p>
      <w:pPr>
        <w:widowControl/>
        <w:spacing w:before="100" w:beforeAutospacing="1" w:after="100" w:afterAutospacing="1" w:line="360" w:lineRule="auto"/>
        <w:rPr>
          <w:rFonts w:ascii="黑体" w:hAnsi="黑体" w:eastAsia="黑体" w:cs="MingLiU"/>
          <w:sz w:val="28"/>
          <w:szCs w:val="28"/>
        </w:rPr>
      </w:pPr>
    </w:p>
    <w:p>
      <w:pPr/>
    </w:p>
    <w:p>
      <w:pPr>
        <w:spacing w:line="700" w:lineRule="exact"/>
        <w:jc w:val="center"/>
        <w:rPr>
          <w:rFonts w:hint="eastAsia" w:ascii="宋体" w:hAnsi="宋体" w:cs="宋体"/>
          <w:b/>
          <w:bCs/>
          <w:sz w:val="32"/>
          <w:szCs w:val="32"/>
        </w:rPr>
      </w:pPr>
      <w:bookmarkStart w:id="13" w:name="_Toc21140"/>
      <w:bookmarkStart w:id="14" w:name="_Toc18967"/>
      <w:bookmarkStart w:id="15" w:name="_Toc24363"/>
      <w:bookmarkStart w:id="16" w:name="_Toc23815"/>
      <w:bookmarkStart w:id="17" w:name="_Toc30441"/>
      <w:r>
        <w:rPr>
          <w:rFonts w:hint="eastAsia" w:ascii="宋体" w:hAnsi="宋体" w:cs="宋体"/>
          <w:b/>
          <w:bCs/>
          <w:sz w:val="32"/>
          <w:szCs w:val="32"/>
        </w:rPr>
        <w:t>三亚市海棠区人民政府</w:t>
      </w:r>
      <w:bookmarkEnd w:id="13"/>
      <w:bookmarkEnd w:id="14"/>
      <w:bookmarkEnd w:id="15"/>
      <w:bookmarkEnd w:id="16"/>
      <w:bookmarkEnd w:id="17"/>
    </w:p>
    <w:p>
      <w:pPr>
        <w:spacing w:line="700" w:lineRule="exact"/>
        <w:jc w:val="center"/>
        <w:rPr>
          <w:rFonts w:hint="eastAsia" w:ascii="宋体" w:hAnsi="宋体" w:cs="宋体"/>
          <w:b/>
          <w:bCs/>
          <w:sz w:val="32"/>
          <w:szCs w:val="32"/>
        </w:rPr>
      </w:pPr>
      <w:r>
        <w:rPr>
          <w:rFonts w:hint="eastAsia" w:ascii="宋体" w:hAnsi="宋体" w:cs="宋体"/>
          <w:b/>
          <w:bCs/>
          <w:sz w:val="32"/>
          <w:szCs w:val="32"/>
        </w:rPr>
        <w:t>202</w:t>
      </w:r>
      <w:r>
        <w:rPr>
          <w:rFonts w:hint="eastAsia" w:ascii="宋体" w:hAnsi="宋体" w:cs="宋体"/>
          <w:b/>
          <w:bCs/>
          <w:sz w:val="32"/>
          <w:szCs w:val="32"/>
          <w:lang w:val="en-US" w:eastAsia="zh-CN"/>
        </w:rPr>
        <w:t>5</w:t>
      </w:r>
      <w:r>
        <w:rPr>
          <w:rFonts w:hint="eastAsia" w:ascii="宋体" w:hAnsi="宋体" w:cs="宋体"/>
          <w:b/>
          <w:bCs/>
          <w:sz w:val="32"/>
          <w:szCs w:val="32"/>
        </w:rPr>
        <w:t>年</w:t>
      </w:r>
      <w:r>
        <w:rPr>
          <w:rFonts w:hint="eastAsia" w:ascii="宋体" w:hAnsi="宋体" w:cs="宋体"/>
          <w:b/>
          <w:bCs/>
          <w:sz w:val="32"/>
          <w:szCs w:val="32"/>
          <w:lang w:val="en-US" w:eastAsia="zh-CN"/>
        </w:rPr>
        <w:t>5</w:t>
      </w:r>
      <w:r>
        <w:rPr>
          <w:rFonts w:hint="eastAsia" w:ascii="宋体" w:hAnsi="宋体" w:cs="宋体"/>
          <w:b/>
          <w:bCs/>
          <w:sz w:val="32"/>
          <w:szCs w:val="32"/>
        </w:rPr>
        <w:t>月</w:t>
      </w:r>
    </w:p>
    <w:bookmarkEnd w:id="10"/>
    <w:bookmarkEnd w:id="11"/>
    <w:bookmarkEnd w:id="12"/>
    <w:p>
      <w:pPr>
        <w:tabs>
          <w:tab w:val="right" w:leader="dot" w:pos="9302"/>
        </w:tabs>
        <w:autoSpaceDE w:val="0"/>
        <w:autoSpaceDN w:val="0"/>
        <w:spacing w:before="120" w:after="120"/>
        <w:jc w:val="center"/>
        <w:rPr>
          <w:rFonts w:hint="eastAsia" w:ascii="仿宋" w:hAnsi="仿宋" w:eastAsia="仿宋" w:cs="仿宋"/>
          <w:b/>
          <w:bCs/>
          <w:caps/>
          <w:sz w:val="36"/>
          <w:szCs w:val="36"/>
          <w:lang w:bidi="zh-CN"/>
        </w:rPr>
        <w:sectPr>
          <w:headerReference r:id="rId4" w:type="first"/>
          <w:headerReference r:id="rId3" w:type="default"/>
          <w:footerReference r:id="rId5" w:type="default"/>
          <w:footerReference r:id="rId6" w:type="even"/>
          <w:pgSz w:w="11906" w:h="16838"/>
          <w:pgMar w:top="1440" w:right="1800" w:bottom="1440" w:left="1800" w:header="851" w:footer="992" w:gutter="0"/>
          <w:pgNumType w:fmt="upperRoman" w:start="1"/>
          <w:cols w:space="720" w:num="1"/>
          <w:titlePg/>
        </w:sectPr>
      </w:pPr>
    </w:p>
    <w:p>
      <w:pPr>
        <w:pStyle w:val="33"/>
        <w:tabs>
          <w:tab w:val="right" w:leader="dot" w:pos="9026"/>
        </w:tabs>
      </w:pPr>
      <w:bookmarkStart w:id="18" w:name="_Toc30402"/>
      <w:bookmarkStart w:id="19" w:name="_Toc485196768"/>
      <w:bookmarkStart w:id="20" w:name="_Toc14494"/>
      <w:bookmarkStart w:id="21" w:name="_Toc13827"/>
      <w:bookmarkStart w:id="22" w:name="_Toc28776"/>
      <w:bookmarkStart w:id="23" w:name="_Toc17685"/>
      <w:bookmarkStart w:id="24" w:name="_Toc1603"/>
    </w:p>
    <w:p>
      <w:pPr>
        <w:spacing w:line="360" w:lineRule="auto"/>
        <w:jc w:val="center"/>
        <w:rPr>
          <w:rFonts w:ascii="宋体" w:hAnsi="宋体"/>
          <w:sz w:val="28"/>
          <w:szCs w:val="28"/>
        </w:rPr>
      </w:pPr>
      <w:r>
        <w:rPr>
          <w:rFonts w:hint="eastAsia" w:ascii="宋体" w:hAnsi="宋体" w:cs="宋体"/>
          <w:b/>
          <w:bCs/>
          <w:sz w:val="32"/>
          <w:szCs w:val="32"/>
        </w:rPr>
        <w:t>目录</w:t>
      </w:r>
      <w:r>
        <w:rPr>
          <w:rFonts w:hint="eastAsia" w:ascii="宋体" w:hAnsi="宋体" w:cs="宋体"/>
          <w:b/>
          <w:sz w:val="28"/>
          <w:szCs w:val="28"/>
        </w:rPr>
        <w:fldChar w:fldCharType="begin"/>
      </w:r>
      <w:r>
        <w:rPr>
          <w:rFonts w:hint="eastAsia" w:ascii="宋体" w:hAnsi="宋体" w:cs="宋体"/>
          <w:b/>
          <w:sz w:val="28"/>
          <w:szCs w:val="28"/>
        </w:rPr>
        <w:instrText xml:space="preserve">TOC \o "1-4" \h \u </w:instrText>
      </w:r>
      <w:r>
        <w:rPr>
          <w:rFonts w:hint="eastAsia" w:ascii="宋体" w:hAnsi="宋体" w:cs="宋体"/>
          <w:b/>
          <w:sz w:val="28"/>
          <w:szCs w:val="28"/>
        </w:rPr>
        <w:fldChar w:fldCharType="separate"/>
      </w:r>
    </w:p>
    <w:p>
      <w:pPr>
        <w:pStyle w:val="15"/>
        <w:tabs>
          <w:tab w:val="right" w:leader="dot" w:pos="9016"/>
        </w:tabs>
        <w:rPr>
          <w:rFonts w:ascii="宋体" w:hAnsi="宋体"/>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"_Toc184136994"</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1 </w:t>
      </w:r>
      <w:r>
        <w:rPr>
          <w:rStyle w:val="23"/>
          <w:rFonts w:hint="eastAsia" w:ascii="宋体" w:hAnsi="宋体" w:cs="黑体"/>
          <w:b/>
          <w:bCs/>
          <w:sz w:val="28"/>
          <w:szCs w:val="28"/>
        </w:rPr>
        <w:t>总则</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_Toc184136994 \h </w:instrText>
      </w:r>
      <w:r>
        <w:rPr>
          <w:rFonts w:ascii="宋体" w:hAnsi="宋体"/>
          <w:b/>
          <w:bCs/>
          <w:sz w:val="28"/>
          <w:szCs w:val="28"/>
        </w:rPr>
        <w:fldChar w:fldCharType="separate"/>
      </w:r>
      <w:r>
        <w:rPr>
          <w:rFonts w:ascii="宋体" w:hAnsi="宋体"/>
          <w:b/>
          <w:bCs/>
          <w:sz w:val="28"/>
          <w:szCs w:val="28"/>
        </w:rPr>
        <w:t>6</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"_Toc184136995"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1.1 </w:t>
      </w:r>
      <w:r>
        <w:rPr>
          <w:rStyle w:val="23"/>
          <w:rFonts w:hint="eastAsia" w:ascii="宋体" w:hAnsi="宋体" w:cs="宋体"/>
          <w:sz w:val="28"/>
          <w:szCs w:val="28"/>
        </w:rPr>
        <w:t>编制目的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_Toc184136995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"_Toc184136996"</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1.2 </w:t>
      </w:r>
      <w:r>
        <w:rPr>
          <w:rStyle w:val="23"/>
          <w:rFonts w:hint="eastAsia" w:ascii="宋体" w:hAnsi="宋体" w:cs="宋体"/>
          <w:sz w:val="28"/>
          <w:szCs w:val="28"/>
        </w:rPr>
        <w:t>编制依据</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_Toc184136996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"_Toc184136997"</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1.3 </w:t>
      </w:r>
      <w:r>
        <w:rPr>
          <w:rStyle w:val="23"/>
          <w:rFonts w:hint="eastAsia" w:ascii="宋体" w:hAnsi="宋体" w:cs="宋体"/>
          <w:sz w:val="28"/>
          <w:szCs w:val="28"/>
        </w:rPr>
        <w:t>响应分级</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_Toc184136997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"_Toc184136998"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1.3.1 </w:t>
      </w:r>
      <w:r>
        <w:rPr>
          <w:rStyle w:val="23"/>
          <w:rFonts w:hint="eastAsia" w:ascii="宋体" w:hAnsi="宋体" w:cs="宋体"/>
          <w:sz w:val="28"/>
          <w:szCs w:val="28"/>
        </w:rPr>
        <w:t>突发事件分类分级</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_Toc184136998 \h </w:instrText>
      </w:r>
      <w:r>
        <w:rPr>
          <w:rFonts w:ascii="宋体" w:hAnsi="宋体"/>
          <w:sz w:val="28"/>
          <w:szCs w:val="28"/>
        </w:rPr>
        <w:fldChar w:fldCharType="separate"/>
      </w:r>
      <w:r>
        <w:rPr>
          <w:rFonts w:ascii="宋体" w:hAnsi="宋体"/>
          <w:sz w:val="28"/>
          <w:szCs w:val="28"/>
        </w:rPr>
        <w:t>6</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"_Toc184136999"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1.3.2 </w:t>
      </w:r>
      <w:r>
        <w:rPr>
          <w:rStyle w:val="23"/>
          <w:rFonts w:hint="eastAsia" w:ascii="宋体" w:hAnsi="宋体" w:cs="宋体"/>
          <w:sz w:val="28"/>
          <w:szCs w:val="28"/>
        </w:rPr>
        <w:t>响应分级</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_Toc184136999 \h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1.4 </w:t>
      </w:r>
      <w:r>
        <w:rPr>
          <w:rStyle w:val="23"/>
          <w:rFonts w:hint="eastAsia" w:ascii="宋体" w:hAnsi="宋体" w:cs="宋体"/>
          <w:sz w:val="28"/>
          <w:szCs w:val="28"/>
        </w:rPr>
        <w:t>适用范围</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_Toc184137000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1.5 </w:t>
      </w:r>
      <w:r>
        <w:rPr>
          <w:rStyle w:val="23"/>
          <w:rFonts w:hint="eastAsia" w:ascii="宋体" w:hAnsi="宋体" w:cs="宋体"/>
          <w:sz w:val="28"/>
          <w:szCs w:val="28"/>
        </w:rPr>
        <w:t>工作原则</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_Toc184137001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"_Toc184137002"</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1.6 </w:t>
      </w:r>
      <w:r>
        <w:rPr>
          <w:rStyle w:val="23"/>
          <w:rFonts w:hint="eastAsia" w:ascii="宋体" w:hAnsi="宋体" w:cs="宋体"/>
          <w:sz w:val="28"/>
          <w:szCs w:val="28"/>
        </w:rPr>
        <w:t>预案体系</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_Toc184137002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"_Toc184137003"</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2 </w:t>
      </w:r>
      <w:r>
        <w:rPr>
          <w:rStyle w:val="23"/>
          <w:rFonts w:hint="eastAsia" w:ascii="宋体" w:hAnsi="宋体" w:cs="黑体"/>
          <w:b/>
          <w:bCs/>
          <w:sz w:val="28"/>
          <w:szCs w:val="28"/>
        </w:rPr>
        <w:t>风险分析与应急资源</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_Toc184137003 \h </w:instrText>
      </w:r>
      <w:r>
        <w:rPr>
          <w:rFonts w:ascii="宋体" w:hAnsi="宋体"/>
          <w:b/>
          <w:bCs/>
          <w:sz w:val="28"/>
          <w:szCs w:val="28"/>
        </w:rPr>
        <w:fldChar w:fldCharType="separate"/>
      </w:r>
      <w:r>
        <w:rPr>
          <w:rFonts w:ascii="宋体" w:hAnsi="宋体"/>
          <w:b/>
          <w:bCs/>
          <w:sz w:val="28"/>
          <w:szCs w:val="28"/>
        </w:rPr>
        <w:t>10</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2.1 </w:t>
      </w:r>
      <w:r>
        <w:rPr>
          <w:rStyle w:val="23"/>
          <w:rFonts w:hint="eastAsia" w:ascii="宋体" w:hAnsi="宋体" w:cs="宋体"/>
          <w:sz w:val="28"/>
          <w:szCs w:val="28"/>
        </w:rPr>
        <w:t>风险分析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_Toc184137004 \h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2.2 </w:t>
      </w:r>
      <w:r>
        <w:rPr>
          <w:rStyle w:val="23"/>
          <w:rFonts w:hint="eastAsia" w:ascii="宋体" w:hAnsi="宋体" w:cs="宋体"/>
          <w:sz w:val="28"/>
          <w:szCs w:val="28"/>
        </w:rPr>
        <w:t>应急资源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_Toc184137005 \h </w:instrText>
      </w:r>
      <w:r>
        <w:rPr>
          <w:rFonts w:ascii="宋体" w:hAnsi="宋体"/>
          <w:sz w:val="28"/>
          <w:szCs w:val="28"/>
        </w:rPr>
        <w:fldChar w:fldCharType="separate"/>
      </w:r>
      <w:r>
        <w:rPr>
          <w:rFonts w:ascii="宋体" w:hAnsi="宋体"/>
          <w:sz w:val="28"/>
          <w:szCs w:val="28"/>
        </w:rPr>
        <w:t>11</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"_Toc184137006"</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3 </w:t>
      </w:r>
      <w:r>
        <w:rPr>
          <w:rStyle w:val="23"/>
          <w:rFonts w:hint="eastAsia" w:ascii="宋体" w:hAnsi="宋体" w:cs="黑体"/>
          <w:b/>
          <w:bCs/>
          <w:sz w:val="28"/>
          <w:szCs w:val="28"/>
        </w:rPr>
        <w:t>组织指挥体系与职责</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_Toc184137006 \h </w:instrText>
      </w:r>
      <w:r>
        <w:rPr>
          <w:rFonts w:ascii="宋体" w:hAnsi="宋体"/>
          <w:b/>
          <w:bCs/>
          <w:sz w:val="28"/>
          <w:szCs w:val="28"/>
        </w:rPr>
        <w:fldChar w:fldCharType="separate"/>
      </w:r>
      <w:r>
        <w:rPr>
          <w:rFonts w:ascii="宋体" w:hAnsi="宋体"/>
          <w:b/>
          <w:bCs/>
          <w:sz w:val="28"/>
          <w:szCs w:val="28"/>
        </w:rPr>
        <w:t>12</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"_Toc184137007"</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3.1 </w:t>
      </w:r>
      <w:r>
        <w:rPr>
          <w:rStyle w:val="23"/>
          <w:rFonts w:hint="eastAsia" w:ascii="宋体" w:hAnsi="宋体" w:cs="宋体"/>
          <w:sz w:val="28"/>
          <w:szCs w:val="28"/>
        </w:rPr>
        <w:t>组织指挥机构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_Toc184137007 \h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3.1.1 </w:t>
      </w:r>
      <w:r>
        <w:rPr>
          <w:rStyle w:val="23"/>
          <w:rFonts w:hint="eastAsia" w:ascii="宋体" w:hAnsi="宋体" w:cs="宋体"/>
          <w:sz w:val="28"/>
          <w:szCs w:val="28"/>
        </w:rPr>
        <w:t>区应急指挥部组成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_Toc184137008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"_Toc184137009"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3.1.2 </w:t>
      </w:r>
      <w:r>
        <w:rPr>
          <w:rStyle w:val="23"/>
          <w:rFonts w:hint="eastAsia" w:ascii="宋体" w:hAnsi="宋体" w:cs="宋体"/>
          <w:sz w:val="28"/>
          <w:szCs w:val="28"/>
        </w:rPr>
        <w:t>区应急指挥部职责</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_Toc184137009 \h </w:instrText>
      </w:r>
      <w:r>
        <w:rPr>
          <w:rFonts w:ascii="宋体" w:hAnsi="宋体"/>
          <w:sz w:val="28"/>
          <w:szCs w:val="28"/>
        </w:rPr>
        <w:fldChar w:fldCharType="separate"/>
      </w:r>
      <w:r>
        <w:rPr>
          <w:rFonts w:ascii="宋体" w:hAnsi="宋体"/>
          <w:sz w:val="28"/>
          <w:szCs w:val="28"/>
        </w:rPr>
        <w:t>13</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3.2 </w:t>
      </w:r>
      <w:r>
        <w:rPr>
          <w:rStyle w:val="23"/>
          <w:rFonts w:hint="eastAsia" w:ascii="宋体" w:hAnsi="宋体" w:cs="宋体"/>
          <w:sz w:val="28"/>
          <w:szCs w:val="28"/>
        </w:rPr>
        <w:t>办事机构及职责</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_Toc184137010 \h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3.3 </w:t>
      </w:r>
      <w:r>
        <w:rPr>
          <w:rStyle w:val="23"/>
          <w:rFonts w:hint="eastAsia" w:ascii="宋体" w:hAnsi="宋体" w:cs="宋体"/>
          <w:sz w:val="28"/>
          <w:szCs w:val="28"/>
        </w:rPr>
        <w:t>区应急指挥部成员单</w:t>
      </w:r>
      <w:bookmarkStart w:id="25" w:name="_Hlt184143866"/>
      <w:r>
        <w:rPr>
          <w:rStyle w:val="23"/>
          <w:rFonts w:hint="eastAsia" w:ascii="宋体" w:hAnsi="宋体" w:cs="宋体"/>
          <w:sz w:val="28"/>
          <w:szCs w:val="28"/>
        </w:rPr>
        <w:t>位</w:t>
      </w:r>
      <w:bookmarkEnd w:id="25"/>
      <w:r>
        <w:rPr>
          <w:rStyle w:val="23"/>
          <w:rFonts w:hint="eastAsia" w:ascii="宋体" w:hAnsi="宋体" w:cs="宋体"/>
          <w:sz w:val="28"/>
          <w:szCs w:val="28"/>
        </w:rPr>
        <w:t>及职责</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_Toc184137011 \h </w:instrText>
      </w:r>
      <w:r>
        <w:rPr>
          <w:rFonts w:ascii="宋体" w:hAnsi="宋体"/>
          <w:sz w:val="28"/>
          <w:szCs w:val="28"/>
        </w:rPr>
        <w:fldChar w:fldCharType="separate"/>
      </w:r>
      <w:r>
        <w:rPr>
          <w:rFonts w:ascii="宋体" w:hAnsi="宋体"/>
          <w:sz w:val="28"/>
          <w:szCs w:val="28"/>
        </w:rPr>
        <w:t>15</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"_Toc184137012"</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3.4 </w:t>
      </w:r>
      <w:r>
        <w:rPr>
          <w:rStyle w:val="23"/>
          <w:rFonts w:hint="eastAsia" w:ascii="宋体" w:hAnsi="宋体" w:cs="宋体"/>
          <w:sz w:val="28"/>
          <w:szCs w:val="28"/>
        </w:rPr>
        <w:t>运行管理机构及职责</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_Toc184137012 \h </w:instrText>
      </w:r>
      <w:r>
        <w:rPr>
          <w:rFonts w:ascii="宋体" w:hAnsi="宋体"/>
          <w:sz w:val="28"/>
          <w:szCs w:val="28"/>
        </w:rPr>
        <w:fldChar w:fldCharType="separate"/>
      </w:r>
      <w:r>
        <w:rPr>
          <w:rFonts w:ascii="宋体" w:hAnsi="宋体"/>
          <w:sz w:val="28"/>
          <w:szCs w:val="28"/>
        </w:rPr>
        <w:t>18</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"_Toc184137013"</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 </w:t>
      </w:r>
      <w:r>
        <w:rPr>
          <w:rStyle w:val="23"/>
          <w:rFonts w:hint="eastAsia" w:ascii="宋体" w:hAnsi="宋体" w:cs="宋体"/>
          <w:sz w:val="28"/>
          <w:szCs w:val="28"/>
        </w:rPr>
        <w:t>现场应急指挥机构及职责</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_Toc184137013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3.5.1 </w:t>
      </w:r>
      <w:r>
        <w:rPr>
          <w:rStyle w:val="23"/>
          <w:rFonts w:hint="eastAsia" w:ascii="宋体" w:hAnsi="宋体" w:cs="宋体"/>
          <w:sz w:val="28"/>
          <w:szCs w:val="28"/>
        </w:rPr>
        <w:t>综合协调组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_Toc184137014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3.5.2 </w:t>
      </w:r>
      <w:r>
        <w:rPr>
          <w:rStyle w:val="23"/>
          <w:rFonts w:hint="eastAsia" w:ascii="宋体" w:hAnsi="宋体" w:cs="宋体"/>
          <w:sz w:val="28"/>
          <w:szCs w:val="28"/>
        </w:rPr>
        <w:t>抢险救援组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_Toc184137015 \h </w:instrText>
      </w:r>
      <w:r>
        <w:rPr>
          <w:rFonts w:ascii="宋体" w:hAnsi="宋体"/>
          <w:sz w:val="28"/>
          <w:szCs w:val="28"/>
        </w:rPr>
        <w:fldChar w:fldCharType="separate"/>
      </w:r>
      <w:r>
        <w:rPr>
          <w:rFonts w:ascii="宋体" w:hAnsi="宋体"/>
          <w:sz w:val="28"/>
          <w:szCs w:val="28"/>
        </w:rPr>
        <w:t>21</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"_Toc184137016"</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3.5.3 </w:t>
      </w:r>
      <w:r>
        <w:rPr>
          <w:rStyle w:val="23"/>
          <w:rFonts w:hint="eastAsia" w:ascii="宋体" w:hAnsi="宋体" w:cs="宋体"/>
          <w:sz w:val="28"/>
          <w:szCs w:val="28"/>
        </w:rPr>
        <w:t>秩序维护组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_Toc184137016 \h </w:instrText>
      </w:r>
      <w:r>
        <w:rPr>
          <w:rFonts w:ascii="宋体" w:hAnsi="宋体"/>
          <w:sz w:val="28"/>
          <w:szCs w:val="28"/>
        </w:rPr>
        <w:fldChar w:fldCharType="separate"/>
      </w:r>
      <w:r>
        <w:rPr>
          <w:rFonts w:ascii="宋体" w:hAnsi="宋体"/>
          <w:sz w:val="28"/>
          <w:szCs w:val="28"/>
        </w:rPr>
        <w:t>22</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"_Toc184137017"</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3.5.4 </w:t>
      </w:r>
      <w:r>
        <w:rPr>
          <w:rStyle w:val="23"/>
          <w:rFonts w:hint="eastAsia" w:ascii="宋体" w:hAnsi="宋体" w:cs="宋体"/>
          <w:sz w:val="28"/>
          <w:szCs w:val="28"/>
        </w:rPr>
        <w:t>医疗卫生组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_Toc184137017 \h </w:instrText>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3.5.5 </w:t>
      </w:r>
      <w:r>
        <w:rPr>
          <w:rStyle w:val="23"/>
          <w:rFonts w:hint="eastAsia" w:ascii="宋体" w:hAnsi="宋体" w:cs="宋体"/>
          <w:sz w:val="28"/>
          <w:szCs w:val="28"/>
        </w:rPr>
        <w:t>后勤保障组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_Toc184137018 \h </w:instrText>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"_Toc184137019"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3.5.6 </w:t>
      </w:r>
      <w:r>
        <w:rPr>
          <w:rStyle w:val="23"/>
          <w:rFonts w:hint="eastAsia" w:ascii="宋体" w:hAnsi="宋体" w:cs="宋体"/>
          <w:sz w:val="28"/>
          <w:szCs w:val="28"/>
        </w:rPr>
        <w:t>善后处置组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_Toc184137019 \h </w:instrText>
      </w:r>
      <w:r>
        <w:rPr>
          <w:rFonts w:ascii="宋体" w:hAnsi="宋体"/>
          <w:sz w:val="28"/>
          <w:szCs w:val="28"/>
        </w:rPr>
        <w:fldChar w:fldCharType="separate"/>
      </w:r>
      <w:r>
        <w:rPr>
          <w:rFonts w:ascii="宋体" w:hAnsi="宋体"/>
          <w:sz w:val="28"/>
          <w:szCs w:val="28"/>
        </w:rPr>
        <w:t>23</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3.5.7 </w:t>
      </w:r>
      <w:r>
        <w:rPr>
          <w:rStyle w:val="23"/>
          <w:rFonts w:hint="eastAsia" w:ascii="宋体" w:hAnsi="宋体" w:cs="宋体"/>
          <w:sz w:val="28"/>
          <w:szCs w:val="28"/>
        </w:rPr>
        <w:t>新闻报道组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_Toc184137020 \h </w:instrText>
      </w:r>
      <w:r>
        <w:rPr>
          <w:rFonts w:ascii="宋体" w:hAnsi="宋体"/>
          <w:sz w:val="28"/>
          <w:szCs w:val="28"/>
        </w:rPr>
        <w:fldChar w:fldCharType="separate"/>
      </w:r>
      <w:r>
        <w:rPr>
          <w:rFonts w:ascii="宋体" w:hAnsi="宋体"/>
          <w:sz w:val="28"/>
          <w:szCs w:val="28"/>
        </w:rPr>
        <w:t>24</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3.5.8 </w:t>
      </w:r>
      <w:r>
        <w:rPr>
          <w:rStyle w:val="23"/>
          <w:rFonts w:hint="eastAsia" w:ascii="宋体" w:hAnsi="宋体" w:cs="宋体"/>
          <w:sz w:val="28"/>
          <w:szCs w:val="28"/>
        </w:rPr>
        <w:t>专家组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_Toc184137021 \h </w:instrText>
      </w:r>
      <w:r>
        <w:rPr>
          <w:rFonts w:ascii="宋体" w:hAnsi="宋体"/>
          <w:sz w:val="28"/>
          <w:szCs w:val="28"/>
        </w:rPr>
        <w:fldChar w:fldCharType="separate"/>
      </w:r>
      <w:r>
        <w:rPr>
          <w:rFonts w:ascii="宋体" w:hAnsi="宋体"/>
          <w:sz w:val="28"/>
          <w:szCs w:val="28"/>
        </w:rPr>
        <w:t>24</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"_Toc184137022"</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3.5.9 </w:t>
      </w:r>
      <w:r>
        <w:rPr>
          <w:rStyle w:val="23"/>
          <w:rFonts w:hint="eastAsia" w:ascii="宋体" w:hAnsi="宋体" w:cs="宋体"/>
          <w:sz w:val="28"/>
          <w:szCs w:val="28"/>
        </w:rPr>
        <w:t>其他工作组</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_Toc184137022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b/>
          <w:bCs/>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"_Toc184137023"</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4 </w:t>
      </w:r>
      <w:r>
        <w:rPr>
          <w:rStyle w:val="23"/>
          <w:rFonts w:hint="eastAsia" w:ascii="宋体" w:hAnsi="宋体" w:cs="黑体"/>
          <w:b/>
          <w:bCs/>
          <w:sz w:val="28"/>
          <w:szCs w:val="28"/>
        </w:rPr>
        <w:t>预防和预警机制</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_Toc184137023 \h </w:instrText>
      </w:r>
      <w:r>
        <w:rPr>
          <w:rFonts w:ascii="宋体" w:hAnsi="宋体"/>
          <w:b/>
          <w:bCs/>
          <w:sz w:val="28"/>
          <w:szCs w:val="28"/>
        </w:rPr>
        <w:fldChar w:fldCharType="separate"/>
      </w:r>
      <w:r>
        <w:rPr>
          <w:rFonts w:ascii="宋体" w:hAnsi="宋体"/>
          <w:b/>
          <w:bCs/>
          <w:sz w:val="28"/>
          <w:szCs w:val="28"/>
        </w:rPr>
        <w:t>25</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4.1 </w:t>
      </w:r>
      <w:r>
        <w:rPr>
          <w:rStyle w:val="23"/>
          <w:rFonts w:hint="eastAsia" w:ascii="宋体" w:hAnsi="宋体" w:cs="宋体"/>
          <w:sz w:val="28"/>
          <w:szCs w:val="28"/>
        </w:rPr>
        <w:t>风险防控</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_Toc184137024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4.1.1 </w:t>
      </w:r>
      <w:r>
        <w:rPr>
          <w:rStyle w:val="23"/>
          <w:rFonts w:hint="eastAsia" w:ascii="宋体" w:hAnsi="宋体" w:cs="宋体"/>
          <w:sz w:val="28"/>
          <w:szCs w:val="28"/>
        </w:rPr>
        <w:t>落实组织者主体责任</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_Toc184137025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"_Toc184137026"</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4.1.2 </w:t>
      </w:r>
      <w:r>
        <w:rPr>
          <w:rStyle w:val="23"/>
          <w:rFonts w:hint="eastAsia" w:ascii="宋体" w:hAnsi="宋体" w:cs="宋体"/>
          <w:sz w:val="28"/>
          <w:szCs w:val="28"/>
        </w:rPr>
        <w:t>严格安全监管责任</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_Toc184137026 \h </w:instrText>
      </w:r>
      <w:r>
        <w:rPr>
          <w:rFonts w:ascii="宋体" w:hAnsi="宋体"/>
          <w:sz w:val="28"/>
          <w:szCs w:val="28"/>
        </w:rPr>
        <w:fldChar w:fldCharType="separate"/>
      </w:r>
      <w:r>
        <w:rPr>
          <w:rFonts w:ascii="宋体" w:hAnsi="宋体"/>
          <w:sz w:val="28"/>
          <w:szCs w:val="28"/>
        </w:rPr>
        <w:t>25</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"_Toc184137027"</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4.1.3 </w:t>
      </w:r>
      <w:r>
        <w:rPr>
          <w:rStyle w:val="23"/>
          <w:rFonts w:hint="eastAsia" w:ascii="宋体" w:hAnsi="宋体" w:cs="宋体"/>
          <w:sz w:val="28"/>
          <w:szCs w:val="28"/>
        </w:rPr>
        <w:t>防范措施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_Toc184137027 \h </w:instrText>
      </w:r>
      <w:r>
        <w:rPr>
          <w:rFonts w:ascii="宋体" w:hAnsi="宋体"/>
          <w:sz w:val="28"/>
          <w:szCs w:val="28"/>
        </w:rPr>
        <w:fldChar w:fldCharType="separate"/>
      </w:r>
      <w:r>
        <w:rPr>
          <w:rFonts w:ascii="宋体" w:hAnsi="宋体"/>
          <w:sz w:val="28"/>
          <w:szCs w:val="28"/>
        </w:rPr>
        <w:t>26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4.2 </w:t>
      </w:r>
      <w:r>
        <w:rPr>
          <w:rStyle w:val="23"/>
          <w:rFonts w:hint="eastAsia" w:ascii="宋体" w:hAnsi="宋体" w:cs="宋体"/>
          <w:sz w:val="28"/>
          <w:szCs w:val="28"/>
        </w:rPr>
        <w:t>监测</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_Toc184137028 \h </w:instrText>
      </w:r>
      <w:r>
        <w:rPr>
          <w:rFonts w:ascii="宋体" w:hAnsi="宋体"/>
          <w:sz w:val="28"/>
          <w:szCs w:val="28"/>
        </w:rPr>
        <w:fldChar w:fldCharType="separate"/>
      </w:r>
      <w:r>
        <w:rPr>
          <w:rFonts w:ascii="宋体" w:hAnsi="宋体"/>
          <w:sz w:val="28"/>
          <w:szCs w:val="28"/>
        </w:rPr>
        <w:t>27</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"_Toc184137029"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 </w:t>
      </w:r>
      <w:r>
        <w:rPr>
          <w:rStyle w:val="23"/>
          <w:rFonts w:hint="eastAsia" w:ascii="宋体" w:hAnsi="宋体" w:cs="宋体"/>
          <w:sz w:val="28"/>
          <w:szCs w:val="28"/>
        </w:rPr>
        <w:t>预警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_Toc184137029 \h </w:instrText>
      </w:r>
      <w:r>
        <w:rPr>
          <w:rFonts w:ascii="宋体" w:hAnsi="宋体"/>
          <w:sz w:val="28"/>
          <w:szCs w:val="28"/>
        </w:rPr>
        <w:fldChar w:fldCharType="separate"/>
      </w:r>
      <w:r>
        <w:rPr>
          <w:rFonts w:ascii="宋体" w:hAnsi="宋体"/>
          <w:sz w:val="28"/>
          <w:szCs w:val="28"/>
        </w:rPr>
        <w:t>28</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4.3.1 </w:t>
      </w:r>
      <w:r>
        <w:rPr>
          <w:rStyle w:val="23"/>
          <w:rFonts w:hint="eastAsia" w:ascii="宋体" w:hAnsi="宋体" w:cs="宋体"/>
          <w:sz w:val="28"/>
          <w:szCs w:val="28"/>
        </w:rPr>
        <w:t>预警分级</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_Toc184137030 \h </w:instrText>
      </w:r>
      <w:r>
        <w:rPr>
          <w:rFonts w:ascii="宋体" w:hAnsi="宋体"/>
          <w:sz w:val="28"/>
          <w:szCs w:val="28"/>
        </w:rPr>
        <w:fldChar w:fldCharType="separate"/>
      </w:r>
      <w:r>
        <w:rPr>
          <w:rFonts w:ascii="宋体" w:hAnsi="宋体"/>
          <w:sz w:val="28"/>
          <w:szCs w:val="28"/>
        </w:rPr>
        <w:t>28</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4.3.2 </w:t>
      </w:r>
      <w:r>
        <w:rPr>
          <w:rStyle w:val="23"/>
          <w:rFonts w:hint="eastAsia" w:ascii="宋体" w:hAnsi="宋体" w:cs="宋体"/>
          <w:sz w:val="28"/>
          <w:szCs w:val="28"/>
        </w:rPr>
        <w:t>预警发布</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_Toc184137031 \h </w:instrText>
      </w:r>
      <w:r>
        <w:rPr>
          <w:rFonts w:ascii="宋体" w:hAnsi="宋体"/>
          <w:sz w:val="28"/>
          <w:szCs w:val="28"/>
        </w:rPr>
        <w:fldChar w:fldCharType="separate"/>
      </w:r>
      <w:r>
        <w:rPr>
          <w:rFonts w:ascii="宋体" w:hAnsi="宋体"/>
          <w:sz w:val="28"/>
          <w:szCs w:val="28"/>
        </w:rPr>
        <w:t>28</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"_Toc184137032"</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4.3.3 </w:t>
      </w:r>
      <w:r>
        <w:rPr>
          <w:rStyle w:val="23"/>
          <w:rFonts w:hint="eastAsia" w:ascii="宋体" w:hAnsi="宋体" w:cs="宋体"/>
          <w:sz w:val="28"/>
          <w:szCs w:val="28"/>
        </w:rPr>
        <w:t>预警行动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_Toc184137032 \h </w:instrText>
      </w:r>
      <w:r>
        <w:rPr>
          <w:rFonts w:ascii="宋体" w:hAnsi="宋体"/>
          <w:sz w:val="28"/>
          <w:szCs w:val="28"/>
        </w:rPr>
        <w:fldChar w:fldCharType="separate"/>
      </w:r>
      <w:r>
        <w:rPr>
          <w:rFonts w:ascii="宋体" w:hAnsi="宋体"/>
          <w:sz w:val="28"/>
          <w:szCs w:val="28"/>
        </w:rPr>
        <w:t>30</w:t>
      </w:r>
      <w:r>
        <w:rPr>
          <w:rFonts w:ascii="宋体" w:hAnsi="宋体"/>
          <w:sz w:val="28"/>
          <w:szCs w:val="28"/>
        </w:rPr>
        <w:fldChar w:fldCharType="end"/>
      </w:r>
      <w:r>
        <w:rPr>
          <w:rStyle w:val="23"/>
          <w:rFonts w:ascii="宋体" w:hAnsi="宋体"/>
          <w:sz w:val="28"/>
          <w:szCs w:val="28"/>
        </w:rPr>
        <w:fldChar w:fldCharType="end"/>
      </w:r>
    </w:p>
    <w:p>
      <w:pPr>
        <w:pStyle w:val="16"/>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"_Toc184137033"</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4.3.3.1 </w:t>
      </w:r>
      <w:r>
        <w:rPr>
          <w:rStyle w:val="23"/>
          <w:rFonts w:hint="eastAsia" w:ascii="宋体" w:hAnsi="宋体" w:cs="宋体"/>
          <w:sz w:val="28"/>
          <w:szCs w:val="28"/>
        </w:rPr>
        <w:t>蓝色预警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_Toc184137033 \h </w:instrText>
      </w:r>
      <w:r>
        <w:rPr>
          <w:rFonts w:ascii="宋体" w:hAnsi="宋体"/>
          <w:sz w:val="28"/>
          <w:szCs w:val="28"/>
        </w:rPr>
        <w:fldChar w:fldCharType="separate"/>
      </w:r>
      <w:r>
        <w:rPr>
          <w:rFonts w:ascii="宋体" w:hAnsi="宋体"/>
          <w:sz w:val="28"/>
          <w:szCs w:val="28"/>
        </w:rPr>
        <w:t>30</w:t>
      </w:r>
      <w:r>
        <w:rPr>
          <w:rFonts w:ascii="宋体" w:hAnsi="宋体"/>
          <w:sz w:val="28"/>
          <w:szCs w:val="28"/>
        </w:rPr>
        <w:fldChar w:fldCharType="end"/>
      </w:r>
      <w:r>
        <w:rPr>
          <w:rStyle w:val="23"/>
          <w:rFonts w:ascii="宋体" w:hAnsi="宋体"/>
          <w:sz w:val="28"/>
          <w:szCs w:val="28"/>
        </w:rPr>
        <w:fldChar w:fldCharType="end"/>
      </w:r>
    </w:p>
    <w:p>
      <w:pPr>
        <w:pStyle w:val="16"/>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4.3.3.2 </w:t>
      </w:r>
      <w:r>
        <w:rPr>
          <w:rStyle w:val="23"/>
          <w:rFonts w:hint="eastAsia" w:ascii="宋体" w:hAnsi="宋体" w:cs="宋体"/>
          <w:sz w:val="28"/>
          <w:szCs w:val="28"/>
        </w:rPr>
        <w:t>黄色预警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_Toc184137034 \h </w:instrText>
      </w:r>
      <w:r>
        <w:rPr>
          <w:rFonts w:ascii="宋体" w:hAnsi="宋体"/>
          <w:sz w:val="28"/>
          <w:szCs w:val="28"/>
        </w:rPr>
        <w:fldChar w:fldCharType="separate"/>
      </w:r>
      <w:r>
        <w:rPr>
          <w:rFonts w:ascii="宋体" w:hAnsi="宋体"/>
          <w:sz w:val="28"/>
          <w:szCs w:val="28"/>
        </w:rPr>
        <w:t>31</w:t>
      </w:r>
      <w:r>
        <w:rPr>
          <w:rFonts w:ascii="宋体" w:hAnsi="宋体"/>
          <w:sz w:val="28"/>
          <w:szCs w:val="28"/>
        </w:rPr>
        <w:fldChar w:fldCharType="end"/>
      </w:r>
      <w:r>
        <w:rPr>
          <w:rStyle w:val="23"/>
          <w:rFonts w:ascii="宋体" w:hAnsi="宋体"/>
          <w:sz w:val="28"/>
          <w:szCs w:val="28"/>
        </w:rPr>
        <w:fldChar w:fldCharType="end"/>
      </w:r>
    </w:p>
    <w:p>
      <w:pPr>
        <w:pStyle w:val="16"/>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4.3.3.3 </w:t>
      </w:r>
      <w:r>
        <w:rPr>
          <w:rStyle w:val="23"/>
          <w:rFonts w:hint="eastAsia" w:ascii="宋体" w:hAnsi="宋体" w:cs="宋体"/>
          <w:sz w:val="28"/>
          <w:szCs w:val="28"/>
        </w:rPr>
        <w:t>橙色、红色预警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_Toc184137035 \h </w:instrText>
      </w:r>
      <w:r>
        <w:rPr>
          <w:rFonts w:ascii="宋体" w:hAnsi="宋体"/>
          <w:sz w:val="28"/>
          <w:szCs w:val="28"/>
        </w:rPr>
        <w:fldChar w:fldCharType="separate"/>
      </w:r>
      <w:r>
        <w:rPr>
          <w:rFonts w:ascii="宋体" w:hAnsi="宋体"/>
          <w:sz w:val="28"/>
          <w:szCs w:val="28"/>
        </w:rPr>
        <w:t>31</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"_Toc184137036"</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4.3.4 </w:t>
      </w:r>
      <w:r>
        <w:rPr>
          <w:rStyle w:val="23"/>
          <w:rFonts w:hint="eastAsia" w:ascii="宋体" w:hAnsi="宋体" w:cs="宋体"/>
          <w:sz w:val="28"/>
          <w:szCs w:val="28"/>
        </w:rPr>
        <w:t>预警级别调整和解除</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_Toc184137036 \h </w:instrText>
      </w:r>
      <w:r>
        <w:rPr>
          <w:rFonts w:ascii="宋体" w:hAnsi="宋体"/>
          <w:sz w:val="28"/>
          <w:szCs w:val="28"/>
        </w:rPr>
        <w:fldChar w:fldCharType="separate"/>
      </w:r>
      <w:r>
        <w:rPr>
          <w:rFonts w:ascii="宋体" w:hAnsi="宋体"/>
          <w:sz w:val="28"/>
          <w:szCs w:val="28"/>
        </w:rPr>
        <w:t>32</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"_Toc184137037"</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5 </w:t>
      </w:r>
      <w:r>
        <w:rPr>
          <w:rStyle w:val="23"/>
          <w:rFonts w:hint="eastAsia" w:ascii="宋体" w:hAnsi="宋体" w:cs="黑体"/>
          <w:b/>
          <w:bCs/>
          <w:sz w:val="28"/>
          <w:szCs w:val="28"/>
        </w:rPr>
        <w:t>应急响应与处置</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_Toc184137037 \h </w:instrText>
      </w:r>
      <w:r>
        <w:rPr>
          <w:rFonts w:ascii="宋体" w:hAnsi="宋体"/>
          <w:b/>
          <w:bCs/>
          <w:sz w:val="28"/>
          <w:szCs w:val="28"/>
        </w:rPr>
        <w:fldChar w:fldCharType="separate"/>
      </w:r>
      <w:r>
        <w:rPr>
          <w:rFonts w:ascii="宋体" w:hAnsi="宋体"/>
          <w:b/>
          <w:bCs/>
          <w:sz w:val="28"/>
          <w:szCs w:val="28"/>
        </w:rPr>
        <w:t>33</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5.1 </w:t>
      </w:r>
      <w:r>
        <w:rPr>
          <w:rStyle w:val="23"/>
          <w:rFonts w:hint="eastAsia" w:ascii="宋体" w:hAnsi="宋体" w:cs="宋体"/>
          <w:sz w:val="28"/>
          <w:szCs w:val="28"/>
        </w:rPr>
        <w:t>信息报告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_Toc184137038 \h </w:instrText>
      </w:r>
      <w:r>
        <w:rPr>
          <w:rFonts w:ascii="宋体" w:hAnsi="宋体"/>
          <w:sz w:val="28"/>
          <w:szCs w:val="28"/>
        </w:rPr>
        <w:fldChar w:fldCharType="separate"/>
      </w:r>
      <w:r>
        <w:rPr>
          <w:rFonts w:ascii="宋体" w:hAnsi="宋体"/>
          <w:sz w:val="28"/>
          <w:szCs w:val="28"/>
        </w:rPr>
        <w:t>33</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"_Toc184137039"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5.1.1 </w:t>
      </w:r>
      <w:r>
        <w:rPr>
          <w:rStyle w:val="23"/>
          <w:rFonts w:hint="eastAsia" w:ascii="宋体" w:hAnsi="宋体" w:cs="宋体"/>
          <w:sz w:val="28"/>
          <w:szCs w:val="28"/>
        </w:rPr>
        <w:t>信息报告程序和时限</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_Toc184137039 \h </w:instrText>
      </w:r>
      <w:r>
        <w:rPr>
          <w:rFonts w:ascii="宋体" w:hAnsi="宋体"/>
          <w:sz w:val="28"/>
          <w:szCs w:val="28"/>
        </w:rPr>
        <w:fldChar w:fldCharType="separate"/>
      </w:r>
      <w:r>
        <w:rPr>
          <w:rFonts w:ascii="宋体" w:hAnsi="宋体"/>
          <w:sz w:val="28"/>
          <w:szCs w:val="28"/>
        </w:rPr>
        <w:t>33</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5.1.2 </w:t>
      </w:r>
      <w:r>
        <w:rPr>
          <w:rStyle w:val="23"/>
          <w:rFonts w:hint="eastAsia" w:ascii="宋体" w:hAnsi="宋体" w:cs="宋体"/>
          <w:sz w:val="28"/>
          <w:szCs w:val="28"/>
        </w:rPr>
        <w:t>信息报告内容和要求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_Toc184137040 \h </w:instrText>
      </w:r>
      <w:r>
        <w:rPr>
          <w:rFonts w:ascii="宋体" w:hAnsi="宋体"/>
          <w:sz w:val="28"/>
          <w:szCs w:val="28"/>
        </w:rPr>
        <w:fldChar w:fldCharType="separate"/>
      </w:r>
      <w:r>
        <w:rPr>
          <w:rFonts w:ascii="宋体" w:hAnsi="宋体"/>
          <w:sz w:val="28"/>
          <w:szCs w:val="28"/>
        </w:rPr>
        <w:t>33</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5.1.3 </w:t>
      </w:r>
      <w:r>
        <w:rPr>
          <w:rStyle w:val="23"/>
          <w:rFonts w:hint="eastAsia" w:ascii="宋体" w:hAnsi="宋体" w:cs="宋体"/>
          <w:sz w:val="28"/>
          <w:szCs w:val="28"/>
        </w:rPr>
        <w:t>事故信息续报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_Toc184137041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"_Toc184137042"</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5.2 </w:t>
      </w:r>
      <w:r>
        <w:rPr>
          <w:rStyle w:val="23"/>
          <w:rFonts w:hint="eastAsia" w:ascii="宋体" w:hAnsi="宋体" w:cs="宋体"/>
          <w:sz w:val="28"/>
          <w:szCs w:val="28"/>
        </w:rPr>
        <w:t>先期处置</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_Toc184137042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"_Toc184137043"</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5.3 </w:t>
      </w:r>
      <w:r>
        <w:rPr>
          <w:rStyle w:val="23"/>
          <w:rFonts w:hint="eastAsia" w:ascii="宋体" w:hAnsi="宋体" w:cs="宋体"/>
          <w:sz w:val="28"/>
          <w:szCs w:val="28"/>
        </w:rPr>
        <w:t>分级响应</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_Toc184137043 \h </w:instrText>
      </w:r>
      <w:r>
        <w:rPr>
          <w:rFonts w:ascii="宋体" w:hAnsi="宋体"/>
          <w:sz w:val="28"/>
          <w:szCs w:val="28"/>
        </w:rPr>
        <w:fldChar w:fldCharType="separate"/>
      </w:r>
      <w:r>
        <w:rPr>
          <w:rFonts w:ascii="宋体" w:hAnsi="宋体"/>
          <w:sz w:val="28"/>
          <w:szCs w:val="28"/>
        </w:rPr>
        <w:t>35</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5.3.1 </w:t>
      </w:r>
      <w:r>
        <w:rPr>
          <w:rStyle w:val="23"/>
          <w:rFonts w:hint="eastAsia" w:ascii="宋体" w:hAnsi="宋体" w:cs="宋体"/>
          <w:sz w:val="28"/>
          <w:szCs w:val="28"/>
        </w:rPr>
        <w:t>四级应急响应</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_Toc184137044 \h </w:instrText>
      </w:r>
      <w:r>
        <w:rPr>
          <w:rFonts w:ascii="宋体" w:hAnsi="宋体"/>
          <w:sz w:val="28"/>
          <w:szCs w:val="28"/>
        </w:rPr>
        <w:fldChar w:fldCharType="separate"/>
      </w:r>
      <w:r>
        <w:rPr>
          <w:rFonts w:ascii="宋体" w:hAnsi="宋体"/>
          <w:sz w:val="28"/>
          <w:szCs w:val="28"/>
        </w:rPr>
        <w:t>35</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5.3.2 </w:t>
      </w:r>
      <w:r>
        <w:rPr>
          <w:rStyle w:val="23"/>
          <w:rFonts w:hint="eastAsia" w:ascii="宋体" w:hAnsi="宋体" w:cs="宋体"/>
          <w:sz w:val="28"/>
          <w:szCs w:val="28"/>
        </w:rPr>
        <w:t>三级、二级、一级应急响应</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_Toc184137045 \h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"_Toc184137046"</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5.4 </w:t>
      </w:r>
      <w:r>
        <w:rPr>
          <w:rStyle w:val="23"/>
          <w:rFonts w:hint="eastAsia" w:ascii="宋体" w:hAnsi="宋体" w:cs="宋体"/>
          <w:sz w:val="28"/>
          <w:szCs w:val="28"/>
        </w:rPr>
        <w:t>应急处置措施</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_Toc184137046 \h </w:instrText>
      </w:r>
      <w:r>
        <w:rPr>
          <w:rFonts w:ascii="宋体" w:hAnsi="宋体"/>
          <w:sz w:val="28"/>
          <w:szCs w:val="28"/>
        </w:rPr>
        <w:fldChar w:fldCharType="separate"/>
      </w:r>
      <w:r>
        <w:rPr>
          <w:rFonts w:ascii="宋体" w:hAnsi="宋体"/>
          <w:sz w:val="28"/>
          <w:szCs w:val="28"/>
        </w:rPr>
        <w:t>36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"_Toc184137047"</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5.5 </w:t>
      </w:r>
      <w:r>
        <w:rPr>
          <w:rStyle w:val="23"/>
          <w:rFonts w:hint="eastAsia" w:ascii="宋体" w:hAnsi="宋体" w:cs="宋体"/>
          <w:sz w:val="28"/>
          <w:szCs w:val="28"/>
        </w:rPr>
        <w:t>扩大响应</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_Toc184137047 \h </w:instrText>
      </w:r>
      <w:r>
        <w:rPr>
          <w:rFonts w:ascii="宋体" w:hAnsi="宋体"/>
          <w:sz w:val="28"/>
          <w:szCs w:val="28"/>
        </w:rPr>
        <w:fldChar w:fldCharType="separate"/>
      </w:r>
      <w:r>
        <w:rPr>
          <w:rFonts w:ascii="宋体" w:hAnsi="宋体"/>
          <w:sz w:val="28"/>
          <w:szCs w:val="28"/>
        </w:rPr>
        <w:t>39</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5.6 </w:t>
      </w:r>
      <w:r>
        <w:rPr>
          <w:rStyle w:val="23"/>
          <w:rFonts w:hint="eastAsia" w:ascii="宋体" w:hAnsi="宋体" w:cs="宋体"/>
          <w:sz w:val="28"/>
          <w:szCs w:val="28"/>
        </w:rPr>
        <w:t>应急联动</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_Toc184137048 \h </w:instrText>
      </w:r>
      <w:r>
        <w:rPr>
          <w:rFonts w:ascii="宋体" w:hAnsi="宋体"/>
          <w:sz w:val="28"/>
          <w:szCs w:val="28"/>
        </w:rPr>
        <w:fldChar w:fldCharType="separate"/>
      </w:r>
      <w:r>
        <w:rPr>
          <w:rFonts w:ascii="宋体" w:hAnsi="宋体"/>
          <w:sz w:val="28"/>
          <w:szCs w:val="28"/>
        </w:rPr>
        <w:t>39</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"_Toc184137049"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5.7 </w:t>
      </w:r>
      <w:r>
        <w:rPr>
          <w:rStyle w:val="23"/>
          <w:rFonts w:hint="eastAsia" w:ascii="宋体" w:hAnsi="宋体" w:cs="宋体"/>
          <w:sz w:val="28"/>
          <w:szCs w:val="28"/>
        </w:rPr>
        <w:t>社会动员</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_Toc184137049 \h </w:instrText>
      </w:r>
      <w:r>
        <w:rPr>
          <w:rFonts w:ascii="宋体" w:hAnsi="宋体"/>
          <w:sz w:val="28"/>
          <w:szCs w:val="28"/>
        </w:rPr>
        <w:fldChar w:fldCharType="separate"/>
      </w:r>
      <w:r>
        <w:rPr>
          <w:rFonts w:ascii="宋体" w:hAnsi="宋体"/>
          <w:sz w:val="28"/>
          <w:szCs w:val="28"/>
        </w:rPr>
        <w:t>40</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5.8 </w:t>
      </w:r>
      <w:r>
        <w:rPr>
          <w:rStyle w:val="23"/>
          <w:rFonts w:hint="eastAsia" w:ascii="宋体" w:hAnsi="宋体" w:cs="宋体"/>
          <w:sz w:val="28"/>
          <w:szCs w:val="28"/>
        </w:rPr>
        <w:t>信息发布</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_Toc184137050 \h </w:instrText>
      </w:r>
      <w:r>
        <w:rPr>
          <w:rFonts w:ascii="宋体" w:hAnsi="宋体"/>
          <w:sz w:val="28"/>
          <w:szCs w:val="28"/>
        </w:rPr>
        <w:fldChar w:fldCharType="separate"/>
      </w:r>
      <w:r>
        <w:rPr>
          <w:rFonts w:ascii="宋体" w:hAnsi="宋体"/>
          <w:sz w:val="28"/>
          <w:szCs w:val="28"/>
        </w:rPr>
        <w:t>40</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5.9 </w:t>
      </w:r>
      <w:r>
        <w:rPr>
          <w:rStyle w:val="23"/>
          <w:rFonts w:hint="eastAsia" w:ascii="宋体" w:hAnsi="宋体" w:cs="宋体"/>
          <w:sz w:val="28"/>
          <w:szCs w:val="28"/>
        </w:rPr>
        <w:t>应急响应终止</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_Toc184137051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"_Toc184137052"</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6 </w:t>
      </w:r>
      <w:r>
        <w:rPr>
          <w:rStyle w:val="23"/>
          <w:rFonts w:hint="eastAsia" w:ascii="宋体" w:hAnsi="宋体" w:cs="黑体"/>
          <w:b/>
          <w:bCs/>
          <w:sz w:val="28"/>
          <w:szCs w:val="28"/>
        </w:rPr>
        <w:t>后期处置</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_Toc184137052 \h </w:instrText>
      </w:r>
      <w:r>
        <w:rPr>
          <w:rFonts w:ascii="宋体" w:hAnsi="宋体"/>
          <w:b/>
          <w:bCs/>
          <w:sz w:val="28"/>
          <w:szCs w:val="28"/>
        </w:rPr>
        <w:fldChar w:fldCharType="separate"/>
      </w:r>
      <w:r>
        <w:rPr>
          <w:rFonts w:ascii="宋体" w:hAnsi="宋体"/>
          <w:b/>
          <w:bCs/>
          <w:sz w:val="28"/>
          <w:szCs w:val="28"/>
        </w:rPr>
        <w:t>41</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"_Toc184137053"</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6.1 </w:t>
      </w:r>
      <w:r>
        <w:rPr>
          <w:rStyle w:val="23"/>
          <w:rFonts w:hint="eastAsia" w:ascii="宋体" w:hAnsi="宋体" w:cs="宋体"/>
          <w:sz w:val="28"/>
          <w:szCs w:val="28"/>
        </w:rPr>
        <w:t>善后处置</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_Toc184137053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6.2 </w:t>
      </w:r>
      <w:r>
        <w:rPr>
          <w:rStyle w:val="23"/>
          <w:rFonts w:hint="eastAsia" w:ascii="宋体" w:hAnsi="宋体" w:cs="宋体"/>
          <w:sz w:val="28"/>
          <w:szCs w:val="28"/>
        </w:rPr>
        <w:t>保险及社会救助</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_Toc184137054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6.3 </w:t>
      </w:r>
      <w:r>
        <w:rPr>
          <w:rStyle w:val="23"/>
          <w:rFonts w:hint="eastAsia" w:ascii="宋体" w:hAnsi="宋体" w:cs="宋体"/>
          <w:sz w:val="28"/>
          <w:szCs w:val="28"/>
        </w:rPr>
        <w:t>调查与评估</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_Toc184137055 \h </w:instrText>
      </w:r>
      <w:r>
        <w:rPr>
          <w:rFonts w:ascii="宋体" w:hAnsi="宋体"/>
          <w:sz w:val="28"/>
          <w:szCs w:val="28"/>
        </w:rPr>
        <w:fldChar w:fldCharType="separate"/>
      </w:r>
      <w:r>
        <w:rPr>
          <w:rFonts w:ascii="宋体" w:hAnsi="宋体"/>
          <w:sz w:val="28"/>
          <w:szCs w:val="28"/>
        </w:rPr>
        <w:t>42</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"_Toc184137056"</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6.4 </w:t>
      </w:r>
      <w:r>
        <w:rPr>
          <w:rStyle w:val="23"/>
          <w:rFonts w:hint="eastAsia" w:ascii="宋体" w:hAnsi="宋体" w:cs="宋体"/>
          <w:sz w:val="28"/>
          <w:szCs w:val="28"/>
        </w:rPr>
        <w:t>恢复与重建</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_Toc184137056 \h </w:instrText>
      </w:r>
      <w:r>
        <w:rPr>
          <w:rFonts w:ascii="宋体" w:hAnsi="宋体"/>
          <w:sz w:val="28"/>
          <w:szCs w:val="28"/>
        </w:rPr>
        <w:fldChar w:fldCharType="separate"/>
      </w:r>
      <w:r>
        <w:rPr>
          <w:rFonts w:ascii="宋体" w:hAnsi="宋体"/>
          <w:sz w:val="28"/>
          <w:szCs w:val="28"/>
        </w:rPr>
        <w:t>42</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"_Toc184137057"</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7 </w:t>
      </w:r>
      <w:r>
        <w:rPr>
          <w:rStyle w:val="23"/>
          <w:rFonts w:hint="eastAsia" w:ascii="宋体" w:hAnsi="宋体" w:cs="黑体"/>
          <w:b/>
          <w:bCs/>
          <w:sz w:val="28"/>
          <w:szCs w:val="28"/>
        </w:rPr>
        <w:t>保障措施</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_Toc184137057 \h </w:instrText>
      </w:r>
      <w:r>
        <w:rPr>
          <w:rFonts w:ascii="宋体" w:hAnsi="宋体"/>
          <w:b/>
          <w:bCs/>
          <w:sz w:val="28"/>
          <w:szCs w:val="28"/>
        </w:rPr>
        <w:fldChar w:fldCharType="separate"/>
      </w:r>
      <w:r>
        <w:rPr>
          <w:rFonts w:ascii="宋体" w:hAnsi="宋体"/>
          <w:b/>
          <w:bCs/>
          <w:sz w:val="28"/>
          <w:szCs w:val="28"/>
        </w:rPr>
        <w:t>42</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7.1 </w:t>
      </w:r>
      <w:r>
        <w:rPr>
          <w:rStyle w:val="23"/>
          <w:rFonts w:hint="eastAsia" w:ascii="宋体" w:hAnsi="宋体" w:cs="宋体"/>
          <w:sz w:val="28"/>
          <w:szCs w:val="28"/>
        </w:rPr>
        <w:t>通信与信息保障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_Toc184137058 \h </w:instrText>
      </w:r>
      <w:r>
        <w:rPr>
          <w:rFonts w:ascii="宋体" w:hAnsi="宋体"/>
          <w:sz w:val="28"/>
          <w:szCs w:val="28"/>
        </w:rPr>
        <w:fldChar w:fldCharType="separate"/>
      </w:r>
      <w:r>
        <w:rPr>
          <w:rFonts w:ascii="宋体" w:hAnsi="宋体"/>
          <w:sz w:val="28"/>
          <w:szCs w:val="28"/>
        </w:rPr>
        <w:t>42</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"_Toc184137059"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7.2 </w:t>
      </w:r>
      <w:r>
        <w:rPr>
          <w:rStyle w:val="23"/>
          <w:rFonts w:hint="eastAsia" w:ascii="宋体" w:hAnsi="宋体" w:cs="宋体"/>
          <w:sz w:val="28"/>
          <w:szCs w:val="28"/>
        </w:rPr>
        <w:t>队伍保障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_Toc184137059 \h </w:instrText>
      </w:r>
      <w:r>
        <w:rPr>
          <w:rFonts w:ascii="宋体" w:hAnsi="宋体"/>
          <w:sz w:val="28"/>
          <w:szCs w:val="28"/>
        </w:rPr>
        <w:fldChar w:fldCharType="separate"/>
      </w:r>
      <w:r>
        <w:rPr>
          <w:rFonts w:ascii="宋体" w:hAnsi="宋体"/>
          <w:sz w:val="28"/>
          <w:szCs w:val="28"/>
        </w:rPr>
        <w:t>43</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7.3 </w:t>
      </w:r>
      <w:r>
        <w:rPr>
          <w:rStyle w:val="23"/>
          <w:rFonts w:hint="eastAsia" w:ascii="宋体" w:hAnsi="宋体" w:cs="宋体"/>
          <w:sz w:val="28"/>
          <w:szCs w:val="28"/>
        </w:rPr>
        <w:t>物资装备保障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_Toc184137060 \h </w:instrText>
      </w:r>
      <w:r>
        <w:rPr>
          <w:rFonts w:ascii="宋体" w:hAnsi="宋体"/>
          <w:sz w:val="28"/>
          <w:szCs w:val="28"/>
        </w:rPr>
        <w:fldChar w:fldCharType="separate"/>
      </w:r>
      <w:r>
        <w:rPr>
          <w:rFonts w:ascii="宋体" w:hAnsi="宋体"/>
          <w:sz w:val="28"/>
          <w:szCs w:val="28"/>
        </w:rPr>
        <w:t>43</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7.4 </w:t>
      </w:r>
      <w:r>
        <w:rPr>
          <w:rStyle w:val="23"/>
          <w:rFonts w:hint="eastAsia" w:ascii="宋体" w:hAnsi="宋体" w:cs="宋体"/>
          <w:sz w:val="28"/>
          <w:szCs w:val="28"/>
        </w:rPr>
        <w:t>治安和交通运输保障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_Toc184137061 \h </w:instrText>
      </w:r>
      <w:r>
        <w:rPr>
          <w:rFonts w:ascii="宋体" w:hAnsi="宋体"/>
          <w:sz w:val="28"/>
          <w:szCs w:val="28"/>
        </w:rPr>
        <w:fldChar w:fldCharType="separate"/>
      </w:r>
      <w:r>
        <w:rPr>
          <w:rFonts w:ascii="宋体" w:hAnsi="宋体"/>
          <w:sz w:val="28"/>
          <w:szCs w:val="28"/>
        </w:rPr>
        <w:t>43</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"_Toc184137062"</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7.5 </w:t>
      </w:r>
      <w:r>
        <w:rPr>
          <w:rStyle w:val="23"/>
          <w:rFonts w:hint="eastAsia" w:ascii="宋体" w:hAnsi="宋体" w:cs="宋体"/>
          <w:sz w:val="28"/>
          <w:szCs w:val="28"/>
        </w:rPr>
        <w:t>医疗卫生保障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_Toc184137062 \h </w:instrText>
      </w:r>
      <w:r>
        <w:rPr>
          <w:rFonts w:ascii="宋体" w:hAnsi="宋体"/>
          <w:sz w:val="28"/>
          <w:szCs w:val="28"/>
        </w:rPr>
        <w:fldChar w:fldCharType="separate"/>
      </w:r>
      <w:r>
        <w:rPr>
          <w:rFonts w:ascii="宋体" w:hAnsi="宋体"/>
          <w:sz w:val="28"/>
          <w:szCs w:val="28"/>
        </w:rPr>
        <w:t>44</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"_Toc184137063"</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7.6 </w:t>
      </w:r>
      <w:r>
        <w:rPr>
          <w:rStyle w:val="23"/>
          <w:rFonts w:hint="eastAsia" w:ascii="宋体" w:hAnsi="宋体" w:cs="宋体"/>
          <w:sz w:val="28"/>
          <w:szCs w:val="28"/>
        </w:rPr>
        <w:t>生活与避难场所保障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_Toc184137063 \h </w:instrText>
      </w:r>
      <w:r>
        <w:rPr>
          <w:rFonts w:ascii="宋体" w:hAnsi="宋体"/>
          <w:sz w:val="28"/>
          <w:szCs w:val="28"/>
        </w:rPr>
        <w:fldChar w:fldCharType="separate"/>
      </w:r>
      <w:r>
        <w:rPr>
          <w:rFonts w:ascii="宋体" w:hAnsi="宋体"/>
          <w:sz w:val="28"/>
          <w:szCs w:val="28"/>
        </w:rPr>
        <w:t>44</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7.7 </w:t>
      </w:r>
      <w:r>
        <w:rPr>
          <w:rStyle w:val="23"/>
          <w:rFonts w:hint="eastAsia" w:ascii="宋体" w:hAnsi="宋体" w:cs="宋体"/>
          <w:sz w:val="28"/>
          <w:szCs w:val="28"/>
        </w:rPr>
        <w:t>技术保障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_Toc184137064 \h </w:instrText>
      </w:r>
      <w:r>
        <w:rPr>
          <w:rFonts w:ascii="宋体" w:hAnsi="宋体"/>
          <w:sz w:val="28"/>
          <w:szCs w:val="28"/>
        </w:rPr>
        <w:fldChar w:fldCharType="separate"/>
      </w:r>
      <w:r>
        <w:rPr>
          <w:rFonts w:ascii="宋体" w:hAnsi="宋体"/>
          <w:sz w:val="28"/>
          <w:szCs w:val="28"/>
        </w:rPr>
        <w:t>44</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7.8 </w:t>
      </w:r>
      <w:r>
        <w:rPr>
          <w:rStyle w:val="23"/>
          <w:rFonts w:hint="eastAsia" w:ascii="宋体" w:hAnsi="宋体" w:cs="宋体"/>
          <w:sz w:val="28"/>
          <w:szCs w:val="28"/>
        </w:rPr>
        <w:t>资金保障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_Toc184137065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"_Toc184137066"</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7.9 </w:t>
      </w:r>
      <w:r>
        <w:rPr>
          <w:rStyle w:val="23"/>
          <w:rFonts w:hint="eastAsia" w:ascii="宋体" w:hAnsi="宋体" w:cs="宋体"/>
          <w:sz w:val="28"/>
          <w:szCs w:val="28"/>
        </w:rPr>
        <w:t>保险保障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_Toc184137066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"_Toc184137067"</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7.10 </w:t>
      </w:r>
      <w:r>
        <w:rPr>
          <w:rStyle w:val="23"/>
          <w:rFonts w:hint="eastAsia" w:ascii="宋体" w:hAnsi="宋体" w:cs="宋体"/>
          <w:sz w:val="28"/>
          <w:szCs w:val="28"/>
        </w:rPr>
        <w:t>宣传、培训和演练</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_Toc184137067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7.10.1 </w:t>
      </w:r>
      <w:r>
        <w:rPr>
          <w:rStyle w:val="23"/>
          <w:rFonts w:hint="eastAsia" w:ascii="宋体" w:hAnsi="宋体" w:cs="宋体"/>
          <w:sz w:val="28"/>
          <w:szCs w:val="28"/>
        </w:rPr>
        <w:t>宣教培训</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_Toc184137068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Style w:val="23"/>
          <w:rFonts w:ascii="宋体" w:hAnsi="宋体"/>
          <w:sz w:val="28"/>
          <w:szCs w:val="28"/>
        </w:rPr>
        <w:fldChar w:fldCharType="end"/>
      </w:r>
    </w:p>
    <w:p>
      <w:pPr>
        <w:pStyle w:val="10"/>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"_Toc184137069"</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7.10.2 </w:t>
      </w:r>
      <w:r>
        <w:rPr>
          <w:rStyle w:val="23"/>
          <w:rFonts w:hint="eastAsia" w:ascii="宋体" w:hAnsi="宋体" w:cs="宋体"/>
          <w:sz w:val="28"/>
          <w:szCs w:val="28"/>
        </w:rPr>
        <w:t>演练</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_Toc184137069 \h </w:instrText>
      </w:r>
      <w:r>
        <w:rPr>
          <w:rFonts w:ascii="宋体" w:hAnsi="宋体"/>
          <w:sz w:val="28"/>
          <w:szCs w:val="28"/>
        </w:rPr>
        <w:fldChar w:fldCharType="separate"/>
      </w:r>
      <w:r>
        <w:rPr>
          <w:rFonts w:ascii="宋体" w:hAnsi="宋体"/>
          <w:sz w:val="28"/>
          <w:szCs w:val="28"/>
        </w:rPr>
        <w:t>46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"_Toc184137070"</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7.11 </w:t>
      </w:r>
      <w:r>
        <w:rPr>
          <w:rStyle w:val="23"/>
          <w:rFonts w:hint="eastAsia" w:ascii="宋体" w:hAnsi="宋体" w:cs="宋体"/>
          <w:sz w:val="28"/>
          <w:szCs w:val="28"/>
        </w:rPr>
        <w:t>监督检查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_Toc184137070 \h </w:instrText>
      </w:r>
      <w:r>
        <w:rPr>
          <w:rFonts w:ascii="宋体" w:hAnsi="宋体"/>
          <w:sz w:val="28"/>
          <w:szCs w:val="28"/>
        </w:rPr>
        <w:fldChar w:fldCharType="separate"/>
      </w:r>
      <w:r>
        <w:rPr>
          <w:rFonts w:ascii="宋体" w:hAnsi="宋体"/>
          <w:sz w:val="28"/>
          <w:szCs w:val="28"/>
        </w:rPr>
        <w:t>46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"_Toc184137071"</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7.12 </w:t>
      </w:r>
      <w:r>
        <w:rPr>
          <w:rStyle w:val="23"/>
          <w:rFonts w:hint="eastAsia" w:ascii="宋体" w:hAnsi="宋体" w:cs="宋体"/>
          <w:sz w:val="28"/>
          <w:szCs w:val="28"/>
        </w:rPr>
        <w:t>沟通与协作</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_Toc184137071 \h </w:instrText>
      </w:r>
      <w:r>
        <w:rPr>
          <w:rFonts w:ascii="宋体" w:hAnsi="宋体"/>
          <w:sz w:val="28"/>
          <w:szCs w:val="28"/>
        </w:rPr>
        <w:fldChar w:fldCharType="separate"/>
      </w:r>
      <w:r>
        <w:rPr>
          <w:rFonts w:ascii="宋体" w:hAnsi="宋体"/>
          <w:sz w:val="28"/>
          <w:szCs w:val="28"/>
        </w:rPr>
        <w:t>46</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b/>
          <w:bCs/>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"_Toc184137072"</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8 </w:t>
      </w:r>
      <w:r>
        <w:rPr>
          <w:rStyle w:val="23"/>
          <w:rFonts w:hint="eastAsia" w:ascii="宋体" w:hAnsi="宋体" w:cs="黑体"/>
          <w:b/>
          <w:bCs/>
          <w:sz w:val="28"/>
          <w:szCs w:val="28"/>
        </w:rPr>
        <w:t>预案管理</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_Toc184137072 \h </w:instrText>
      </w:r>
      <w:r>
        <w:rPr>
          <w:rFonts w:ascii="宋体" w:hAnsi="宋体"/>
          <w:b/>
          <w:bCs/>
          <w:sz w:val="28"/>
          <w:szCs w:val="28"/>
        </w:rPr>
        <w:fldChar w:fldCharType="separate"/>
      </w:r>
      <w:r>
        <w:rPr>
          <w:rFonts w:ascii="宋体" w:hAnsi="宋体"/>
          <w:b/>
          <w:bCs/>
          <w:sz w:val="28"/>
          <w:szCs w:val="28"/>
        </w:rPr>
        <w:t>46</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"_Toc184137073"</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8.1 </w:t>
      </w:r>
      <w:r>
        <w:rPr>
          <w:rStyle w:val="23"/>
          <w:rFonts w:hint="eastAsia" w:ascii="宋体" w:hAnsi="宋体" w:cs="宋体"/>
          <w:sz w:val="28"/>
          <w:szCs w:val="28"/>
        </w:rPr>
        <w:t>预案修订</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_Toc184137073 \h </w:instrText>
      </w:r>
      <w:r>
        <w:rPr>
          <w:rFonts w:ascii="宋体" w:hAnsi="宋体"/>
          <w:sz w:val="28"/>
          <w:szCs w:val="28"/>
        </w:rPr>
        <w:fldChar w:fldCharType="separate"/>
      </w:r>
      <w:r>
        <w:rPr>
          <w:rFonts w:ascii="宋体" w:hAnsi="宋体"/>
          <w:sz w:val="28"/>
          <w:szCs w:val="28"/>
        </w:rPr>
        <w:t>46</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"_Toc184137074"</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8.2 </w:t>
      </w:r>
      <w:r>
        <w:rPr>
          <w:rStyle w:val="23"/>
          <w:rFonts w:hint="eastAsia" w:ascii="宋体" w:hAnsi="宋体" w:cs="宋体"/>
          <w:sz w:val="28"/>
          <w:szCs w:val="28"/>
        </w:rPr>
        <w:t>预案审批、发布与备案</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_Toc184137074 \h </w:instrText>
      </w:r>
      <w:r>
        <w:rPr>
          <w:rFonts w:ascii="宋体" w:hAnsi="宋体"/>
          <w:sz w:val="28"/>
          <w:szCs w:val="28"/>
        </w:rPr>
        <w:fldChar w:fldCharType="separate"/>
      </w:r>
      <w:r>
        <w:rPr>
          <w:rFonts w:ascii="宋体" w:hAnsi="宋体"/>
          <w:sz w:val="28"/>
          <w:szCs w:val="28"/>
        </w:rPr>
        <w:t>47</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"_Toc184137075"</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ascii="宋体" w:hAnsi="宋体" w:cs="宋体"/>
          <w:sz w:val="28"/>
          <w:szCs w:val="28"/>
        </w:rPr>
        <w:t xml:space="preserve">8.3 </w:t>
      </w:r>
      <w:r>
        <w:rPr>
          <w:rStyle w:val="23"/>
          <w:rFonts w:hint="eastAsia" w:ascii="宋体" w:hAnsi="宋体" w:cs="宋体"/>
          <w:sz w:val="28"/>
          <w:szCs w:val="28"/>
        </w:rPr>
        <w:t>预案解释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_Toc184137075 \h </w:instrText>
      </w:r>
      <w:r>
        <w:rPr>
          <w:rFonts w:ascii="宋体" w:hAnsi="宋体"/>
          <w:sz w:val="28"/>
          <w:szCs w:val="28"/>
        </w:rPr>
        <w:fldChar w:fldCharType="separate"/>
      </w:r>
      <w:r>
        <w:rPr>
          <w:rFonts w:ascii="宋体" w:hAnsi="宋体"/>
          <w:sz w:val="28"/>
          <w:szCs w:val="28"/>
        </w:rPr>
        <w:t>48</w:t>
      </w:r>
      <w:r>
        <w:rPr>
          <w:rFonts w:ascii="宋体" w:hAnsi="宋体"/>
          <w:sz w:val="28"/>
          <w:szCs w:val="28"/>
        </w:rPr>
        <w:fldChar w:fldCharType="end"/>
      </w:r>
      <w:r>
        <w:rPr>
          <w:rStyle w:val="23"/>
          <w:rFonts w:ascii="宋体" w:hAnsi="宋体"/>
          <w:sz w:val="28"/>
          <w:szCs w:val="28"/>
        </w:rPr>
        <w:fldChar w:fldCharType="end"/>
      </w:r>
    </w:p>
    <w:p>
      <w:pPr>
        <w:pStyle w:val="15"/>
        <w:tabs>
          <w:tab w:val="right" w:leader="dot" w:pos="9016"/>
        </w:tabs>
        <w:rPr>
          <w:rFonts w:ascii="宋体" w:hAnsi="宋体"/>
          <w:b/>
          <w:bCs/>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"_Toc184137076"</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9 </w:t>
      </w:r>
      <w:r>
        <w:rPr>
          <w:rStyle w:val="23"/>
          <w:rFonts w:hint="eastAsia" w:ascii="宋体" w:hAnsi="宋体" w:cs="黑体"/>
          <w:b/>
          <w:bCs/>
          <w:sz w:val="28"/>
          <w:szCs w:val="28"/>
        </w:rPr>
        <w:t>附则</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_Toc184137076 \h </w:instrText>
      </w:r>
      <w:r>
        <w:rPr>
          <w:rFonts w:ascii="宋体" w:hAnsi="宋体"/>
          <w:b/>
          <w:bCs/>
          <w:sz w:val="28"/>
          <w:szCs w:val="28"/>
        </w:rPr>
        <w:fldChar w:fldCharType="separate"/>
      </w:r>
      <w:r>
        <w:rPr>
          <w:rFonts w:ascii="宋体" w:hAnsi="宋体"/>
          <w:b/>
          <w:bCs/>
          <w:sz w:val="28"/>
          <w:szCs w:val="28"/>
        </w:rPr>
        <w:t>48</w:t>
      </w:r>
      <w:r>
        <w:rPr>
          <w:rFonts w:ascii="宋体" w:hAnsi="宋体"/>
          <w:b/>
          <w:bCs/>
          <w:sz w:val="28"/>
          <w:szCs w:val="28"/>
        </w:rPr>
        <w:fldChar w:fldCharType="end"/>
      </w:r>
      <w:r>
        <w:rPr>
          <w:rStyle w:val="23"/>
          <w:rFonts w:ascii="宋体" w:hAnsi="宋体"/>
          <w:b/>
          <w:bCs/>
          <w:sz w:val="28"/>
          <w:szCs w:val="28"/>
        </w:rPr>
        <w:fldChar w:fldCharType="end"/>
      </w:r>
    </w:p>
    <w:p>
      <w:pPr>
        <w:pStyle w:val="15"/>
        <w:tabs>
          <w:tab w:val="right" w:leader="dot" w:pos="9016"/>
        </w:tabs>
        <w:rPr>
          <w:rFonts w:ascii="宋体" w:hAnsi="宋体"/>
          <w:sz w:val="28"/>
          <w:szCs w:val="28"/>
        </w:rPr>
      </w:pPr>
      <w:r>
        <w:rPr>
          <w:rStyle w:val="23"/>
          <w:rFonts w:ascii="宋体" w:hAnsi="宋体"/>
          <w:b/>
          <w:bCs/>
          <w:sz w:val="28"/>
          <w:szCs w:val="28"/>
        </w:rPr>
        <w:fldChar w:fldCharType="begin"/>
      </w:r>
      <w:r>
        <w:rPr>
          <w:rStyle w:val="23"/>
          <w:rFonts w:ascii="宋体" w:hAnsi="宋体"/>
          <w:b/>
          <w:bCs/>
          <w:sz w:val="28"/>
          <w:szCs w:val="28"/>
        </w:rPr>
        <w:instrText xml:space="preserve"> </w:instrText>
      </w:r>
      <w:r>
        <w:rPr>
          <w:rFonts w:ascii="宋体" w:hAnsi="宋体"/>
          <w:b/>
          <w:bCs/>
          <w:sz w:val="28"/>
          <w:szCs w:val="28"/>
        </w:rPr>
        <w:instrText xml:space="preserve">HYPERLINK \l "_Toc184137077"</w:instrText>
      </w:r>
      <w:r>
        <w:rPr>
          <w:rStyle w:val="23"/>
          <w:rFonts w:ascii="宋体" w:hAnsi="宋体"/>
          <w:b/>
          <w:bCs/>
          <w:sz w:val="28"/>
          <w:szCs w:val="28"/>
        </w:rPr>
        <w:instrText xml:space="preserve"> </w:instrText>
      </w:r>
      <w:r>
        <w:rPr>
          <w:rStyle w:val="23"/>
          <w:rFonts w:ascii="宋体" w:hAnsi="宋体"/>
          <w:b/>
          <w:bCs/>
          <w:sz w:val="28"/>
          <w:szCs w:val="28"/>
        </w:rPr>
        <w:fldChar w:fldCharType="separate"/>
      </w:r>
      <w:r>
        <w:rPr>
          <w:rStyle w:val="23"/>
          <w:rFonts w:ascii="宋体" w:hAnsi="宋体" w:cs="黑体"/>
          <w:b/>
          <w:bCs/>
          <w:sz w:val="28"/>
          <w:szCs w:val="28"/>
        </w:rPr>
        <w:t xml:space="preserve">10 </w:t>
      </w:r>
      <w:r>
        <w:rPr>
          <w:rStyle w:val="23"/>
          <w:rFonts w:hint="eastAsia" w:ascii="宋体" w:hAnsi="宋体" w:cs="黑体"/>
          <w:b/>
          <w:bCs/>
          <w:sz w:val="28"/>
          <w:szCs w:val="28"/>
        </w:rPr>
        <w:t>附件</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_Toc184137077 \h </w:instrText>
      </w:r>
      <w:r>
        <w:rPr>
          <w:rFonts w:ascii="宋体" w:hAnsi="宋体"/>
          <w:b/>
          <w:bCs/>
          <w:sz w:val="28"/>
          <w:szCs w:val="28"/>
        </w:rPr>
        <w:fldChar w:fldCharType="separate"/>
      </w:r>
      <w:r>
        <w:rPr>
          <w:rFonts w:ascii="宋体" w:hAnsi="宋体"/>
          <w:b/>
          <w:bCs/>
          <w:sz w:val="28"/>
          <w:szCs w:val="28"/>
        </w:rPr>
        <w:t>48</w:t>
      </w:r>
      <w:r>
        <w:rPr>
          <w:rFonts w:ascii="宋体" w:hAnsi="宋体"/>
          <w:b/>
          <w:bCs/>
          <w:sz w:val="28"/>
          <w:szCs w:val="28"/>
        </w:rPr>
        <w:fldChar w:fldCharType="end"/>
      </w:r>
      <w:r>
        <w:rPr>
          <w:rStyle w:val="23"/>
          <w:rFonts w:ascii="宋体" w:hAnsi="宋体"/>
          <w:b/>
          <w:bCs/>
          <w:sz w:val="28"/>
          <w:szCs w:val="28"/>
        </w:rPr>
        <w:fldChar w:fldCharType="end"/>
      </w:r>
    </w:p>
    <w:p>
      <w:pPr>
        <w:pStyle w:val="18"/>
        <w:tabs>
          <w:tab w:val="right" w:leader="dot" w:pos="9016"/>
        </w:tabs>
        <w:rPr>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"_Toc184137078"</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hint="eastAsia" w:ascii="宋体" w:hAnsi="宋体" w:cs="宋体"/>
          <w:sz w:val="28"/>
          <w:szCs w:val="28"/>
        </w:rPr>
        <w:t>附件</w:t>
      </w:r>
      <w:r>
        <w:rPr>
          <w:rStyle w:val="23"/>
          <w:rFonts w:ascii="宋体" w:hAnsi="宋体" w:cs="宋体"/>
          <w:sz w:val="28"/>
          <w:szCs w:val="28"/>
        </w:rPr>
        <w:t>1</w:t>
      </w:r>
      <w:r>
        <w:rPr>
          <w:rStyle w:val="23"/>
          <w:rFonts w:hint="eastAsia" w:ascii="宋体" w:hAnsi="宋体" w:cs="宋体"/>
          <w:sz w:val="28"/>
          <w:szCs w:val="28"/>
        </w:rPr>
        <w:t>区大型群众性活动突发事件应急响应流程图</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_Toc184137078 \h </w:instrText>
      </w:r>
      <w:r>
        <w:rPr>
          <w:rFonts w:ascii="宋体" w:hAnsi="宋体"/>
          <w:sz w:val="28"/>
          <w:szCs w:val="28"/>
        </w:rPr>
        <w:fldChar w:fldCharType="separate"/>
      </w:r>
      <w:r>
        <w:rPr>
          <w:rFonts w:ascii="宋体" w:hAnsi="宋体"/>
          <w:sz w:val="28"/>
          <w:szCs w:val="28"/>
        </w:rPr>
        <w:t>49</w:t>
      </w:r>
      <w:r>
        <w:rPr>
          <w:rFonts w:ascii="宋体" w:hAnsi="宋体"/>
          <w:sz w:val="28"/>
          <w:szCs w:val="28"/>
        </w:rPr>
        <w:fldChar w:fldCharType="end"/>
      </w:r>
      <w:r>
        <w:rPr>
          <w:rStyle w:val="23"/>
          <w:rFonts w:ascii="宋体" w:hAnsi="宋体"/>
          <w:sz w:val="28"/>
          <w:szCs w:val="28"/>
        </w:rPr>
        <w:fldChar w:fldCharType="end"/>
      </w:r>
    </w:p>
    <w:p>
      <w:pPr>
        <w:pStyle w:val="18"/>
        <w:tabs>
          <w:tab w:val="right" w:leader="dot" w:pos="9016"/>
        </w:tabs>
        <w:rPr>
          <w:rFonts w:ascii="Calibri" w:hAnsi="Calibri"/>
          <w:szCs w:val="22"/>
        </w:rPr>
      </w:pPr>
      <w:r>
        <w:rPr>
          <w:rStyle w:val="23"/>
          <w:rFonts w:ascii="宋体" w:hAnsi="宋体"/>
          <w:sz w:val="28"/>
          <w:szCs w:val="28"/>
        </w:rPr>
        <w:fldChar w:fldCharType="begin"/>
      </w:r>
      <w:r>
        <w:rPr>
          <w:rStyle w:val="23"/>
          <w:rFonts w:ascii="宋体" w:hAnsi="宋体"/>
          <w:sz w:val="28"/>
          <w:szCs w:val="28"/>
        </w:rPr>
        <w:instrText xml:space="preserve"> </w:instrText>
      </w:r>
      <w:r>
        <w:rPr>
          <w:rFonts w:ascii="宋体" w:hAnsi="宋体"/>
          <w:sz w:val="28"/>
          <w:szCs w:val="28"/>
        </w:rPr>
        <w:instrText xml:space="preserve">HYPERLINK \l "_Toc184137083"</w:instrText>
      </w:r>
      <w:r>
        <w:rPr>
          <w:rStyle w:val="23"/>
          <w:rFonts w:ascii="宋体" w:hAnsi="宋体"/>
          <w:sz w:val="28"/>
          <w:szCs w:val="28"/>
        </w:rPr>
        <w:instrText xml:space="preserve"> </w:instrText>
      </w:r>
      <w:r>
        <w:rPr>
          <w:rStyle w:val="23"/>
          <w:rFonts w:ascii="宋体" w:hAnsi="宋体"/>
          <w:sz w:val="28"/>
          <w:szCs w:val="28"/>
        </w:rPr>
        <w:fldChar w:fldCharType="separate"/>
      </w:r>
      <w:r>
        <w:rPr>
          <w:rStyle w:val="23"/>
          <w:rFonts w:hint="eastAsia" w:ascii="宋体" w:hAnsi="宋体" w:cs="宋体"/>
          <w:sz w:val="28"/>
          <w:szCs w:val="28"/>
        </w:rPr>
        <w:t>附件</w:t>
      </w:r>
      <w:r>
        <w:rPr>
          <w:rStyle w:val="23"/>
          <w:rFonts w:ascii="宋体" w:hAnsi="宋体" w:cs="宋体"/>
          <w:sz w:val="28"/>
          <w:szCs w:val="28"/>
        </w:rPr>
        <w:t>2</w:t>
      </w:r>
      <w:r>
        <w:rPr>
          <w:rStyle w:val="23"/>
          <w:rFonts w:hint="eastAsia" w:ascii="宋体" w:hAnsi="宋体" w:cs="宋体"/>
          <w:sz w:val="28"/>
          <w:szCs w:val="28"/>
        </w:rPr>
        <w:t>区大型群众性活动突发事件应急指挥机构成员通信录</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_Toc184137083 \h </w:instrText>
      </w:r>
      <w:r>
        <w:rPr>
          <w:rFonts w:ascii="宋体" w:hAnsi="宋体"/>
          <w:sz w:val="28"/>
          <w:szCs w:val="28"/>
        </w:rPr>
        <w:fldChar w:fldCharType="separate"/>
      </w:r>
      <w:r>
        <w:rPr>
          <w:rFonts w:ascii="宋体" w:hAnsi="宋体"/>
          <w:sz w:val="28"/>
          <w:szCs w:val="28"/>
        </w:rPr>
        <w:t>50</w:t>
      </w:r>
      <w:r>
        <w:rPr>
          <w:rFonts w:ascii="宋体" w:hAnsi="宋体"/>
          <w:sz w:val="28"/>
          <w:szCs w:val="28"/>
        </w:rPr>
        <w:fldChar w:fldCharType="end"/>
      </w:r>
      <w:r>
        <w:rPr>
          <w:rStyle w:val="23"/>
          <w:rFonts w:ascii="宋体" w:hAnsi="宋体"/>
          <w:sz w:val="28"/>
          <w:szCs w:val="28"/>
        </w:rPr>
        <w:fldChar w:fldCharType="end"/>
      </w:r>
    </w:p>
    <w:p>
      <w:pPr>
        <w:spacing w:line="360" w:lineRule="auto"/>
        <w:rPr>
          <w:rFonts w:ascii="宋体" w:hAnsi="宋体"/>
          <w:b/>
          <w:sz w:val="28"/>
          <w:szCs w:val="28"/>
        </w:rPr>
      </w:pPr>
      <w:r>
        <w:rPr>
          <w:rFonts w:hint="eastAsia" w:ascii="宋体" w:hAnsi="宋体" w:cs="宋体"/>
          <w:sz w:val="28"/>
          <w:szCs w:val="28"/>
        </w:rPr>
        <w:fldChar w:fldCharType="end"/>
      </w:r>
    </w:p>
    <w:p>
      <w:pPr>
        <w:rPr>
          <w:b/>
          <w:szCs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600" w:lineRule="exact"/>
        <w:ind w:firstLine="720" w:firstLineChars="200"/>
        <w:rPr>
          <w:rFonts w:hint="eastAsia" w:ascii="黑体" w:hAnsi="黑体" w:eastAsia="黑体" w:cs="黑体"/>
          <w:b w:val="0"/>
          <w:bCs w:val="0"/>
          <w:sz w:val="36"/>
          <w:szCs w:val="36"/>
        </w:rPr>
      </w:pPr>
      <w:bookmarkStart w:id="26" w:name="_Toc184136994"/>
      <w:bookmarkStart w:id="27" w:name="_Toc28148"/>
      <w:bookmarkStart w:id="28" w:name="_Toc20670"/>
      <w:bookmarkStart w:id="29" w:name="_Toc29298"/>
      <w:r>
        <w:rPr>
          <w:rFonts w:hint="eastAsia" w:ascii="黑体" w:hAnsi="黑体" w:eastAsia="黑体" w:cs="黑体"/>
          <w:b w:val="0"/>
          <w:bCs w:val="0"/>
          <w:sz w:val="36"/>
          <w:szCs w:val="36"/>
        </w:rPr>
        <w:t>1</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总则</w:t>
      </w:r>
      <w:bookmarkEnd w:id="18"/>
      <w:bookmarkEnd w:id="19"/>
      <w:bookmarkEnd w:id="20"/>
      <w:bookmarkEnd w:id="21"/>
      <w:bookmarkEnd w:id="22"/>
      <w:bookmarkEnd w:id="23"/>
      <w:bookmarkEnd w:id="24"/>
      <w:bookmarkEnd w:id="26"/>
      <w:bookmarkEnd w:id="27"/>
      <w:bookmarkEnd w:id="28"/>
      <w:bookmarkEnd w:id="29"/>
    </w:p>
    <w:p>
      <w:pPr>
        <w:pStyle w:val="3"/>
        <w:spacing w:before="0" w:after="0" w:line="600" w:lineRule="exact"/>
        <w:ind w:firstLine="643" w:firstLineChars="200"/>
        <w:rPr>
          <w:rFonts w:hint="eastAsia" w:ascii="宋体" w:hAnsi="宋体" w:cs="宋体"/>
        </w:rPr>
      </w:pPr>
      <w:bookmarkStart w:id="30" w:name="_Toc13094"/>
      <w:bookmarkStart w:id="31" w:name="_Toc17595"/>
      <w:bookmarkStart w:id="32" w:name="_Toc22635"/>
      <w:bookmarkStart w:id="33" w:name="_Toc5055"/>
      <w:bookmarkStart w:id="34" w:name="_Toc6186"/>
      <w:bookmarkStart w:id="35" w:name="_Toc25799"/>
      <w:bookmarkStart w:id="36" w:name="_Toc3609"/>
      <w:bookmarkStart w:id="37" w:name="_Toc16627"/>
      <w:bookmarkStart w:id="38" w:name="_Toc27973"/>
      <w:bookmarkStart w:id="39" w:name="_Toc184136995"/>
      <w:bookmarkStart w:id="40" w:name="_Toc485196769"/>
      <w:r>
        <w:rPr>
          <w:rFonts w:hint="eastAsia" w:ascii="宋体" w:hAnsi="宋体" w:cs="宋体"/>
        </w:rPr>
        <w:t>1.1</w:t>
      </w:r>
      <w:r>
        <w:rPr>
          <w:rFonts w:ascii="宋体" w:hAnsi="宋体" w:cs="宋体"/>
        </w:rPr>
        <w:t xml:space="preserve"> </w:t>
      </w:r>
      <w:r>
        <w:rPr>
          <w:rFonts w:hint="eastAsia" w:ascii="宋体" w:hAnsi="宋体" w:cs="宋体"/>
        </w:rPr>
        <w:t>编制目的</w:t>
      </w:r>
      <w:bookmarkEnd w:id="30"/>
      <w:bookmarkEnd w:id="31"/>
      <w:bookmarkEnd w:id="32"/>
      <w:bookmarkEnd w:id="33"/>
      <w:bookmarkEnd w:id="34"/>
      <w:bookmarkEnd w:id="35"/>
      <w:bookmarkEnd w:id="36"/>
      <w:bookmarkEnd w:id="37"/>
      <w:bookmarkEnd w:id="38"/>
      <w:bookmarkEnd w:id="39"/>
      <w:bookmarkEnd w:id="40"/>
    </w:p>
    <w:p>
      <w:pPr>
        <w:pStyle w:val="20"/>
        <w:spacing w:before="0" w:beforeAutospacing="0" w:after="0" w:afterAutospacing="0" w:line="360" w:lineRule="auto"/>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为有效处置大型群众性活动突发事件，最大程度地减少突发事件造成的损害和社会负面影响，保障公众生命财产安全，促进经济社会持续健康发展。</w:t>
      </w:r>
    </w:p>
    <w:p>
      <w:pPr>
        <w:pStyle w:val="3"/>
        <w:spacing w:before="0" w:after="0" w:line="600" w:lineRule="exact"/>
        <w:ind w:firstLine="643" w:firstLineChars="200"/>
        <w:rPr>
          <w:rFonts w:hint="eastAsia" w:ascii="宋体" w:hAnsi="宋体" w:cs="宋体"/>
        </w:rPr>
      </w:pPr>
      <w:bookmarkStart w:id="41" w:name="_Toc485196770"/>
      <w:bookmarkStart w:id="42" w:name="_Toc21212"/>
      <w:bookmarkStart w:id="43" w:name="_Toc31469"/>
      <w:bookmarkStart w:id="44" w:name="_Toc19278"/>
      <w:bookmarkStart w:id="45" w:name="_Toc18117"/>
      <w:bookmarkStart w:id="46" w:name="_Toc8481"/>
      <w:bookmarkStart w:id="47" w:name="_Toc184136996"/>
      <w:bookmarkStart w:id="48" w:name="_Toc18068"/>
      <w:bookmarkStart w:id="49" w:name="_Toc416"/>
      <w:bookmarkStart w:id="50" w:name="_Toc27908"/>
      <w:bookmarkStart w:id="51" w:name="_Toc32161"/>
      <w:r>
        <w:rPr>
          <w:rFonts w:hint="eastAsia" w:ascii="宋体" w:hAnsi="宋体" w:cs="宋体"/>
        </w:rPr>
        <w:t>1.2</w:t>
      </w:r>
      <w:r>
        <w:rPr>
          <w:rFonts w:ascii="宋体" w:hAnsi="宋体" w:cs="宋体"/>
        </w:rPr>
        <w:t xml:space="preserve"> </w:t>
      </w:r>
      <w:r>
        <w:rPr>
          <w:rFonts w:hint="eastAsia" w:ascii="宋体" w:hAnsi="宋体" w:cs="宋体"/>
        </w:rPr>
        <w:t>编制依据</w:t>
      </w:r>
      <w:bookmarkEnd w:id="41"/>
      <w:bookmarkEnd w:id="42"/>
      <w:bookmarkEnd w:id="43"/>
      <w:bookmarkEnd w:id="44"/>
      <w:bookmarkEnd w:id="45"/>
      <w:bookmarkEnd w:id="46"/>
      <w:bookmarkEnd w:id="47"/>
      <w:bookmarkEnd w:id="48"/>
      <w:bookmarkEnd w:id="49"/>
      <w:bookmarkEnd w:id="50"/>
      <w:bookmarkEnd w:id="51"/>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根据《中华人民共和国体育法》《中华人民共和国突发事件应对法》《中华人民共和国安全生产法》《大型群众性活动安全管理条例》《营业性演出管理条例》《突发事件应急预案管理办法》《旅游安全管理办法》《体育赛事活动管理办法》《三亚市海棠区人民政府突发公共事件总体应急预案》等有关法律法规及文件，结合我区实际，制定本预案。</w:t>
      </w:r>
    </w:p>
    <w:p>
      <w:pPr>
        <w:pStyle w:val="3"/>
        <w:spacing w:before="0" w:after="0" w:line="600" w:lineRule="exact"/>
        <w:ind w:firstLine="643" w:firstLineChars="200"/>
        <w:rPr>
          <w:rFonts w:hint="eastAsia" w:ascii="宋体" w:hAnsi="宋体" w:cs="宋体"/>
          <w:color w:val="auto"/>
        </w:rPr>
      </w:pPr>
      <w:bookmarkStart w:id="52" w:name="_Toc25480"/>
      <w:bookmarkStart w:id="53" w:name="_Toc32235"/>
      <w:bookmarkStart w:id="54" w:name="_Toc184136997"/>
      <w:bookmarkStart w:id="55" w:name="_Toc21126"/>
      <w:bookmarkStart w:id="56" w:name="_Toc30905"/>
      <w:bookmarkStart w:id="57" w:name="_Toc5478"/>
      <w:bookmarkStart w:id="58" w:name="_Toc4444"/>
      <w:bookmarkStart w:id="59" w:name="_Toc26835"/>
      <w:r>
        <w:rPr>
          <w:rFonts w:hint="eastAsia" w:ascii="宋体" w:hAnsi="宋体" w:cs="宋体"/>
        </w:rPr>
        <w:t>1.3</w:t>
      </w:r>
      <w:r>
        <w:rPr>
          <w:rFonts w:ascii="宋体" w:hAnsi="宋体" w:cs="宋体"/>
        </w:rPr>
        <w:t xml:space="preserve"> </w:t>
      </w:r>
      <w:r>
        <w:rPr>
          <w:rFonts w:hint="eastAsia" w:ascii="宋体" w:hAnsi="宋体" w:cs="宋体"/>
        </w:rPr>
        <w:t>响应分级</w:t>
      </w:r>
      <w:bookmarkEnd w:id="52"/>
      <w:bookmarkEnd w:id="53"/>
      <w:bookmarkEnd w:id="54"/>
      <w:bookmarkEnd w:id="55"/>
      <w:bookmarkEnd w:id="56"/>
      <w:bookmarkEnd w:id="57"/>
      <w:bookmarkEnd w:id="58"/>
      <w:bookmarkEnd w:id="59"/>
    </w:p>
    <w:p>
      <w:pPr>
        <w:pStyle w:val="4"/>
        <w:spacing w:before="0" w:after="0" w:line="600" w:lineRule="exact"/>
        <w:ind w:firstLine="643" w:firstLineChars="200"/>
        <w:rPr>
          <w:rFonts w:hint="eastAsia" w:ascii="宋体" w:hAnsi="宋体" w:cs="宋体"/>
        </w:rPr>
      </w:pPr>
      <w:bookmarkStart w:id="60" w:name="_Toc23177"/>
      <w:bookmarkStart w:id="61" w:name="_Toc11833"/>
      <w:bookmarkStart w:id="62" w:name="_Toc184136998"/>
      <w:bookmarkStart w:id="63" w:name="_Toc26777"/>
      <w:r>
        <w:rPr>
          <w:rFonts w:hint="eastAsia" w:ascii="宋体" w:hAnsi="宋体" w:cs="宋体"/>
        </w:rPr>
        <w:t>1.3.1</w:t>
      </w:r>
      <w:r>
        <w:rPr>
          <w:rFonts w:ascii="宋体" w:hAnsi="宋体" w:cs="宋体"/>
        </w:rPr>
        <w:t xml:space="preserve"> </w:t>
      </w:r>
      <w:r>
        <w:rPr>
          <w:rFonts w:hint="eastAsia" w:ascii="宋体" w:hAnsi="宋体" w:cs="宋体"/>
        </w:rPr>
        <w:t>突发事件分类分级</w:t>
      </w:r>
      <w:bookmarkEnd w:id="60"/>
      <w:bookmarkEnd w:id="61"/>
      <w:bookmarkEnd w:id="62"/>
      <w:bookmarkEnd w:id="63"/>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按照可控性、严重程度和影响范围，大型群体性活动突发事件可分为特别重大、重大、较大和一般四个级别。</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特别重大大型群体性活动突发事件包括：造成30人</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以上死亡，或者100人以上重伤，或者1亿元以上直接经济损失的突发事件。</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重大大型群体性活动突发事件包括造成10人以上30人以下死亡，或者50人以上100人以下重伤，或者5000万元以上1亿元以下直接经济损失的突发事件。</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较大大型群体性活动突发事件包括造成3人以上10人以下死亡，或者10人以上50人以下重伤，或者1000万元以上5000万元以下直接经济损失的突发事件。</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一般大型群体性活动突发事件包括造成3人以下死亡，或者10人以下重伤，或者1000万元以下直接经济损失的突发事件。</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本预案有关数量的表述中“以上”包括本数，“以下”不包括本数。</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分级标准作为信息报送和分级响应处置的基本依据。</w:t>
      </w:r>
    </w:p>
    <w:p>
      <w:pPr>
        <w:pStyle w:val="4"/>
        <w:spacing w:before="0" w:after="0" w:line="600" w:lineRule="exact"/>
        <w:ind w:firstLine="643" w:firstLineChars="200"/>
        <w:rPr>
          <w:rFonts w:hint="eastAsia" w:ascii="宋体" w:hAnsi="宋体" w:cs="宋体"/>
        </w:rPr>
      </w:pPr>
      <w:bookmarkStart w:id="64" w:name="_Toc863"/>
      <w:bookmarkStart w:id="65" w:name="_Toc15853"/>
      <w:bookmarkStart w:id="66" w:name="_Toc184136999"/>
      <w:bookmarkStart w:id="67" w:name="_Toc19785"/>
      <w:r>
        <w:rPr>
          <w:rFonts w:hint="eastAsia" w:ascii="宋体" w:hAnsi="宋体" w:cs="宋体"/>
        </w:rPr>
        <w:t>1.3.2</w:t>
      </w:r>
      <w:r>
        <w:rPr>
          <w:rFonts w:ascii="宋体" w:hAnsi="宋体" w:cs="宋体"/>
        </w:rPr>
        <w:t xml:space="preserve"> </w:t>
      </w:r>
      <w:r>
        <w:rPr>
          <w:rFonts w:hint="eastAsia" w:ascii="宋体" w:hAnsi="宋体" w:cs="宋体"/>
        </w:rPr>
        <w:t>响应分级</w:t>
      </w:r>
      <w:bookmarkEnd w:id="64"/>
      <w:bookmarkEnd w:id="65"/>
      <w:bookmarkEnd w:id="66"/>
      <w:bookmarkEnd w:id="67"/>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应急响应级别按发生的大型群体性活动突发事件等级进行分级，分为一级（特别重大）、二级（重大）、三级（较大）、四级（一般）四个响应级别。响应分级标准对应事件分级标准。</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三级、二级、一级应急响应：发生较大、重大、特别重大大型群体性活动突发事件，区应急指挥部迅速启动应急处置措施，实行先期处置，及时向区委、区政府报告，区委、区政府报请市政府直至省政府请求支援和指挥应对处置，听令启动相应应急响应。</w:t>
      </w:r>
    </w:p>
    <w:p>
      <w:pPr>
        <w:pStyle w:val="20"/>
        <w:spacing w:before="0" w:beforeAutospacing="0" w:after="0" w:afterAutospacing="0" w:line="360" w:lineRule="auto"/>
        <w:ind w:firstLine="640" w:firstLineChars="200"/>
        <w:jc w:val="both"/>
        <w:rPr>
          <w:rFonts w:hint="eastAsia" w:ascii="仿宋" w:hAnsi="仿宋" w:eastAsia="仿宋" w:cs="Times New Roman"/>
          <w:kern w:val="1"/>
          <w:sz w:val="32"/>
          <w:szCs w:val="32"/>
        </w:rPr>
      </w:pPr>
      <w:r>
        <w:rPr>
          <w:rFonts w:hint="eastAsia" w:ascii="仿宋" w:hAnsi="仿宋" w:eastAsia="仿宋" w:cs="Times New Roman"/>
          <w:kern w:val="1"/>
          <w:sz w:val="32"/>
          <w:szCs w:val="32"/>
        </w:rPr>
        <w:t>四级应急响应：发生一般大型群体性活动突发事件，区应急指挥部迅速启动应急处置措施，根据事件严重程度，由区应急指挥部组织指挥应对处置工作。</w:t>
      </w:r>
    </w:p>
    <w:p>
      <w:pPr>
        <w:pStyle w:val="3"/>
        <w:spacing w:before="0" w:after="0" w:line="600" w:lineRule="exact"/>
        <w:ind w:firstLine="643" w:firstLineChars="200"/>
        <w:rPr>
          <w:rFonts w:hint="eastAsia" w:ascii="宋体" w:hAnsi="宋体" w:cs="宋体"/>
        </w:rPr>
      </w:pPr>
      <w:bookmarkStart w:id="68" w:name="_Toc21337"/>
      <w:bookmarkStart w:id="69" w:name="_Toc485196771"/>
      <w:bookmarkStart w:id="70" w:name="_Toc22732"/>
      <w:bookmarkStart w:id="71" w:name="_Toc27769"/>
      <w:bookmarkStart w:id="72" w:name="_Toc29461"/>
      <w:bookmarkStart w:id="73" w:name="_Toc22385"/>
      <w:bookmarkStart w:id="74" w:name="_Toc17705"/>
      <w:bookmarkStart w:id="75" w:name="_Toc184137000"/>
      <w:bookmarkStart w:id="76" w:name="_Toc1756"/>
      <w:bookmarkStart w:id="77" w:name="_Toc1904"/>
      <w:bookmarkStart w:id="78" w:name="_Toc30024"/>
      <w:r>
        <w:rPr>
          <w:rFonts w:hint="eastAsia" w:ascii="宋体" w:hAnsi="宋体" w:cs="宋体"/>
        </w:rPr>
        <w:t>1.4</w:t>
      </w:r>
      <w:r>
        <w:rPr>
          <w:rFonts w:ascii="宋体" w:hAnsi="宋体" w:cs="宋体"/>
        </w:rPr>
        <w:t xml:space="preserve"> </w:t>
      </w:r>
      <w:r>
        <w:rPr>
          <w:rFonts w:hint="eastAsia" w:ascii="宋体" w:hAnsi="宋体" w:cs="宋体"/>
        </w:rPr>
        <w:t>适用范围</w:t>
      </w:r>
      <w:bookmarkEnd w:id="68"/>
      <w:bookmarkEnd w:id="69"/>
      <w:bookmarkEnd w:id="70"/>
      <w:bookmarkEnd w:id="71"/>
      <w:bookmarkEnd w:id="72"/>
      <w:bookmarkEnd w:id="73"/>
      <w:bookmarkEnd w:id="74"/>
      <w:bookmarkEnd w:id="75"/>
      <w:bookmarkEnd w:id="76"/>
      <w:bookmarkEnd w:id="77"/>
      <w:bookmarkEnd w:id="78"/>
    </w:p>
    <w:p>
      <w:pPr>
        <w:spacing w:line="360" w:lineRule="auto"/>
        <w:ind w:firstLine="634"/>
        <w:rPr>
          <w:rFonts w:hint="eastAsia" w:ascii="仿宋" w:hAnsi="仿宋" w:eastAsia="仿宋"/>
          <w:kern w:val="1"/>
          <w:sz w:val="32"/>
          <w:szCs w:val="24"/>
        </w:rPr>
      </w:pPr>
      <w:r>
        <w:rPr>
          <w:rFonts w:hint="eastAsia" w:ascii="仿宋" w:hAnsi="仿宋" w:eastAsia="仿宋"/>
          <w:kern w:val="1"/>
          <w:sz w:val="32"/>
          <w:szCs w:val="24"/>
        </w:rPr>
        <w:t>本预案适用三亚市海棠区行政区域内举行大型群众性活动过程中发生的场馆舞台、看台、桥梁、栏杆等建筑物、设施或临时搭建设施发生倒塌等事件灾难导致的活动参与者伤亡和造成重大社会影响的事件；因人群过分拥挤、通道严重堵塞等原因，发生人员挤压、踩踏、坠落、溺水等人员伤亡的事件；燃放烟花、礼炮或释放升空气球遇明火发生爆炸等造成人员伤亡的事件；其他非人为故意损害、破坏而引发的人员伤亡及财产损失等事件。</w:t>
      </w:r>
    </w:p>
    <w:p>
      <w:pPr>
        <w:spacing w:line="360" w:lineRule="auto"/>
        <w:ind w:firstLine="634"/>
        <w:rPr>
          <w:rFonts w:hint="eastAsia" w:ascii="仿宋" w:hAnsi="仿宋" w:eastAsia="仿宋"/>
          <w:kern w:val="1"/>
          <w:sz w:val="32"/>
          <w:szCs w:val="24"/>
        </w:rPr>
      </w:pPr>
      <w:r>
        <w:rPr>
          <w:rFonts w:hint="eastAsia" w:ascii="仿宋" w:hAnsi="仿宋" w:eastAsia="仿宋"/>
          <w:kern w:val="1"/>
          <w:sz w:val="32"/>
          <w:szCs w:val="24"/>
        </w:rPr>
        <w:t>影剧院、音乐厅、公园、大型商场、娱乐场所等在其日常业务范围内举办的活动，以及与大型群众性活动自身不相关联的因素而导致活动参与者伤亡的突发事件不适用本预案。</w:t>
      </w:r>
    </w:p>
    <w:p>
      <w:pPr>
        <w:pStyle w:val="3"/>
        <w:spacing w:before="0" w:after="0" w:line="600" w:lineRule="exact"/>
        <w:ind w:firstLine="643" w:firstLineChars="200"/>
        <w:rPr>
          <w:rFonts w:hint="eastAsia" w:ascii="宋体" w:hAnsi="宋体" w:cs="宋体"/>
        </w:rPr>
      </w:pPr>
      <w:bookmarkStart w:id="79" w:name="_Toc184137001"/>
      <w:bookmarkStart w:id="80" w:name="_Toc25038"/>
      <w:bookmarkStart w:id="81" w:name="_Toc4746"/>
      <w:bookmarkStart w:id="82" w:name="_Toc9309"/>
      <w:bookmarkStart w:id="83" w:name="_Toc485196772"/>
      <w:bookmarkStart w:id="84" w:name="_Toc21760"/>
      <w:bookmarkStart w:id="85" w:name="_Toc30377"/>
      <w:bookmarkStart w:id="86" w:name="_Toc31728"/>
      <w:bookmarkStart w:id="87" w:name="_Toc18087"/>
      <w:bookmarkStart w:id="88" w:name="_Toc14652"/>
      <w:bookmarkStart w:id="89" w:name="_Toc12679"/>
      <w:r>
        <w:rPr>
          <w:rFonts w:hint="eastAsia" w:ascii="宋体" w:hAnsi="宋体" w:cs="宋体"/>
        </w:rPr>
        <w:t>1.5</w:t>
      </w:r>
      <w:r>
        <w:rPr>
          <w:rFonts w:ascii="宋体" w:hAnsi="宋体" w:cs="宋体"/>
        </w:rPr>
        <w:t xml:space="preserve"> </w:t>
      </w:r>
      <w:r>
        <w:rPr>
          <w:rFonts w:hint="eastAsia" w:ascii="宋体" w:hAnsi="宋体" w:cs="宋体"/>
        </w:rPr>
        <w:t>工作原则</w:t>
      </w:r>
      <w:bookmarkEnd w:id="79"/>
      <w:bookmarkEnd w:id="80"/>
      <w:bookmarkEnd w:id="81"/>
      <w:bookmarkEnd w:id="82"/>
      <w:bookmarkEnd w:id="83"/>
      <w:bookmarkEnd w:id="84"/>
      <w:bookmarkEnd w:id="85"/>
      <w:bookmarkEnd w:id="86"/>
      <w:bookmarkEnd w:id="87"/>
      <w:bookmarkEnd w:id="88"/>
      <w:bookmarkEnd w:id="89"/>
    </w:p>
    <w:p>
      <w:pPr>
        <w:pStyle w:val="20"/>
        <w:spacing w:before="0" w:beforeAutospacing="0" w:after="0" w:afterAutospacing="0"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（1）以人为本，减少伤害。切实履行政府的社会管理和公共服务职能，保障大型群体性活动期间人民群众生命财产安全，最大限度地减少突发事件对公众造成的威胁和危害。</w:t>
      </w:r>
    </w:p>
    <w:p>
      <w:pPr>
        <w:pStyle w:val="20"/>
        <w:spacing w:before="0" w:beforeAutospacing="0" w:after="0" w:afterAutospacing="0"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2）预防为主，防治结合。高度重视公共安全工作，坚持预防与应急相结合，常态与非常态相结合，大型群体性活动主办方和各有关部门要做好预防、预测、预警和预报工作，做好常态下的风险评估、预案管理、应急演练和应急准备工作，提高整体救援能力。</w:t>
      </w:r>
    </w:p>
    <w:p>
      <w:pPr>
        <w:pStyle w:val="20"/>
        <w:spacing w:before="0" w:beforeAutospacing="0" w:after="0" w:afterAutospacing="0"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3）统一领导，分级负责。在区政府统一领导下，按照“谁主办（管）谁牵头”、“谁承办、谁负责”、属地管理的原则，各相关部门按照各自职责、分工协作，建立规范有序、资源统筹、信息共享、反应迅速的工作机制，共同做好大型群体性活动期间突发事件应急救援处置工作。</w:t>
      </w:r>
    </w:p>
    <w:p>
      <w:pPr>
        <w:pStyle w:val="20"/>
        <w:spacing w:before="0" w:beforeAutospacing="0" w:after="0" w:afterAutospacing="0"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（4）相互协调，协同应对。各相关部门应积极配合、密切协作、整合资源、信息共享、形成合力，保证大型群体性活动期间突发事件信息的及时准确传递、发布，高效有序地开展处置工作。</w:t>
      </w:r>
    </w:p>
    <w:p>
      <w:pPr>
        <w:pStyle w:val="3"/>
        <w:spacing w:before="0" w:after="0" w:line="600" w:lineRule="exact"/>
        <w:ind w:firstLine="643" w:firstLineChars="200"/>
        <w:rPr>
          <w:rFonts w:hint="eastAsia" w:ascii="宋体" w:hAnsi="宋体" w:cs="宋体"/>
        </w:rPr>
      </w:pPr>
      <w:bookmarkStart w:id="90" w:name="_Toc25412"/>
      <w:bookmarkStart w:id="91" w:name="_Toc184137002"/>
      <w:bookmarkStart w:id="92" w:name="_Toc5675"/>
      <w:bookmarkStart w:id="93" w:name="_Toc6062"/>
      <w:bookmarkStart w:id="94" w:name="_Toc18573"/>
      <w:bookmarkStart w:id="95" w:name="_Toc24551"/>
      <w:bookmarkStart w:id="96" w:name="_Toc21471"/>
      <w:bookmarkStart w:id="97" w:name="_Toc31847"/>
      <w:bookmarkStart w:id="98" w:name="_Toc485196773"/>
      <w:bookmarkStart w:id="99" w:name="_Toc26374"/>
      <w:bookmarkStart w:id="100" w:name="_Toc22288"/>
      <w:r>
        <w:rPr>
          <w:rFonts w:hint="eastAsia" w:ascii="宋体" w:hAnsi="宋体" w:cs="宋体"/>
        </w:rPr>
        <w:t>1.6</w:t>
      </w:r>
      <w:r>
        <w:rPr>
          <w:rFonts w:ascii="宋体" w:hAnsi="宋体" w:cs="宋体"/>
        </w:rPr>
        <w:t xml:space="preserve"> </w:t>
      </w:r>
      <w:r>
        <w:rPr>
          <w:rFonts w:hint="eastAsia" w:ascii="宋体" w:hAnsi="宋体" w:cs="宋体"/>
        </w:rPr>
        <w:t>预案体系</w:t>
      </w:r>
      <w:bookmarkEnd w:id="90"/>
      <w:bookmarkEnd w:id="91"/>
      <w:bookmarkEnd w:id="92"/>
      <w:bookmarkEnd w:id="93"/>
      <w:bookmarkEnd w:id="94"/>
      <w:bookmarkEnd w:id="95"/>
      <w:bookmarkEnd w:id="96"/>
      <w:bookmarkEnd w:id="97"/>
      <w:bookmarkEnd w:id="98"/>
      <w:bookmarkEnd w:id="99"/>
      <w:bookmarkEnd w:id="100"/>
    </w:p>
    <w:p>
      <w:pPr>
        <w:pStyle w:val="20"/>
        <w:spacing w:before="0" w:beforeAutospacing="0" w:after="0" w:afterAutospacing="0" w:line="360" w:lineRule="auto"/>
        <w:ind w:firstLine="640" w:firstLineChars="200"/>
        <w:jc w:val="both"/>
        <w:rPr>
          <w:rFonts w:hint="eastAsia" w:ascii="仿宋" w:hAnsi="仿宋" w:eastAsia="仿宋" w:cs="仿宋_GB2312"/>
          <w:sz w:val="32"/>
          <w:szCs w:val="32"/>
        </w:rPr>
      </w:pPr>
      <w:r>
        <w:rPr>
          <w:rFonts w:hint="eastAsia" w:ascii="仿宋" w:hAnsi="仿宋" w:eastAsia="仿宋" w:cs="仿宋_GB2312"/>
          <w:sz w:val="32"/>
          <w:szCs w:val="32"/>
        </w:rPr>
        <w:t>本预案是应对本区举办体育活动等大型群体性活动突发事件的专项应急预案，是结合大型群体性活动工作的相关要求，制定的大型群体性活动突发事件的预防和应急处置行动方案。在体系结构上纵向与《三亚市海棠区人民政府突发公共事件总体应急预案》相衔接，向下与区委、区政府有关部门及相关组委会、活动承（主）办单位、场馆（所）经营管理单位等运行管理机构组织制定的本部门应对大型群体性活动突发事件应急预案，以及企业突发事件应急预案相衔接，横向与区旅游突发事件应急预案等专项预案相衔接，形成完整的大型群众性活动突发事件应急预案体系。</w:t>
      </w:r>
    </w:p>
    <w:p>
      <w:pPr>
        <w:pStyle w:val="2"/>
        <w:spacing w:before="0" w:after="0" w:line="600" w:lineRule="exact"/>
        <w:ind w:firstLine="720" w:firstLineChars="200"/>
        <w:rPr>
          <w:rFonts w:hint="eastAsia" w:ascii="黑体" w:hAnsi="黑体" w:eastAsia="黑体" w:cs="黑体"/>
          <w:b w:val="0"/>
          <w:bCs w:val="0"/>
          <w:sz w:val="36"/>
          <w:szCs w:val="36"/>
        </w:rPr>
      </w:pPr>
      <w:bookmarkStart w:id="101" w:name="_Toc9596"/>
      <w:bookmarkStart w:id="102" w:name="_Toc15455"/>
      <w:bookmarkStart w:id="103" w:name="_Toc11246"/>
      <w:bookmarkStart w:id="104" w:name="_Toc17168"/>
      <w:bookmarkStart w:id="105" w:name="_Toc20768"/>
      <w:bookmarkStart w:id="106" w:name="_Toc184137003"/>
      <w:bookmarkStart w:id="107" w:name="_Toc11244"/>
      <w:bookmarkStart w:id="108" w:name="_Toc29225"/>
      <w:bookmarkStart w:id="109" w:name="_Toc30364"/>
      <w:bookmarkStart w:id="110" w:name="_Toc15841"/>
      <w:bookmarkStart w:id="111" w:name="_Toc29335"/>
      <w:bookmarkStart w:id="112" w:name="_Toc26991"/>
      <w:bookmarkStart w:id="113" w:name="_Toc18161"/>
      <w:bookmarkStart w:id="114" w:name="_Toc18912"/>
      <w:bookmarkStart w:id="115" w:name="_Toc485196774"/>
      <w:bookmarkStart w:id="116" w:name="_Toc14001"/>
      <w:r>
        <w:rPr>
          <w:rFonts w:hint="eastAsia" w:ascii="黑体" w:hAnsi="黑体" w:eastAsia="黑体" w:cs="黑体"/>
          <w:b w:val="0"/>
          <w:bCs w:val="0"/>
          <w:sz w:val="36"/>
          <w:szCs w:val="36"/>
        </w:rPr>
        <w:t>2</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风险分析与应急资源</w:t>
      </w:r>
      <w:bookmarkEnd w:id="101"/>
      <w:bookmarkEnd w:id="102"/>
      <w:bookmarkEnd w:id="103"/>
      <w:bookmarkEnd w:id="104"/>
      <w:bookmarkEnd w:id="105"/>
      <w:bookmarkEnd w:id="106"/>
    </w:p>
    <w:p>
      <w:pPr>
        <w:pStyle w:val="3"/>
        <w:spacing w:before="0" w:after="0" w:line="600" w:lineRule="exact"/>
        <w:ind w:firstLine="643" w:firstLineChars="200"/>
        <w:rPr>
          <w:rFonts w:hint="eastAsia" w:ascii="宋体" w:hAnsi="宋体" w:cs="宋体"/>
        </w:rPr>
      </w:pPr>
      <w:bookmarkStart w:id="117" w:name="_Toc12256"/>
      <w:bookmarkStart w:id="118" w:name="_Toc27367"/>
      <w:bookmarkStart w:id="119" w:name="_Toc21197"/>
      <w:bookmarkStart w:id="120" w:name="_Toc184137004"/>
      <w:bookmarkStart w:id="121" w:name="_Toc11186"/>
      <w:bookmarkStart w:id="122" w:name="_Toc6955"/>
      <w:r>
        <w:rPr>
          <w:rFonts w:hint="eastAsia" w:ascii="宋体" w:hAnsi="宋体" w:cs="宋体"/>
        </w:rPr>
        <w:t>2.1</w:t>
      </w:r>
      <w:r>
        <w:rPr>
          <w:rFonts w:ascii="宋体" w:hAnsi="宋体" w:cs="宋体"/>
        </w:rPr>
        <w:t xml:space="preserve"> </w:t>
      </w:r>
      <w:r>
        <w:rPr>
          <w:rFonts w:hint="eastAsia" w:ascii="宋体" w:hAnsi="宋体" w:cs="宋体"/>
        </w:rPr>
        <w:t>风险分析</w:t>
      </w:r>
      <w:bookmarkEnd w:id="117"/>
      <w:bookmarkEnd w:id="118"/>
      <w:bookmarkEnd w:id="119"/>
      <w:bookmarkEnd w:id="120"/>
      <w:bookmarkEnd w:id="121"/>
      <w:bookmarkEnd w:id="122"/>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大型群众性活动自身所具有的场所、场馆、场地情况复杂，临时搭建物众多，人员高度密集，项目繁多、时间空间变化较多，导致大型群众性活动风险源具有数量众多、情况复杂及不确定等特点。可能会发生火灾、爆炸、踩踏、交通事故和建筑垮塌事故等。</w:t>
      </w:r>
    </w:p>
    <w:p>
      <w:pPr>
        <w:spacing w:line="360" w:lineRule="auto"/>
        <w:ind w:firstLine="635"/>
        <w:rPr>
          <w:rFonts w:hint="eastAsia" w:ascii="仿宋" w:hAnsi="仿宋" w:eastAsia="仿宋"/>
          <w:kern w:val="1"/>
          <w:sz w:val="32"/>
          <w:szCs w:val="32"/>
        </w:rPr>
      </w:pPr>
      <w:r>
        <w:rPr>
          <w:rFonts w:hint="eastAsia" w:ascii="仿宋" w:hAnsi="仿宋" w:eastAsia="仿宋" w:cs="仿宋"/>
          <w:bCs/>
          <w:kern w:val="1"/>
          <w:sz w:val="32"/>
          <w:szCs w:val="32"/>
        </w:rPr>
        <w:t>（1）活动场所、场馆、场地环境复杂。</w:t>
      </w:r>
      <w:r>
        <w:rPr>
          <w:rFonts w:hint="eastAsia" w:ascii="仿宋" w:hAnsi="仿宋" w:eastAsia="仿宋"/>
          <w:kern w:val="1"/>
          <w:sz w:val="32"/>
          <w:szCs w:val="32"/>
        </w:rPr>
        <w:t>大型群众性活动举办的场所具有不确定性、多样性和内外环境复杂性。体育场、体育馆、展览馆、广场、公园等活动现场，出入口、通道设置不合理或因障碍物堵塞，应急疏散导向标识缺失或设施不健全，容易出现某一节点人员过度拥挤。一旦发生意外情况，具有发生拥挤踩踏等突发事件的潜在风险。</w:t>
      </w:r>
    </w:p>
    <w:p>
      <w:pPr>
        <w:spacing w:line="360" w:lineRule="auto"/>
        <w:ind w:firstLine="635"/>
        <w:rPr>
          <w:rFonts w:hint="eastAsia" w:ascii="仿宋" w:hAnsi="仿宋" w:eastAsia="仿宋"/>
          <w:kern w:val="1"/>
          <w:sz w:val="32"/>
          <w:szCs w:val="32"/>
        </w:rPr>
      </w:pPr>
      <w:r>
        <w:rPr>
          <w:rFonts w:hint="eastAsia" w:ascii="仿宋" w:hAnsi="仿宋" w:eastAsia="仿宋" w:cs="仿宋"/>
          <w:bCs/>
          <w:kern w:val="1"/>
          <w:sz w:val="32"/>
          <w:szCs w:val="32"/>
        </w:rPr>
        <w:t>（2）活动现场设施情况复杂。</w:t>
      </w:r>
      <w:r>
        <w:rPr>
          <w:rFonts w:hint="eastAsia" w:ascii="仿宋" w:hAnsi="仿宋" w:eastAsia="仿宋"/>
          <w:kern w:val="1"/>
          <w:sz w:val="32"/>
          <w:szCs w:val="32"/>
        </w:rPr>
        <w:t>大型演唱会、庆典仪式、体育赛事、民俗灯会、烟火表演以及大型嘉年华游乐等大型群众性活动，现场多需要搭建舞台、看台、通道护栏以及游乐设施等。活动期间人员大量聚集，如活动承（主）办单位或场所提供单位不按照安全要求对现场设施进行监管、检测、验收，未落实安全检查措施或维护维修工作不到位，存在倒塌、故障、损毁导致人员伤亡的潜在风险。</w:t>
      </w:r>
    </w:p>
    <w:p>
      <w:pPr>
        <w:spacing w:line="360" w:lineRule="auto"/>
        <w:ind w:firstLine="635"/>
        <w:rPr>
          <w:rFonts w:hint="eastAsia" w:ascii="仿宋" w:hAnsi="仿宋" w:eastAsia="仿宋"/>
          <w:kern w:val="1"/>
          <w:sz w:val="32"/>
          <w:szCs w:val="32"/>
        </w:rPr>
      </w:pPr>
      <w:r>
        <w:rPr>
          <w:rFonts w:hint="eastAsia" w:ascii="仿宋" w:hAnsi="仿宋" w:eastAsia="仿宋" w:cs="仿宋"/>
          <w:bCs/>
          <w:kern w:val="1"/>
          <w:sz w:val="32"/>
          <w:szCs w:val="32"/>
        </w:rPr>
        <w:t>（3）活动项目中的焰火、礼花表演，升空气球、飞艇等易发生意外。</w:t>
      </w:r>
      <w:r>
        <w:rPr>
          <w:rFonts w:hint="eastAsia" w:ascii="仿宋" w:hAnsi="仿宋" w:eastAsia="仿宋"/>
          <w:kern w:val="1"/>
          <w:sz w:val="32"/>
          <w:szCs w:val="32"/>
        </w:rPr>
        <w:t xml:space="preserve">重大节庆及大型展览展销等活动中多采用焰火、礼花表演或利用升空气球、飞艇、热气球及动力滑翔器等项目渲染节庆气氛，增加影响力，如果使用管理单位或承办方安全管理、维护或检测工作不到位，具有爆燃、失控、坠落造成人员伤亡的潜在风险。   </w:t>
      </w:r>
    </w:p>
    <w:p>
      <w:pPr>
        <w:pStyle w:val="3"/>
        <w:spacing w:before="0" w:after="0" w:line="600" w:lineRule="exact"/>
        <w:ind w:firstLine="643" w:firstLineChars="200"/>
        <w:rPr>
          <w:rFonts w:hint="eastAsia" w:ascii="宋体" w:hAnsi="宋体" w:cs="宋体"/>
        </w:rPr>
      </w:pPr>
      <w:bookmarkStart w:id="123" w:name="_Toc184137005"/>
      <w:bookmarkStart w:id="124" w:name="_Toc25690"/>
      <w:bookmarkStart w:id="125" w:name="_Toc31691"/>
      <w:bookmarkStart w:id="126" w:name="_Toc7071"/>
      <w:bookmarkStart w:id="127" w:name="_Toc4224"/>
      <w:bookmarkStart w:id="128" w:name="_Toc4302"/>
      <w:r>
        <w:rPr>
          <w:rFonts w:hint="eastAsia" w:ascii="宋体" w:hAnsi="宋体" w:cs="宋体"/>
        </w:rPr>
        <w:t>2.2</w:t>
      </w:r>
      <w:r>
        <w:rPr>
          <w:rFonts w:ascii="宋体" w:hAnsi="宋体" w:cs="宋体"/>
        </w:rPr>
        <w:t xml:space="preserve"> </w:t>
      </w:r>
      <w:r>
        <w:rPr>
          <w:rFonts w:hint="eastAsia" w:ascii="宋体" w:hAnsi="宋体" w:cs="宋体"/>
        </w:rPr>
        <w:t>应急资源</w:t>
      </w:r>
      <w:bookmarkEnd w:id="123"/>
      <w:bookmarkEnd w:id="124"/>
      <w:bookmarkEnd w:id="125"/>
      <w:bookmarkEnd w:id="126"/>
      <w:bookmarkEnd w:id="127"/>
      <w:bookmarkEnd w:id="128"/>
    </w:p>
    <w:p>
      <w:pPr>
        <w:widowControl/>
        <w:spacing w:line="360" w:lineRule="auto"/>
        <w:ind w:firstLine="640" w:firstLineChars="200"/>
        <w:rPr>
          <w:rFonts w:ascii="仿宋" w:hAnsi="仿宋" w:eastAsia="仿宋"/>
          <w:kern w:val="1"/>
          <w:sz w:val="32"/>
          <w:szCs w:val="32"/>
        </w:rPr>
      </w:pPr>
      <w:r>
        <w:rPr>
          <w:rFonts w:hint="eastAsia" w:ascii="仿宋" w:hAnsi="仿宋" w:eastAsia="仿宋"/>
          <w:kern w:val="1"/>
          <w:sz w:val="32"/>
          <w:szCs w:val="32"/>
        </w:rPr>
        <w:t>（1）应急队伍</w:t>
      </w:r>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主要应急力量为三亚市海棠区消防救援大队、区人民武装部、市公安局海棠分局、市交警支队海棠大队等有关单位专业应急队伍，依托三亚市消防救援支队、市住建局、交通运输部南海救助局应急队伍，根据需要协调驻地解放军（南部战区海军航空兵）、武警、预备役部队等应急队伍参加应急救援。全区专业力量以应急管理、公安、住建交通、市场监督、综合执法、卫健委、旅文、水务、农业农村、供水、供电、供气、通讯等部门和单位成立的专业应急队伍。基层力量为各乡镇、社区、村（居）委会建立以基层干部、企事业单位职工、退伍军人、青年党员、团员组成的民兵应急队伍。同时发动以三亚蓝天志愿者救援中心、凤凰机场消防护卫支队等为主的社会力量，必要时可以补充政府救援辅助力量。应急专家依托市应急管理局和省应急管理厅应急管理专家库专家。</w:t>
      </w:r>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（2）应急装备物资</w:t>
      </w:r>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全区应急管理、公安、消防、住建交通、资规、卫生健康、水务林业、农业农村、通讯、电力等部门和单位都配备相应的应急救援装备，基本满足应急所需。区政府每年投入资金对应急物资和装备进行购置补充，建立全区应急物资和装备台账。</w:t>
      </w:r>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（3）医疗资源</w:t>
      </w:r>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依托三亚市人民医院、三亚中心医院、三亚市中医院、南部战区海军第二医院、301海南分院、三亚市哈尔滨鸿森医院、海南圣巴厘医院、经纬航空转运中心等医疗机构救护车及相关医疗急救设施设备、医务人员。此外，辖区内医院、民营医疗机构等各类卫生机构（含村卫生室），可以提供紧急医疗服务。</w:t>
      </w:r>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（4）避难场所</w:t>
      </w:r>
    </w:p>
    <w:p>
      <w:pPr>
        <w:widowControl/>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依托公园规划建设区综合应急避难场所，全区各乡镇政府、村（居）委会大院、具备条件的中小学校作为临时避难场所。公共避难场所配齐应急发电机、应急供水井、应急厕所、应急照明灯等基础设施。</w:t>
      </w:r>
    </w:p>
    <w:p>
      <w:pPr>
        <w:pStyle w:val="2"/>
        <w:spacing w:before="0" w:after="0" w:line="600" w:lineRule="exact"/>
        <w:ind w:firstLine="720" w:firstLineChars="200"/>
        <w:rPr>
          <w:rFonts w:hint="eastAsia" w:ascii="黑体" w:hAnsi="黑体" w:eastAsia="黑体" w:cs="黑体"/>
          <w:b w:val="0"/>
          <w:bCs w:val="0"/>
          <w:sz w:val="36"/>
          <w:szCs w:val="36"/>
        </w:rPr>
      </w:pPr>
      <w:bookmarkStart w:id="129" w:name="_Toc184137006"/>
      <w:r>
        <w:rPr>
          <w:rFonts w:hint="eastAsia" w:ascii="黑体" w:hAnsi="黑体" w:eastAsia="黑体" w:cs="黑体"/>
          <w:b w:val="0"/>
          <w:bCs w:val="0"/>
          <w:sz w:val="36"/>
          <w:szCs w:val="36"/>
        </w:rPr>
        <w:t>3</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组织指挥体系与职责</w:t>
      </w:r>
      <w:bookmarkEnd w:id="107"/>
      <w:bookmarkEnd w:id="108"/>
      <w:bookmarkEnd w:id="109"/>
      <w:bookmarkEnd w:id="110"/>
      <w:bookmarkEnd w:id="111"/>
      <w:bookmarkEnd w:id="112"/>
      <w:bookmarkEnd w:id="113"/>
      <w:bookmarkEnd w:id="114"/>
      <w:bookmarkEnd w:id="115"/>
      <w:bookmarkEnd w:id="116"/>
      <w:bookmarkEnd w:id="129"/>
    </w:p>
    <w:p>
      <w:pPr>
        <w:pStyle w:val="3"/>
        <w:spacing w:before="0" w:after="0" w:line="600" w:lineRule="exact"/>
        <w:ind w:firstLine="643" w:firstLineChars="200"/>
        <w:rPr>
          <w:rFonts w:hint="eastAsia" w:ascii="宋体" w:hAnsi="宋体" w:cs="宋体"/>
        </w:rPr>
      </w:pPr>
      <w:bookmarkStart w:id="130" w:name="_Toc10014"/>
      <w:bookmarkStart w:id="131" w:name="_Toc1237"/>
      <w:bookmarkStart w:id="132" w:name="_Toc1535"/>
      <w:bookmarkStart w:id="133" w:name="_Toc23706"/>
      <w:bookmarkStart w:id="134" w:name="_Toc485196775"/>
      <w:bookmarkStart w:id="135" w:name="_Toc19082"/>
      <w:bookmarkStart w:id="136" w:name="_Toc184137007"/>
      <w:bookmarkStart w:id="137" w:name="_Toc12130"/>
      <w:bookmarkStart w:id="138" w:name="_Toc28639"/>
      <w:bookmarkStart w:id="139" w:name="_Toc7927"/>
      <w:bookmarkStart w:id="140" w:name="_Toc7052"/>
      <w:r>
        <w:rPr>
          <w:rFonts w:hint="eastAsia" w:ascii="宋体" w:hAnsi="宋体" w:cs="宋体"/>
        </w:rPr>
        <w:t>3.1</w:t>
      </w:r>
      <w:bookmarkEnd w:id="130"/>
      <w:bookmarkEnd w:id="131"/>
      <w:bookmarkEnd w:id="132"/>
      <w:bookmarkEnd w:id="133"/>
      <w:bookmarkEnd w:id="134"/>
      <w:bookmarkEnd w:id="135"/>
      <w:r>
        <w:rPr>
          <w:rFonts w:ascii="宋体" w:hAnsi="宋体" w:cs="宋体"/>
        </w:rPr>
        <w:t xml:space="preserve"> </w:t>
      </w:r>
      <w:r>
        <w:rPr>
          <w:rFonts w:hint="eastAsia" w:ascii="宋体" w:hAnsi="宋体" w:cs="宋体"/>
        </w:rPr>
        <w:t>组织指挥机构</w:t>
      </w:r>
      <w:bookmarkEnd w:id="136"/>
      <w:bookmarkEnd w:id="137"/>
      <w:bookmarkEnd w:id="138"/>
      <w:bookmarkEnd w:id="139"/>
      <w:bookmarkEnd w:id="140"/>
    </w:p>
    <w:p>
      <w:pPr>
        <w:spacing w:line="360" w:lineRule="auto"/>
        <w:ind w:firstLine="634"/>
        <w:rPr>
          <w:rFonts w:hint="eastAsia" w:ascii="仿宋" w:hAnsi="仿宋" w:eastAsia="仿宋"/>
          <w:kern w:val="1"/>
          <w:sz w:val="32"/>
          <w:szCs w:val="32"/>
        </w:rPr>
      </w:pPr>
      <w:r>
        <w:rPr>
          <w:rFonts w:hint="eastAsia" w:ascii="仿宋" w:hAnsi="仿宋" w:eastAsia="仿宋"/>
          <w:kern w:val="1"/>
          <w:sz w:val="32"/>
          <w:szCs w:val="32"/>
        </w:rPr>
        <w:t>对本区内发生的大型群体性活动突发事件，区委、区政府根据应急处置行动需要，成立区大型群体性事件应急指挥部（以下简称区应急指挥部），统一指挥、协调大型群体性活动突发事件的应急处置行动。区委、区政府有关部门在区应急指挥部的统一指挥下，认真履行各自的职责，快速、高效处置大型群体性活动突发事件。</w:t>
      </w:r>
    </w:p>
    <w:p>
      <w:pPr>
        <w:pStyle w:val="4"/>
        <w:spacing w:before="0" w:after="0" w:line="600" w:lineRule="exact"/>
        <w:ind w:firstLine="643" w:firstLineChars="200"/>
        <w:rPr>
          <w:rFonts w:hint="eastAsia" w:ascii="宋体" w:hAnsi="宋体" w:cs="宋体"/>
        </w:rPr>
      </w:pPr>
      <w:bookmarkStart w:id="141" w:name="_Toc184137008"/>
      <w:bookmarkStart w:id="142" w:name="_Toc14256"/>
      <w:bookmarkStart w:id="143" w:name="_Toc30023"/>
      <w:r>
        <w:rPr>
          <w:rFonts w:hint="eastAsia" w:ascii="宋体" w:hAnsi="宋体" w:cs="宋体"/>
        </w:rPr>
        <w:t>3.1.1</w:t>
      </w:r>
      <w:r>
        <w:rPr>
          <w:rFonts w:ascii="宋体" w:hAnsi="宋体" w:cs="宋体"/>
        </w:rPr>
        <w:t xml:space="preserve"> </w:t>
      </w:r>
      <w:r>
        <w:rPr>
          <w:rFonts w:hint="eastAsia" w:ascii="宋体" w:hAnsi="宋体" w:cs="宋体"/>
        </w:rPr>
        <w:t>区应急指挥部组成</w:t>
      </w:r>
      <w:bookmarkEnd w:id="141"/>
      <w:bookmarkEnd w:id="142"/>
      <w:bookmarkEnd w:id="143"/>
    </w:p>
    <w:p>
      <w:pPr>
        <w:spacing w:line="360" w:lineRule="auto"/>
        <w:ind w:firstLine="634"/>
        <w:rPr>
          <w:rFonts w:hint="eastAsia" w:ascii="仿宋" w:hAnsi="仿宋" w:eastAsia="仿宋"/>
          <w:kern w:val="1"/>
          <w:sz w:val="32"/>
          <w:szCs w:val="32"/>
        </w:rPr>
      </w:pPr>
      <w:r>
        <w:rPr>
          <w:rFonts w:hint="eastAsia" w:ascii="仿宋" w:hAnsi="仿宋" w:eastAsia="仿宋"/>
          <w:b/>
          <w:bCs/>
          <w:kern w:val="1"/>
          <w:sz w:val="32"/>
          <w:szCs w:val="32"/>
        </w:rPr>
        <w:t>指挥长：</w:t>
      </w:r>
      <w:r>
        <w:rPr>
          <w:rFonts w:hint="eastAsia" w:ascii="仿宋" w:hAnsi="仿宋" w:eastAsia="仿宋"/>
          <w:kern w:val="1"/>
          <w:sz w:val="32"/>
          <w:szCs w:val="32"/>
        </w:rPr>
        <w:t>由区委、区政府视情况确定，原则上由区人民政府分管大型群体性活动工作的副区长担任。</w:t>
      </w:r>
    </w:p>
    <w:p>
      <w:pPr>
        <w:spacing w:line="360" w:lineRule="auto"/>
        <w:ind w:firstLine="634"/>
        <w:rPr>
          <w:rFonts w:ascii="仿宋" w:hAnsi="仿宋" w:eastAsia="仿宋"/>
          <w:b/>
          <w:bCs/>
          <w:kern w:val="1"/>
          <w:sz w:val="32"/>
          <w:szCs w:val="32"/>
        </w:rPr>
      </w:pPr>
      <w:r>
        <w:rPr>
          <w:rFonts w:hint="eastAsia" w:ascii="仿宋" w:hAnsi="仿宋" w:eastAsia="仿宋"/>
          <w:b/>
          <w:bCs/>
          <w:kern w:val="1"/>
          <w:sz w:val="32"/>
          <w:szCs w:val="32"/>
        </w:rPr>
        <w:t>副指挥长：</w:t>
      </w:r>
      <w:r>
        <w:rPr>
          <w:rFonts w:hint="eastAsia" w:ascii="仿宋" w:hAnsi="仿宋" w:eastAsia="仿宋"/>
          <w:kern w:val="1"/>
          <w:sz w:val="32"/>
          <w:szCs w:val="32"/>
        </w:rPr>
        <w:t>区政法委主任</w:t>
      </w:r>
    </w:p>
    <w:p>
      <w:pPr>
        <w:spacing w:line="360" w:lineRule="auto"/>
        <w:ind w:firstLine="2243" w:firstLineChars="701"/>
        <w:rPr>
          <w:rFonts w:ascii="仿宋" w:hAnsi="仿宋" w:eastAsia="仿宋"/>
          <w:kern w:val="1"/>
          <w:sz w:val="32"/>
          <w:szCs w:val="32"/>
        </w:rPr>
      </w:pPr>
      <w:r>
        <w:rPr>
          <w:rFonts w:hint="eastAsia" w:ascii="仿宋" w:hAnsi="仿宋" w:eastAsia="仿宋"/>
          <w:kern w:val="1"/>
          <w:sz w:val="32"/>
          <w:szCs w:val="32"/>
        </w:rPr>
        <w:t>区人民武装部部长</w:t>
      </w:r>
    </w:p>
    <w:p>
      <w:pPr>
        <w:spacing w:line="360" w:lineRule="auto"/>
        <w:ind w:firstLine="2243" w:firstLineChars="701"/>
        <w:rPr>
          <w:rFonts w:ascii="仿宋" w:hAnsi="仿宋" w:eastAsia="仿宋"/>
          <w:kern w:val="1"/>
          <w:sz w:val="32"/>
          <w:szCs w:val="32"/>
        </w:rPr>
      </w:pPr>
      <w:r>
        <w:rPr>
          <w:rFonts w:hint="eastAsia" w:ascii="仿宋" w:hAnsi="仿宋" w:eastAsia="仿宋"/>
          <w:kern w:val="1"/>
          <w:sz w:val="32"/>
          <w:szCs w:val="32"/>
        </w:rPr>
        <w:t>市公安局海棠分局局长</w:t>
      </w:r>
    </w:p>
    <w:p>
      <w:pPr>
        <w:spacing w:line="360" w:lineRule="auto"/>
        <w:ind w:firstLine="2243" w:firstLineChars="701"/>
        <w:rPr>
          <w:rFonts w:hint="eastAsia"/>
        </w:rPr>
      </w:pPr>
      <w:r>
        <w:rPr>
          <w:rFonts w:hint="eastAsia" w:ascii="仿宋" w:hAnsi="仿宋" w:eastAsia="仿宋"/>
          <w:kern w:val="1"/>
          <w:sz w:val="32"/>
          <w:szCs w:val="32"/>
        </w:rPr>
        <w:t>区旅游和文化广电体育局局长</w:t>
      </w:r>
    </w:p>
    <w:p>
      <w:pPr>
        <w:spacing w:line="360" w:lineRule="auto"/>
        <w:ind w:firstLine="634"/>
        <w:rPr>
          <w:rFonts w:hint="eastAsia"/>
          <w:sz w:val="32"/>
          <w:szCs w:val="32"/>
        </w:rPr>
      </w:pPr>
      <w:r>
        <w:rPr>
          <w:rFonts w:hint="eastAsia" w:ascii="仿宋" w:hAnsi="仿宋" w:eastAsia="仿宋"/>
          <w:b/>
          <w:bCs/>
          <w:kern w:val="1"/>
          <w:sz w:val="32"/>
          <w:szCs w:val="32"/>
        </w:rPr>
        <w:t>成    员：</w:t>
      </w:r>
      <w:r>
        <w:rPr>
          <w:rFonts w:hint="eastAsia" w:ascii="仿宋" w:hAnsi="仿宋" w:eastAsia="仿宋"/>
          <w:kern w:val="1"/>
          <w:sz w:val="32"/>
          <w:szCs w:val="32"/>
        </w:rPr>
        <w:t>区政法委、区人民武装部、市公安局海棠分局、区旅游和文化广电体育局、区应急管理局、区人民政府办公室、区委宣传部、区教育局、区委统战部（</w:t>
      </w:r>
      <w:r>
        <w:rPr>
          <w:rFonts w:hint="eastAsia" w:ascii="仿宋" w:hAnsi="仿宋" w:eastAsia="仿宋" w:cs="仿宋_GB2312"/>
          <w:kern w:val="1"/>
          <w:sz w:val="32"/>
          <w:szCs w:val="32"/>
        </w:rPr>
        <w:t>区委外事办、区民族事务局</w:t>
      </w:r>
      <w:r>
        <w:rPr>
          <w:rFonts w:hint="eastAsia" w:ascii="仿宋" w:hAnsi="仿宋" w:eastAsia="仿宋"/>
          <w:kern w:val="1"/>
          <w:sz w:val="32"/>
          <w:szCs w:val="32"/>
        </w:rPr>
        <w:t>）、</w:t>
      </w:r>
      <w:r>
        <w:rPr>
          <w:rFonts w:hint="eastAsia" w:ascii="仿宋" w:hAnsi="仿宋" w:eastAsia="仿宋" w:cs="仿宋_GB2312"/>
          <w:kern w:val="1"/>
          <w:sz w:val="32"/>
          <w:szCs w:val="32"/>
        </w:rPr>
        <w:t>区民政局、区总工会、区司法局、区财政局、区商务局、区住房和城乡建设局、区</w:t>
      </w:r>
      <w:r>
        <w:rPr>
          <w:rFonts w:ascii="仿宋" w:hAnsi="仿宋" w:eastAsia="仿宋" w:cs="仿宋_GB2312"/>
          <w:kern w:val="1"/>
          <w:sz w:val="32"/>
          <w:szCs w:val="32"/>
        </w:rPr>
        <w:t>交通运输局、区发改委、</w:t>
      </w:r>
      <w:r>
        <w:rPr>
          <w:rFonts w:hint="eastAsia" w:ascii="仿宋" w:hAnsi="仿宋" w:eastAsia="仿宋" w:cs="仿宋_GB2312"/>
          <w:kern w:val="1"/>
          <w:sz w:val="32"/>
          <w:szCs w:val="32"/>
        </w:rPr>
        <w:t>区卫生健康委员会、市市场监督管理局海棠分局、三亚市海棠区消防救援大队、市交警支队海棠大队、市综合行政执法局海棠分局、海棠湾供电所、事发地社区、村（居）委会等有关单位分管领导或相关人员。</w:t>
      </w:r>
    </w:p>
    <w:p>
      <w:pPr>
        <w:pStyle w:val="4"/>
        <w:spacing w:before="0" w:after="0" w:line="600" w:lineRule="exact"/>
        <w:ind w:firstLine="643" w:firstLineChars="200"/>
        <w:rPr>
          <w:rFonts w:hint="eastAsia" w:ascii="宋体" w:hAnsi="宋体" w:cs="宋体"/>
        </w:rPr>
      </w:pPr>
      <w:bookmarkStart w:id="144" w:name="_Toc184137009"/>
      <w:bookmarkStart w:id="145" w:name="_Toc27287"/>
      <w:bookmarkStart w:id="146" w:name="_Toc30120"/>
      <w:r>
        <w:rPr>
          <w:rFonts w:hint="eastAsia" w:ascii="宋体" w:hAnsi="宋体" w:cs="宋体"/>
        </w:rPr>
        <w:t>3.1.2</w:t>
      </w:r>
      <w:r>
        <w:rPr>
          <w:rFonts w:ascii="宋体" w:hAnsi="宋体" w:cs="宋体"/>
        </w:rPr>
        <w:t xml:space="preserve"> </w:t>
      </w:r>
      <w:r>
        <w:rPr>
          <w:rFonts w:hint="eastAsia" w:ascii="宋体" w:hAnsi="宋体" w:cs="宋体"/>
        </w:rPr>
        <w:t>区应急指挥部职责</w:t>
      </w:r>
      <w:bookmarkEnd w:id="144"/>
      <w:bookmarkEnd w:id="145"/>
      <w:bookmarkEnd w:id="146"/>
    </w:p>
    <w:p>
      <w:pPr>
        <w:spacing w:line="360" w:lineRule="auto"/>
        <w:ind w:firstLine="640" w:firstLineChars="200"/>
        <w:rPr>
          <w:rFonts w:hint="eastAsia" w:ascii="仿宋" w:hAnsi="仿宋" w:eastAsia="仿宋"/>
          <w:kern w:val="1"/>
          <w:sz w:val="32"/>
          <w:szCs w:val="32"/>
        </w:rPr>
      </w:pPr>
      <w:r>
        <w:rPr>
          <w:rFonts w:hint="eastAsia" w:ascii="仿宋" w:hAnsi="仿宋" w:eastAsia="仿宋"/>
          <w:kern w:val="1"/>
          <w:sz w:val="32"/>
          <w:szCs w:val="32"/>
        </w:rPr>
        <w:t>贯彻落实区委、区政府的决策部署，领导和指挥本区区域内大型群体性活动突发事件应对工作。</w:t>
      </w:r>
    </w:p>
    <w:p>
      <w:pPr>
        <w:spacing w:line="360" w:lineRule="auto"/>
        <w:ind w:firstLine="643" w:firstLineChars="200"/>
        <w:rPr>
          <w:rFonts w:hint="eastAsia"/>
        </w:rPr>
      </w:pPr>
      <w:r>
        <w:rPr>
          <w:rFonts w:hint="eastAsia" w:ascii="仿宋" w:hAnsi="仿宋" w:eastAsia="仿宋"/>
          <w:b/>
          <w:bCs/>
          <w:kern w:val="1"/>
          <w:sz w:val="32"/>
          <w:szCs w:val="32"/>
        </w:rPr>
        <w:t>主要职责：</w:t>
      </w:r>
      <w:r>
        <w:rPr>
          <w:rFonts w:hint="eastAsia" w:ascii="仿宋" w:hAnsi="仿宋" w:eastAsia="仿宋"/>
          <w:kern w:val="1"/>
          <w:sz w:val="32"/>
          <w:szCs w:val="32"/>
        </w:rPr>
        <w:t>分析、研究大型群众性活动突发事件防范与处置工作重大问题、重要事项；组织指挥一般突发事件应急处置，负责较大、重大、特别重大突发事件的先期处置，必要时请示上级政府业务部门给予支持；对于可能有次生或衍生危害性的突发事件或预警信息，加强监测，组织专家会商研判，做好信息报告、预警和应急响应，必要时提升响应级别；负责区应急指挥部所属应急救援队伍建设、应急物资的储备管理及应急管理宣教培训等工作；根据突发事件的发生、发展趋势，决定启动、终止应急响应，组建现场应急指挥部；指导区委、区政府相关部门做好一般突发事件的应对处置工作。</w:t>
      </w:r>
    </w:p>
    <w:p>
      <w:pPr>
        <w:pStyle w:val="3"/>
        <w:spacing w:before="0" w:after="0" w:line="600" w:lineRule="exact"/>
        <w:ind w:firstLine="643" w:firstLineChars="200"/>
        <w:rPr>
          <w:rFonts w:ascii="宋体" w:hAnsi="宋体" w:cs="宋体"/>
        </w:rPr>
      </w:pPr>
      <w:bookmarkStart w:id="147" w:name="_Toc29757"/>
      <w:bookmarkStart w:id="148" w:name="_Toc4235"/>
      <w:bookmarkStart w:id="149" w:name="_Toc25844"/>
      <w:bookmarkStart w:id="150" w:name="_Toc21532"/>
      <w:bookmarkStart w:id="151" w:name="_Toc485196776"/>
      <w:bookmarkStart w:id="152" w:name="_Toc25490"/>
      <w:bookmarkStart w:id="153" w:name="_Toc14930"/>
      <w:bookmarkStart w:id="154" w:name="_Toc184137010"/>
      <w:bookmarkStart w:id="155" w:name="_Toc9926"/>
      <w:bookmarkStart w:id="156" w:name="_Toc6247"/>
      <w:bookmarkStart w:id="157" w:name="_Toc861"/>
      <w:r>
        <w:rPr>
          <w:rFonts w:hint="eastAsia" w:ascii="宋体" w:hAnsi="宋体" w:cs="宋体"/>
        </w:rPr>
        <w:t>3.2</w:t>
      </w:r>
      <w:bookmarkEnd w:id="147"/>
      <w:bookmarkEnd w:id="148"/>
      <w:bookmarkEnd w:id="149"/>
      <w:bookmarkEnd w:id="150"/>
      <w:bookmarkEnd w:id="151"/>
      <w:bookmarkEnd w:id="152"/>
      <w:r>
        <w:rPr>
          <w:rFonts w:ascii="宋体" w:hAnsi="宋体" w:cs="宋体"/>
        </w:rPr>
        <w:t xml:space="preserve"> </w:t>
      </w:r>
      <w:r>
        <w:rPr>
          <w:rFonts w:hint="eastAsia" w:ascii="宋体" w:hAnsi="宋体" w:cs="宋体"/>
        </w:rPr>
        <w:t>办事机构</w:t>
      </w:r>
      <w:bookmarkEnd w:id="153"/>
      <w:r>
        <w:rPr>
          <w:rFonts w:hint="eastAsia" w:ascii="宋体" w:hAnsi="宋体" w:cs="宋体"/>
        </w:rPr>
        <w:t>及职责</w:t>
      </w:r>
      <w:bookmarkEnd w:id="154"/>
      <w:bookmarkEnd w:id="155"/>
      <w:bookmarkEnd w:id="156"/>
      <w:bookmarkEnd w:id="157"/>
    </w:p>
    <w:p>
      <w:pPr>
        <w:pStyle w:val="20"/>
        <w:spacing w:before="0" w:beforeAutospacing="0" w:after="0" w:afterAutospacing="0" w:line="360" w:lineRule="auto"/>
        <w:ind w:firstLine="665"/>
        <w:jc w:val="both"/>
        <w:rPr>
          <w:rFonts w:hint="eastAsia" w:ascii="仿宋" w:hAnsi="仿宋" w:eastAsia="仿宋" w:cs="仿宋"/>
          <w:sz w:val="32"/>
          <w:szCs w:val="32"/>
        </w:rPr>
      </w:pPr>
      <w:r>
        <w:rPr>
          <w:rFonts w:hint="eastAsia" w:ascii="仿宋" w:hAnsi="仿宋" w:eastAsia="仿宋" w:cs="仿宋"/>
          <w:sz w:val="32"/>
          <w:szCs w:val="32"/>
        </w:rPr>
        <w:t>区应急指挥部下设大型群体性活动突发事件应急工作指挥部办公室（以下简称区应急办），办公室设在区政法委。区应急办主任由区政法委主任兼任，承担区应急指挥部日常工作。</w:t>
      </w:r>
    </w:p>
    <w:p>
      <w:pPr>
        <w:pStyle w:val="20"/>
        <w:spacing w:before="0" w:beforeAutospacing="0" w:after="0" w:afterAutospacing="0" w:line="360" w:lineRule="auto"/>
        <w:ind w:firstLine="665"/>
        <w:jc w:val="both"/>
        <w:rPr>
          <w:rFonts w:hint="eastAsia" w:ascii="仿宋" w:hAnsi="仿宋" w:eastAsia="仿宋" w:cs="仿宋"/>
          <w:sz w:val="32"/>
          <w:szCs w:val="32"/>
        </w:rPr>
      </w:pPr>
      <w:r>
        <w:rPr>
          <w:rFonts w:hint="eastAsia" w:ascii="仿宋" w:hAnsi="仿宋" w:eastAsia="仿宋" w:cs="仿宋"/>
          <w:b/>
          <w:bCs/>
          <w:sz w:val="32"/>
          <w:szCs w:val="32"/>
        </w:rPr>
        <w:t>主要职责：</w:t>
      </w:r>
      <w:r>
        <w:rPr>
          <w:rFonts w:hint="eastAsia" w:ascii="仿宋" w:hAnsi="仿宋" w:eastAsia="仿宋" w:cs="仿宋"/>
          <w:sz w:val="32"/>
          <w:szCs w:val="32"/>
        </w:rPr>
        <w:t>负责组织落实本区应急指挥部决定；组织、协调成员单位按照预案和职责开展大型群众性活动突发事件应急处置工作；负责组织应急预案的编制、修订、演练、评估与管理；建立突发事件监测预警、信息收集制度，统一接收、处理、核实与研判，做好信息报告工作；负责组织突发事件的信息发布和舆情引导工作；负责专家组的日常管理和联系工作；配合区委、区政府做好一般突发事件的应对处置工作；承办区应急指挥部交办的其他任务。</w:t>
      </w:r>
    </w:p>
    <w:p>
      <w:pPr>
        <w:pStyle w:val="3"/>
        <w:spacing w:before="0" w:after="0" w:line="600" w:lineRule="exact"/>
        <w:ind w:firstLine="643" w:firstLineChars="200"/>
        <w:rPr>
          <w:rFonts w:hint="eastAsia" w:ascii="宋体" w:hAnsi="宋体" w:cs="宋体"/>
        </w:rPr>
      </w:pPr>
      <w:bookmarkStart w:id="158" w:name="_Toc184137011"/>
      <w:bookmarkStart w:id="159" w:name="_Toc22703"/>
      <w:bookmarkStart w:id="160" w:name="_Toc17235"/>
      <w:bookmarkStart w:id="161" w:name="_Toc881"/>
      <w:bookmarkStart w:id="162" w:name="_Toc485196779"/>
      <w:bookmarkStart w:id="163" w:name="_Toc27280"/>
      <w:bookmarkStart w:id="164" w:name="_Toc32078"/>
      <w:bookmarkStart w:id="165" w:name="_Toc12903"/>
      <w:bookmarkStart w:id="166" w:name="_Toc26461"/>
      <w:bookmarkStart w:id="167" w:name="_Toc19581"/>
      <w:bookmarkStart w:id="168" w:name="_Toc1831"/>
      <w:r>
        <w:rPr>
          <w:rFonts w:hint="eastAsia" w:ascii="宋体" w:hAnsi="宋体" w:cs="宋体"/>
        </w:rPr>
        <w:t>3.3</w:t>
      </w:r>
      <w:r>
        <w:rPr>
          <w:rFonts w:ascii="宋体" w:hAnsi="宋体" w:cs="宋体"/>
        </w:rPr>
        <w:t xml:space="preserve"> </w:t>
      </w:r>
      <w:r>
        <w:rPr>
          <w:rFonts w:hint="eastAsia" w:ascii="宋体" w:hAnsi="宋体" w:cs="宋体"/>
        </w:rPr>
        <w:t>区应急指挥部成员单位及职责</w:t>
      </w:r>
      <w:bookmarkEnd w:id="158"/>
      <w:bookmarkEnd w:id="159"/>
      <w:bookmarkEnd w:id="160"/>
      <w:bookmarkEnd w:id="161"/>
      <w:bookmarkEnd w:id="162"/>
      <w:bookmarkEnd w:id="163"/>
      <w:bookmarkEnd w:id="164"/>
      <w:bookmarkEnd w:id="165"/>
      <w:bookmarkEnd w:id="166"/>
      <w:bookmarkEnd w:id="167"/>
      <w:bookmarkEnd w:id="168"/>
    </w:p>
    <w:p>
      <w:pPr>
        <w:pStyle w:val="20"/>
        <w:spacing w:before="0" w:beforeAutospacing="0" w:after="0" w:afterAutospacing="0" w:line="360" w:lineRule="auto"/>
        <w:ind w:firstLine="651"/>
        <w:jc w:val="both"/>
        <w:rPr>
          <w:rFonts w:hint="eastAsia" w:ascii="仿宋" w:hAnsi="仿宋" w:eastAsia="仿宋" w:cs="仿宋"/>
          <w:sz w:val="32"/>
          <w:szCs w:val="32"/>
        </w:rPr>
      </w:pPr>
      <w:r>
        <w:rPr>
          <w:rFonts w:hint="eastAsia" w:ascii="仿宋" w:hAnsi="仿宋" w:eastAsia="仿宋" w:cs="仿宋"/>
          <w:b/>
          <w:sz w:val="32"/>
          <w:szCs w:val="32"/>
        </w:rPr>
        <w:t>区政法委：</w:t>
      </w:r>
      <w:r>
        <w:rPr>
          <w:rFonts w:hint="eastAsia" w:ascii="仿宋" w:hAnsi="仿宋" w:eastAsia="仿宋" w:cs="仿宋"/>
          <w:sz w:val="32"/>
          <w:szCs w:val="32"/>
        </w:rPr>
        <w:t>负责大型群众性活动突发事件应急处理的日常管理工作，组织协调大型群众性活动突发事件相关应急处置和善后处理工作。</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区人民武装部：</w:t>
      </w:r>
      <w:r>
        <w:rPr>
          <w:rFonts w:hint="eastAsia" w:ascii="仿宋" w:hAnsi="仿宋" w:eastAsia="仿宋"/>
          <w:sz w:val="32"/>
          <w:szCs w:val="32"/>
        </w:rPr>
        <w:t>组织民兵或根据需要协调辖区驻军，协助区政府维持事发地秩序与维护社会稳定。</w:t>
      </w:r>
    </w:p>
    <w:p>
      <w:pPr>
        <w:spacing w:line="360" w:lineRule="auto"/>
        <w:ind w:firstLine="643" w:firstLineChars="200"/>
        <w:rPr>
          <w:rFonts w:hint="eastAsia"/>
        </w:rPr>
      </w:pPr>
      <w:r>
        <w:rPr>
          <w:rFonts w:hint="eastAsia" w:ascii="仿宋" w:hAnsi="仿宋" w:eastAsia="仿宋"/>
          <w:b/>
          <w:sz w:val="32"/>
          <w:szCs w:val="32"/>
        </w:rPr>
        <w:t>市公安局海棠分局：</w:t>
      </w:r>
      <w:r>
        <w:rPr>
          <w:rFonts w:hint="eastAsia" w:ascii="仿宋" w:hAnsi="仿宋" w:eastAsia="仿宋" w:cs="仿宋"/>
          <w:sz w:val="32"/>
          <w:szCs w:val="32"/>
        </w:rPr>
        <w:t>负责配合有关成员单位组建活动突发事件的应急救援队伍。</w:t>
      </w:r>
      <w:r>
        <w:rPr>
          <w:rFonts w:hint="eastAsia" w:ascii="仿宋" w:hAnsi="仿宋" w:eastAsia="仿宋"/>
          <w:sz w:val="32"/>
          <w:szCs w:val="32"/>
        </w:rPr>
        <w:t>负责大型群众性活动突发事件应急处置所需的治安秩序保障、</w:t>
      </w:r>
      <w:r>
        <w:rPr>
          <w:rFonts w:hint="eastAsia" w:ascii="仿宋" w:hAnsi="仿宋" w:eastAsia="仿宋" w:cs="仿宋"/>
          <w:sz w:val="32"/>
          <w:szCs w:val="32"/>
        </w:rPr>
        <w:t>警戒</w:t>
      </w:r>
      <w:r>
        <w:rPr>
          <w:rFonts w:hint="eastAsia" w:ascii="仿宋" w:hAnsi="仿宋" w:eastAsia="仿宋"/>
          <w:sz w:val="32"/>
          <w:szCs w:val="32"/>
        </w:rPr>
        <w:t>管制、交通疏导、</w:t>
      </w:r>
      <w:r>
        <w:rPr>
          <w:rFonts w:hint="eastAsia" w:ascii="仿宋" w:hAnsi="仿宋" w:eastAsia="仿宋" w:cs="仿宋"/>
          <w:sz w:val="32"/>
          <w:szCs w:val="32"/>
        </w:rPr>
        <w:t>保障救援道路畅通、</w:t>
      </w:r>
      <w:r>
        <w:rPr>
          <w:rFonts w:hint="eastAsia" w:ascii="仿宋" w:hAnsi="仿宋" w:eastAsia="仿宋"/>
          <w:sz w:val="32"/>
          <w:szCs w:val="32"/>
        </w:rPr>
        <w:t>群众</w:t>
      </w:r>
      <w:r>
        <w:rPr>
          <w:rFonts w:hint="eastAsia" w:ascii="仿宋" w:hAnsi="仿宋" w:eastAsia="仿宋" w:cs="仿宋"/>
          <w:sz w:val="32"/>
          <w:szCs w:val="32"/>
        </w:rPr>
        <w:t>转移、现场保护</w:t>
      </w:r>
      <w:r>
        <w:rPr>
          <w:rFonts w:hint="eastAsia" w:ascii="仿宋" w:hAnsi="仿宋" w:eastAsia="仿宋"/>
          <w:sz w:val="32"/>
          <w:szCs w:val="32"/>
        </w:rPr>
        <w:t>等工作。负责对突发事件涉嫌违法犯罪案件的侦查等工作。参与突发事件中的抢险救援和</w:t>
      </w:r>
      <w:r>
        <w:rPr>
          <w:rFonts w:hint="eastAsia" w:ascii="仿宋" w:hAnsi="仿宋" w:eastAsia="仿宋" w:cs="仿宋"/>
          <w:sz w:val="32"/>
          <w:szCs w:val="32"/>
        </w:rPr>
        <w:t>突发事件调查处理</w:t>
      </w:r>
      <w:r>
        <w:rPr>
          <w:rFonts w:hint="eastAsia" w:ascii="仿宋" w:hAnsi="仿宋" w:eastAsia="仿宋"/>
          <w:sz w:val="32"/>
          <w:szCs w:val="32"/>
        </w:rPr>
        <w:t>等工作。</w:t>
      </w:r>
    </w:p>
    <w:p>
      <w:pPr>
        <w:widowControl/>
        <w:spacing w:line="360" w:lineRule="auto"/>
        <w:ind w:firstLine="651"/>
        <w:rPr>
          <w:rFonts w:hint="eastAsia" w:ascii="仿宋" w:hAnsi="仿宋" w:eastAsia="仿宋" w:cs="仿宋"/>
          <w:sz w:val="32"/>
          <w:szCs w:val="32"/>
        </w:rPr>
      </w:pPr>
      <w:r>
        <w:rPr>
          <w:rFonts w:hint="eastAsia" w:ascii="仿宋" w:hAnsi="仿宋" w:eastAsia="仿宋" w:cs="仿宋"/>
          <w:b/>
          <w:sz w:val="32"/>
          <w:szCs w:val="32"/>
        </w:rPr>
        <w:t>区旅游和文化广电体育局：</w:t>
      </w:r>
      <w:r>
        <w:rPr>
          <w:rFonts w:hint="eastAsia" w:ascii="仿宋" w:hAnsi="仿宋" w:eastAsia="仿宋" w:cs="仿宋"/>
          <w:sz w:val="32"/>
          <w:szCs w:val="32"/>
        </w:rPr>
        <w:t>负责体育活动突发事件应急处理的日常管理工作，组织协助做好大型群体性活动突发事件的相关应急处置和善后处理工作。</w:t>
      </w:r>
    </w:p>
    <w:p>
      <w:pPr>
        <w:pStyle w:val="20"/>
        <w:spacing w:before="0" w:beforeAutospacing="0" w:after="0" w:afterAutospacing="0" w:line="360" w:lineRule="auto"/>
        <w:ind w:firstLine="643" w:firstLineChars="200"/>
        <w:jc w:val="both"/>
        <w:rPr>
          <w:rFonts w:hint="eastAsia" w:ascii="仿宋" w:hAnsi="仿宋" w:eastAsia="仿宋" w:cs="仿宋"/>
          <w:sz w:val="32"/>
          <w:szCs w:val="32"/>
        </w:rPr>
      </w:pPr>
      <w:r>
        <w:rPr>
          <w:rFonts w:hint="eastAsia" w:ascii="仿宋" w:hAnsi="仿宋" w:eastAsia="仿宋" w:cs="仿宋"/>
          <w:b/>
          <w:sz w:val="32"/>
          <w:szCs w:val="32"/>
        </w:rPr>
        <w:t>区应急管理局：</w:t>
      </w:r>
      <w:r>
        <w:rPr>
          <w:rFonts w:hint="eastAsia" w:ascii="仿宋" w:hAnsi="仿宋" w:eastAsia="仿宋" w:cs="仿宋"/>
          <w:sz w:val="32"/>
          <w:szCs w:val="32"/>
        </w:rPr>
        <w:t>负责做好大型群众性活动突发事件发生地的气象信息跟踪、收集，及时上报区应急指挥部及通报相关部门。负责配合提供有关专业技术支持，配合协调有关单位做好事故应对工作。接受区委、区政府委托，负责组织或参与大型群体性活动突发事件的事故调查处理。</w:t>
      </w:r>
    </w:p>
    <w:p>
      <w:pPr>
        <w:widowControl/>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区人民政府办公室：</w:t>
      </w:r>
      <w:r>
        <w:rPr>
          <w:rFonts w:hint="eastAsia" w:ascii="仿宋" w:hAnsi="仿宋" w:eastAsia="仿宋" w:cs="仿宋"/>
          <w:sz w:val="32"/>
          <w:szCs w:val="32"/>
        </w:rPr>
        <w:t>负责传达和督促落实区政府领导有关大型群体性活动突发事件后期处理的指示，协助处理各乡镇、社区、村（居）委会等各有关部门向区政府反映的重要问题。督促检查各乡镇（村）、各有关部门对区政府决定的事项，以及区领导批示指示的贯彻落实情况，及时向区政府领导报告。</w:t>
      </w:r>
    </w:p>
    <w:p>
      <w:pPr>
        <w:autoSpaceDE w:val="0"/>
        <w:autoSpaceDN w:val="0"/>
        <w:spacing w:line="360" w:lineRule="auto"/>
        <w:ind w:firstLine="643" w:firstLineChars="200"/>
        <w:rPr>
          <w:rFonts w:hint="eastAsia" w:ascii="仿宋" w:hAnsi="仿宋" w:eastAsia="仿宋"/>
          <w:sz w:val="32"/>
          <w:szCs w:val="32"/>
        </w:rPr>
      </w:pPr>
      <w:r>
        <w:rPr>
          <w:rFonts w:hint="eastAsia" w:ascii="仿宋" w:hAnsi="仿宋" w:eastAsia="仿宋"/>
          <w:b/>
          <w:sz w:val="32"/>
          <w:szCs w:val="32"/>
        </w:rPr>
        <w:t>区委宣传部：</w:t>
      </w:r>
      <w:r>
        <w:rPr>
          <w:rFonts w:hint="eastAsia" w:ascii="仿宋" w:hAnsi="仿宋" w:eastAsia="仿宋"/>
          <w:sz w:val="32"/>
          <w:szCs w:val="32"/>
        </w:rPr>
        <w:t>负责现场记者的采访管理、服务工作。负责搜集、汇总、报告舆情信息，组织协调媒体做好信息发布、新闻报道和舆情导控等工作。</w:t>
      </w:r>
    </w:p>
    <w:p>
      <w:pPr>
        <w:autoSpaceDE w:val="0"/>
        <w:autoSpaceDN w:val="0"/>
        <w:spacing w:line="360" w:lineRule="auto"/>
        <w:ind w:firstLine="643" w:firstLineChars="200"/>
        <w:rPr>
          <w:rFonts w:hint="eastAsia"/>
        </w:rPr>
      </w:pPr>
      <w:r>
        <w:rPr>
          <w:rFonts w:hint="eastAsia" w:ascii="仿宋" w:hAnsi="仿宋" w:eastAsia="仿宋"/>
          <w:b/>
          <w:bCs/>
          <w:sz w:val="32"/>
          <w:szCs w:val="32"/>
        </w:rPr>
        <w:t>区教育局：</w:t>
      </w:r>
      <w:r>
        <w:rPr>
          <w:rFonts w:hint="eastAsia" w:ascii="仿宋" w:hAnsi="仿宋" w:eastAsia="仿宋"/>
          <w:sz w:val="32"/>
          <w:szCs w:val="32"/>
        </w:rPr>
        <w:t>督促中、小学校、幼儿园制定和开展大型活动人员疏散预案；组织事故周围中、小学校、幼儿园人员的疏散撤离，做好劝说和宣传教育培训工作。</w:t>
      </w:r>
    </w:p>
    <w:p>
      <w:pPr>
        <w:autoSpaceDE w:val="0"/>
        <w:autoSpaceDN w:val="0"/>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区委统战部：</w:t>
      </w:r>
      <w:r>
        <w:rPr>
          <w:rFonts w:hint="eastAsia" w:ascii="仿宋" w:hAnsi="仿宋" w:eastAsia="仿宋"/>
          <w:sz w:val="32"/>
          <w:szCs w:val="32"/>
        </w:rPr>
        <w:t>负责处理大型群体性活动突发事件的涉外事务和涉港澳台事务等。（</w:t>
      </w:r>
      <w:r>
        <w:rPr>
          <w:rFonts w:hint="eastAsia" w:ascii="仿宋" w:hAnsi="仿宋" w:eastAsia="仿宋"/>
          <w:b/>
          <w:bCs/>
          <w:sz w:val="32"/>
          <w:szCs w:val="32"/>
        </w:rPr>
        <w:t>区委外事办：</w:t>
      </w:r>
      <w:r>
        <w:rPr>
          <w:rFonts w:hint="eastAsia" w:ascii="仿宋" w:hAnsi="仿宋" w:eastAsia="仿宋"/>
          <w:sz w:val="32"/>
          <w:szCs w:val="32"/>
        </w:rPr>
        <w:t>负责应急处置过程中的外事政策指导及涉外协调联络工作，协助大型群体性活动突发事件的境外旅游者善后处理工作。协助做好外国媒体相关沟通工作。</w:t>
      </w:r>
      <w:r>
        <w:rPr>
          <w:rFonts w:hint="eastAsia" w:ascii="仿宋" w:hAnsi="仿宋" w:eastAsia="仿宋"/>
          <w:b/>
          <w:bCs/>
          <w:sz w:val="32"/>
          <w:szCs w:val="32"/>
        </w:rPr>
        <w:t>区民族事务局：</w:t>
      </w:r>
      <w:r>
        <w:rPr>
          <w:rFonts w:hint="eastAsia" w:ascii="仿宋" w:hAnsi="仿宋" w:eastAsia="仿宋"/>
          <w:sz w:val="32"/>
          <w:szCs w:val="32"/>
        </w:rPr>
        <w:t>负责全区少数民族大型群体性活动等涉及民族方面的群体性事件的应急救援、协调处理工作。）</w:t>
      </w:r>
    </w:p>
    <w:p>
      <w:pPr>
        <w:autoSpaceDE w:val="0"/>
        <w:autoSpaceDN w:val="0"/>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区民政局：</w:t>
      </w:r>
      <w:r>
        <w:rPr>
          <w:rFonts w:hint="eastAsia" w:ascii="仿宋" w:hAnsi="仿宋" w:eastAsia="仿宋"/>
          <w:sz w:val="32"/>
          <w:szCs w:val="32"/>
        </w:rPr>
        <w:t>负责协助区委统战部，会同事发地各乡镇、社区、村（居）委会等转移安置受灾群众，维护受灾特困群众的基本生活保障。负责事故遇难人员善后处置工作。</w:t>
      </w:r>
    </w:p>
    <w:p>
      <w:pPr>
        <w:autoSpaceDE w:val="0"/>
        <w:autoSpaceDN w:val="0"/>
        <w:spacing w:line="360" w:lineRule="auto"/>
        <w:ind w:firstLine="643" w:firstLineChars="200"/>
        <w:rPr>
          <w:rFonts w:hint="eastAsia"/>
        </w:rPr>
      </w:pPr>
      <w:r>
        <w:rPr>
          <w:rFonts w:hint="eastAsia" w:ascii="仿宋" w:hAnsi="仿宋" w:eastAsia="仿宋"/>
          <w:b/>
          <w:bCs/>
          <w:sz w:val="32"/>
          <w:szCs w:val="32"/>
        </w:rPr>
        <w:t>区总工会：</w:t>
      </w:r>
      <w:r>
        <w:rPr>
          <w:rFonts w:hint="eastAsia" w:ascii="仿宋" w:hAnsi="仿宋" w:eastAsia="仿宋"/>
          <w:sz w:val="32"/>
          <w:szCs w:val="32"/>
        </w:rPr>
        <w:t>参与对突发事件中事故人员伤亡事故调查处理和事故善后处理等有关工作。</w:t>
      </w:r>
    </w:p>
    <w:p>
      <w:pPr>
        <w:autoSpaceDE w:val="0"/>
        <w:autoSpaceDN w:val="0"/>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区司法局：</w:t>
      </w:r>
      <w:r>
        <w:rPr>
          <w:rFonts w:hint="eastAsia" w:ascii="仿宋" w:hAnsi="仿宋" w:eastAsia="仿宋"/>
          <w:sz w:val="32"/>
          <w:szCs w:val="32"/>
        </w:rPr>
        <w:t>突发事件发生后为有关企事业单位及受伤害公民提供安全生产法律服务。</w:t>
      </w:r>
    </w:p>
    <w:p>
      <w:pPr>
        <w:pStyle w:val="20"/>
        <w:spacing w:before="0" w:beforeAutospacing="0" w:after="0" w:afterAutospacing="0" w:line="360" w:lineRule="auto"/>
        <w:ind w:firstLine="644"/>
        <w:jc w:val="both"/>
        <w:rPr>
          <w:rFonts w:hint="eastAsia" w:ascii="仿宋" w:hAnsi="仿宋" w:eastAsia="仿宋" w:cs="仿宋"/>
          <w:sz w:val="32"/>
          <w:szCs w:val="32"/>
        </w:rPr>
      </w:pPr>
      <w:r>
        <w:rPr>
          <w:rFonts w:hint="eastAsia" w:ascii="仿宋" w:hAnsi="仿宋" w:eastAsia="仿宋" w:cs="仿宋"/>
          <w:b/>
          <w:sz w:val="32"/>
          <w:szCs w:val="32"/>
        </w:rPr>
        <w:t>区财政局：</w:t>
      </w:r>
      <w:r>
        <w:rPr>
          <w:rFonts w:hint="eastAsia" w:ascii="仿宋" w:hAnsi="仿宋" w:eastAsia="仿宋" w:cs="仿宋"/>
          <w:sz w:val="32"/>
          <w:szCs w:val="32"/>
        </w:rPr>
        <w:t>负责大型群众性活动突发事件应急处置的资金保障及资金使用的监督管理等工作。</w:t>
      </w:r>
    </w:p>
    <w:p>
      <w:pPr>
        <w:pStyle w:val="20"/>
        <w:spacing w:before="0" w:beforeAutospacing="0" w:after="0" w:afterAutospacing="0" w:line="360" w:lineRule="auto"/>
        <w:ind w:firstLine="644"/>
        <w:jc w:val="both"/>
        <w:rPr>
          <w:rFonts w:hint="eastAsia" w:ascii="仿宋" w:hAnsi="仿宋" w:eastAsia="仿宋" w:cs="仿宋"/>
          <w:sz w:val="32"/>
          <w:szCs w:val="32"/>
        </w:rPr>
      </w:pPr>
      <w:r>
        <w:rPr>
          <w:rFonts w:hint="eastAsia" w:ascii="仿宋" w:hAnsi="仿宋" w:eastAsia="仿宋" w:cs="仿宋"/>
          <w:b/>
          <w:bCs/>
          <w:sz w:val="32"/>
          <w:szCs w:val="32"/>
        </w:rPr>
        <w:t>区商务局：</w:t>
      </w:r>
      <w:r>
        <w:rPr>
          <w:rFonts w:hint="eastAsia" w:ascii="仿宋" w:hAnsi="仿宋" w:eastAsia="仿宋" w:cs="仿宋"/>
          <w:sz w:val="32"/>
          <w:szCs w:val="32"/>
        </w:rPr>
        <w:t>配合区发展和改革委员会做好事故灾害群众生活必需品等物资的市场投放、调用等工作；负责协调事故灾害期间市场供应保障、关停和恢复经营等工作。</w:t>
      </w:r>
    </w:p>
    <w:p>
      <w:pPr>
        <w:pStyle w:val="20"/>
        <w:spacing w:before="0" w:beforeAutospacing="0" w:after="0" w:afterAutospacing="0" w:line="360" w:lineRule="auto"/>
        <w:ind w:firstLine="665"/>
        <w:jc w:val="both"/>
        <w:rPr>
          <w:rFonts w:ascii="仿宋" w:hAnsi="仿宋" w:eastAsia="仿宋"/>
          <w:sz w:val="32"/>
        </w:rPr>
      </w:pPr>
      <w:r>
        <w:rPr>
          <w:rFonts w:hint="eastAsia" w:ascii="仿宋" w:hAnsi="仿宋" w:eastAsia="仿宋"/>
          <w:b/>
          <w:bCs/>
          <w:sz w:val="32"/>
          <w:szCs w:val="32"/>
          <w:shd w:val="clear" w:color="auto" w:fill="FFFFFF"/>
        </w:rPr>
        <w:t>区住房和城乡建设局：</w:t>
      </w:r>
      <w:r>
        <w:rPr>
          <w:rFonts w:hint="eastAsia" w:ascii="仿宋" w:hAnsi="仿宋" w:eastAsia="仿宋"/>
          <w:sz w:val="32"/>
          <w:szCs w:val="32"/>
          <w:shd w:val="clear" w:color="auto" w:fill="FFFFFF"/>
        </w:rPr>
        <w:t>负责督促涉及大型群众性活动突发事件周边的供水、供气、供热等重点企业安排力量做好市政设施的保护，确保市政设施在应急处置和救援中能安全、正常使用。</w:t>
      </w:r>
    </w:p>
    <w:p>
      <w:pPr>
        <w:pStyle w:val="20"/>
        <w:spacing w:before="0" w:beforeAutospacing="0" w:after="0" w:afterAutospacing="0" w:line="360" w:lineRule="auto"/>
        <w:ind w:firstLine="665"/>
        <w:jc w:val="both"/>
        <w:rPr>
          <w:rFonts w:hint="eastAsia" w:ascii="仿宋" w:hAnsi="仿宋" w:eastAsia="仿宋"/>
          <w:sz w:val="32"/>
        </w:rPr>
      </w:pPr>
      <w:r>
        <w:rPr>
          <w:rFonts w:hint="eastAsia" w:ascii="仿宋" w:hAnsi="仿宋" w:eastAsia="仿宋"/>
          <w:b/>
          <w:sz w:val="32"/>
        </w:rPr>
        <w:t>区</w:t>
      </w:r>
      <w:r>
        <w:rPr>
          <w:rFonts w:ascii="仿宋" w:hAnsi="仿宋" w:eastAsia="仿宋"/>
          <w:b/>
          <w:sz w:val="32"/>
        </w:rPr>
        <w:t>交通运输局</w:t>
      </w:r>
      <w:r>
        <w:rPr>
          <w:rFonts w:hint="eastAsia" w:ascii="仿宋" w:hAnsi="仿宋" w:eastAsia="仿宋"/>
          <w:b/>
          <w:sz w:val="32"/>
        </w:rPr>
        <w:t>；</w:t>
      </w:r>
      <w:r>
        <w:rPr>
          <w:rFonts w:hint="eastAsia" w:ascii="仿宋" w:hAnsi="仿宋" w:eastAsia="仿宋" w:cs="仿宋"/>
          <w:sz w:val="32"/>
          <w:szCs w:val="32"/>
        </w:rPr>
        <w:t>负责</w:t>
      </w:r>
      <w:r>
        <w:rPr>
          <w:rFonts w:hint="eastAsia" w:ascii="仿宋" w:hAnsi="仿宋" w:eastAsia="仿宋"/>
          <w:sz w:val="32"/>
        </w:rPr>
        <w:t>协调应急救援所需的交通运输保障。</w:t>
      </w:r>
    </w:p>
    <w:p>
      <w:pPr>
        <w:pStyle w:val="20"/>
        <w:spacing w:before="0" w:beforeAutospacing="0" w:after="0" w:afterAutospacing="0" w:line="360" w:lineRule="auto"/>
        <w:ind w:firstLine="665"/>
        <w:jc w:val="both"/>
        <w:rPr>
          <w:rFonts w:ascii="仿宋" w:hAnsi="仿宋" w:eastAsia="仿宋"/>
          <w:sz w:val="32"/>
        </w:rPr>
      </w:pPr>
      <w:r>
        <w:rPr>
          <w:rFonts w:hint="eastAsia" w:ascii="仿宋" w:hAnsi="仿宋" w:eastAsia="仿宋"/>
          <w:b/>
          <w:sz w:val="32"/>
        </w:rPr>
        <w:t>区发改委</w:t>
      </w:r>
      <w:r>
        <w:rPr>
          <w:rFonts w:hint="eastAsia" w:ascii="仿宋" w:hAnsi="仿宋" w:eastAsia="仿宋"/>
          <w:b/>
          <w:bCs/>
          <w:sz w:val="32"/>
          <w:szCs w:val="32"/>
          <w:shd w:val="clear" w:color="auto" w:fill="FFFFFF"/>
        </w:rPr>
        <w:t>：</w:t>
      </w:r>
      <w:r>
        <w:rPr>
          <w:rFonts w:hint="eastAsia" w:ascii="仿宋" w:hAnsi="仿宋" w:eastAsia="仿宋"/>
          <w:sz w:val="32"/>
          <w:szCs w:val="32"/>
        </w:rPr>
        <w:t>协助舆情信息导控等工作;负责协调通信运营企业，做好应急通信保障工作。</w:t>
      </w:r>
    </w:p>
    <w:p>
      <w:pPr>
        <w:autoSpaceDE w:val="0"/>
        <w:autoSpaceDN w:val="0"/>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区卫生健康委员会：</w:t>
      </w:r>
      <w:r>
        <w:rPr>
          <w:rFonts w:hint="eastAsia" w:ascii="仿宋" w:hAnsi="仿宋" w:eastAsia="仿宋"/>
          <w:sz w:val="32"/>
          <w:szCs w:val="32"/>
        </w:rPr>
        <w:t>负责大型群众性活动突发事件的医学救护工作</w:t>
      </w:r>
      <w:r>
        <w:rPr>
          <w:rFonts w:hint="eastAsia" w:ascii="仿宋" w:hAnsi="仿宋" w:eastAsia="仿宋" w:cs="仿宋"/>
          <w:sz w:val="32"/>
          <w:szCs w:val="32"/>
        </w:rPr>
        <w:t>，协调120急救指挥中心和医疗机构实施紧急医疗救援，协调疾病预防控制中心等单位实施对重大传染性疾病、重大食物中毒公共卫生安全事件的应急处置。</w:t>
      </w:r>
    </w:p>
    <w:p>
      <w:pPr>
        <w:pStyle w:val="20"/>
        <w:spacing w:before="0" w:beforeAutospacing="0" w:after="0" w:afterAutospacing="0" w:line="360" w:lineRule="auto"/>
        <w:ind w:firstLine="640"/>
        <w:jc w:val="both"/>
        <w:rPr>
          <w:rFonts w:hint="eastAsia" w:ascii="仿宋" w:hAnsi="仿宋" w:eastAsia="仿宋" w:cs="仿宋"/>
          <w:sz w:val="32"/>
          <w:szCs w:val="32"/>
        </w:rPr>
      </w:pPr>
      <w:r>
        <w:rPr>
          <w:rFonts w:hint="eastAsia" w:ascii="仿宋" w:hAnsi="仿宋" w:eastAsia="仿宋" w:cs="仿宋"/>
          <w:b/>
          <w:bCs/>
          <w:sz w:val="32"/>
          <w:szCs w:val="32"/>
        </w:rPr>
        <w:t>市市场监督管理局海棠分局：</w:t>
      </w:r>
      <w:r>
        <w:rPr>
          <w:rFonts w:hint="eastAsia" w:ascii="仿宋" w:hAnsi="仿宋" w:eastAsia="仿宋" w:cs="仿宋"/>
          <w:sz w:val="32"/>
          <w:szCs w:val="32"/>
        </w:rPr>
        <w:t>负责为大型群众性活动餐饮安全提供保障；负责对大型群众性活动现场特种设备的安全监察工作；负责对因食品安全问题引发的突发事件原因进行调查处理。</w:t>
      </w:r>
    </w:p>
    <w:p>
      <w:pPr>
        <w:pStyle w:val="20"/>
        <w:spacing w:before="0" w:beforeAutospacing="0" w:after="0" w:afterAutospacing="0" w:line="360" w:lineRule="auto"/>
        <w:ind w:firstLine="643" w:firstLineChars="200"/>
        <w:jc w:val="both"/>
        <w:rPr>
          <w:rFonts w:hint="eastAsia" w:ascii="仿宋" w:hAnsi="仿宋" w:eastAsia="仿宋"/>
          <w:sz w:val="32"/>
          <w:szCs w:val="32"/>
        </w:rPr>
      </w:pPr>
      <w:r>
        <w:rPr>
          <w:rFonts w:hint="eastAsia" w:ascii="仿宋" w:hAnsi="仿宋" w:eastAsia="仿宋"/>
          <w:b/>
          <w:bCs/>
          <w:sz w:val="32"/>
          <w:szCs w:val="32"/>
        </w:rPr>
        <w:t>三亚市海棠区消防救援大队：</w:t>
      </w:r>
      <w:r>
        <w:rPr>
          <w:rFonts w:hint="eastAsia" w:ascii="仿宋" w:hAnsi="仿宋" w:eastAsia="仿宋"/>
          <w:sz w:val="32"/>
          <w:szCs w:val="32"/>
        </w:rPr>
        <w:t>负责对涉及消防的大型群众性活动突发事件的现场应急救援，协助火灾事故调查处理工作。</w:t>
      </w:r>
    </w:p>
    <w:p>
      <w:pPr>
        <w:pStyle w:val="20"/>
        <w:spacing w:before="0" w:beforeAutospacing="0" w:after="0" w:afterAutospacing="0" w:line="360" w:lineRule="auto"/>
        <w:ind w:firstLine="643" w:firstLineChars="200"/>
        <w:jc w:val="both"/>
        <w:rPr>
          <w:rFonts w:hint="eastAsia" w:ascii="仿宋" w:hAnsi="仿宋" w:eastAsia="仿宋"/>
          <w:sz w:val="32"/>
          <w:szCs w:val="32"/>
        </w:rPr>
      </w:pPr>
      <w:r>
        <w:rPr>
          <w:rFonts w:hint="eastAsia" w:ascii="仿宋" w:hAnsi="仿宋" w:eastAsia="仿宋"/>
          <w:b/>
          <w:bCs/>
          <w:sz w:val="32"/>
          <w:szCs w:val="32"/>
        </w:rPr>
        <w:t>市交警支队海棠大队：</w:t>
      </w:r>
      <w:r>
        <w:rPr>
          <w:rFonts w:hint="eastAsia" w:ascii="仿宋" w:hAnsi="仿宋" w:eastAsia="仿宋"/>
          <w:sz w:val="32"/>
          <w:szCs w:val="32"/>
        </w:rPr>
        <w:t>在市公安局海棠分局的领导下，组织大型群众性活动突发事件应急救援的道路交通管制；参与现场警戒、人员疏散工作。</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市综合行政执法局海棠分局：</w:t>
      </w:r>
      <w:r>
        <w:rPr>
          <w:rFonts w:hint="eastAsia" w:ascii="仿宋" w:hAnsi="仿宋" w:eastAsia="仿宋" w:cs="仿宋"/>
          <w:sz w:val="32"/>
          <w:szCs w:val="32"/>
        </w:rPr>
        <w:t>协助公安部门维护事故现场周边控制区域的交通和治安秩序；负责相关公共区域废弃物的清理。</w:t>
      </w:r>
    </w:p>
    <w:p>
      <w:pPr>
        <w:autoSpaceDE w:val="0"/>
        <w:autoSpaceDN w:val="0"/>
        <w:spacing w:line="360" w:lineRule="auto"/>
        <w:ind w:firstLine="643" w:firstLineChars="200"/>
        <w:rPr>
          <w:rFonts w:hint="eastAsia" w:ascii="仿宋" w:hAnsi="仿宋" w:eastAsia="仿宋" w:cs="仿宋"/>
          <w:sz w:val="32"/>
          <w:szCs w:val="32"/>
        </w:rPr>
      </w:pPr>
      <w:r>
        <w:rPr>
          <w:rFonts w:hint="eastAsia" w:ascii="仿宋" w:hAnsi="仿宋" w:eastAsia="仿宋" w:cs="仿宋"/>
          <w:b/>
          <w:sz w:val="32"/>
          <w:szCs w:val="32"/>
        </w:rPr>
        <w:t>海棠湾供电所：</w:t>
      </w:r>
      <w:r>
        <w:rPr>
          <w:rFonts w:hint="eastAsia" w:ascii="仿宋" w:hAnsi="仿宋" w:eastAsia="仿宋" w:cs="仿宋"/>
          <w:sz w:val="32"/>
          <w:szCs w:val="32"/>
        </w:rPr>
        <w:t>负责大型群众性活动电力线路故障的紧急抢修，确保设备的正常供电。负责</w:t>
      </w:r>
      <w:r>
        <w:rPr>
          <w:rFonts w:hint="eastAsia" w:ascii="仿宋" w:hAnsi="仿宋" w:eastAsia="仿宋"/>
          <w:sz w:val="32"/>
          <w:szCs w:val="32"/>
          <w:shd w:val="clear" w:color="auto" w:fill="FFFFFF"/>
        </w:rPr>
        <w:t>大型群众性活动突发事件的</w:t>
      </w:r>
      <w:r>
        <w:rPr>
          <w:rFonts w:hint="eastAsia" w:ascii="仿宋" w:hAnsi="仿宋" w:eastAsia="仿宋" w:cs="仿宋"/>
          <w:sz w:val="32"/>
          <w:szCs w:val="32"/>
        </w:rPr>
        <w:t>应急救援电力保障。</w:t>
      </w:r>
    </w:p>
    <w:p>
      <w:pPr>
        <w:autoSpaceDE w:val="0"/>
        <w:autoSpaceDN w:val="0"/>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社区、村（居）委会：</w:t>
      </w:r>
      <w:r>
        <w:rPr>
          <w:rFonts w:hint="eastAsia" w:ascii="仿宋" w:hAnsi="仿宋" w:eastAsia="仿宋" w:cs="仿宋"/>
          <w:sz w:val="32"/>
          <w:szCs w:val="32"/>
        </w:rPr>
        <w:t>大型群众性活动突发事件发生后，积极参与现场救援工作。参与善后处理、现场警戒、后勤保障工作，及时向区委、区政府报告事态发展及救援情况。</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其他有关部门和单位：</w:t>
      </w:r>
      <w:r>
        <w:rPr>
          <w:rFonts w:hint="eastAsia" w:ascii="仿宋" w:hAnsi="仿宋" w:eastAsia="仿宋" w:cs="仿宋"/>
          <w:sz w:val="32"/>
          <w:szCs w:val="32"/>
        </w:rPr>
        <w:t>在区委、区政府和区应急指挥部的统一领导下，配合做好大型群众性活动突发事件应对工作。需要其他部门支持和配合时，区应急办负责组织协调。</w:t>
      </w:r>
    </w:p>
    <w:p>
      <w:pPr>
        <w:pStyle w:val="3"/>
        <w:spacing w:before="0" w:after="0" w:line="600" w:lineRule="exact"/>
        <w:ind w:firstLine="643" w:firstLineChars="200"/>
        <w:rPr>
          <w:rFonts w:hint="eastAsia" w:ascii="宋体" w:hAnsi="宋体" w:cs="宋体"/>
        </w:rPr>
      </w:pPr>
      <w:bookmarkStart w:id="169" w:name="_Toc30099"/>
      <w:bookmarkStart w:id="170" w:name="_Toc19375"/>
      <w:bookmarkStart w:id="171" w:name="_Toc184137012"/>
      <w:bookmarkStart w:id="172" w:name="_Toc3733"/>
      <w:bookmarkStart w:id="173" w:name="_Toc29226"/>
      <w:r>
        <w:rPr>
          <w:rFonts w:hint="eastAsia" w:ascii="宋体" w:hAnsi="宋体" w:cs="宋体"/>
        </w:rPr>
        <w:t>3.4</w:t>
      </w:r>
      <w:r>
        <w:rPr>
          <w:rFonts w:ascii="宋体" w:hAnsi="宋体" w:cs="宋体"/>
        </w:rPr>
        <w:t xml:space="preserve"> </w:t>
      </w:r>
      <w:r>
        <w:rPr>
          <w:rFonts w:hint="eastAsia" w:ascii="宋体" w:hAnsi="宋体" w:cs="宋体"/>
        </w:rPr>
        <w:t>运行管理机构及职责</w:t>
      </w:r>
      <w:bookmarkEnd w:id="169"/>
      <w:bookmarkEnd w:id="170"/>
      <w:bookmarkEnd w:id="171"/>
      <w:bookmarkEnd w:id="172"/>
      <w:bookmarkEnd w:id="173"/>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大型群众性活动组织委员会：</w:t>
      </w:r>
      <w:r>
        <w:rPr>
          <w:rFonts w:hint="eastAsia" w:ascii="仿宋" w:hAnsi="仿宋" w:eastAsia="仿宋" w:cs="仿宋"/>
          <w:sz w:val="32"/>
          <w:szCs w:val="32"/>
        </w:rPr>
        <w:t>在区委、区政府的领导下，成立由活动主办者、承办者和政府相关部门组成的大型群众性活动组织委员会（以下简称组委会），作为大型群众性活动突发事件的运行管理机构。</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具体负责当次活动应急工作预案的制定；预防预警信息的收集整理、综合分析；信息的上传下达和发布，调查、分析突发事件原因，汇总应急工作情况；整合有利资源，协调工作进程；负责应急处置期间人员饮食及安置保障工作。</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大型群众性活动承（主）办单位：</w:t>
      </w:r>
      <w:r>
        <w:rPr>
          <w:rFonts w:hint="eastAsia" w:ascii="仿宋" w:hAnsi="仿宋" w:eastAsia="仿宋" w:cs="仿宋"/>
          <w:sz w:val="32"/>
          <w:szCs w:val="32"/>
        </w:rPr>
        <w:t>负责按照“承办者负责”的原则落实大型群众性活动安全工作方案和安全责任制度，明确安全措施、安全工作人员岗位职责，开展大型群众性活动安全宣传教育；保障临时搭建的设施、建筑物的安全，消除安全隐患；按照负责许可的公安机关的要求，配备必要的安全检查设备，对参加大型群众性活动的人员进行安全检查，对拒不接受安全检查的，承办者有权拒绝其进入；按照核准的活动场所容纳人员数量、划定的区域发放或者出售门票；落实医疗救护、灭火、应急疏散等应急救援措施并组织演练；对妨碍大型群众性活动安全的行为及时予以制止，发现违法犯罪行为及时向公安机关报告；配备与大型群众性活动安全工作需要相适应的专业保安人员以及其他安全工作人员；为大型群众性活动的安全工作提供必要的保障；组织现场工作人员对突发事件实施先期处置，并立即上报现场指挥部。</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场馆（所）经营管理单位：</w:t>
      </w:r>
      <w:r>
        <w:rPr>
          <w:rFonts w:hint="eastAsia" w:ascii="仿宋" w:hAnsi="仿宋" w:eastAsia="仿宋" w:cs="仿宋"/>
          <w:sz w:val="32"/>
          <w:szCs w:val="32"/>
        </w:rPr>
        <w:t>负责保障活动场所、设施符合国家安全标准和安全规定；保障疏散通道、安全出口、消防车通道、应急广播、应急照明、疏散指示标志符合法律、法规、技术标准的规定；保障监控设备和消防设施、器材配置齐全、完好有效；提供必要的停车场地，并维护安全秩序；组织场馆（所）安全工作人员协助活动承办单位开展突发事件应急处置和救援等工作。</w:t>
      </w:r>
    </w:p>
    <w:p>
      <w:pPr>
        <w:pStyle w:val="3"/>
        <w:spacing w:before="0" w:after="0" w:line="600" w:lineRule="exact"/>
        <w:ind w:firstLine="643" w:firstLineChars="200"/>
        <w:rPr>
          <w:rFonts w:hint="eastAsia" w:ascii="宋体" w:hAnsi="宋体" w:cs="宋体"/>
        </w:rPr>
      </w:pPr>
      <w:bookmarkStart w:id="174" w:name="_Toc29214"/>
      <w:bookmarkStart w:id="175" w:name="_Toc13981"/>
      <w:bookmarkStart w:id="176" w:name="_Toc2842"/>
      <w:bookmarkStart w:id="177" w:name="_Toc13303"/>
      <w:bookmarkStart w:id="178" w:name="_Toc2563"/>
      <w:bookmarkStart w:id="179" w:name="_Toc184137013"/>
      <w:bookmarkStart w:id="180" w:name="_Toc3412"/>
      <w:bookmarkStart w:id="181" w:name="_Toc22751"/>
      <w:r>
        <w:rPr>
          <w:rFonts w:hint="eastAsia" w:ascii="宋体" w:hAnsi="宋体" w:cs="宋体"/>
        </w:rPr>
        <w:t>3.5</w:t>
      </w:r>
      <w:r>
        <w:rPr>
          <w:rFonts w:ascii="宋体" w:hAnsi="宋体" w:cs="宋体"/>
        </w:rPr>
        <w:t xml:space="preserve"> </w:t>
      </w:r>
      <w:r>
        <w:rPr>
          <w:rFonts w:hint="eastAsia" w:ascii="宋体" w:hAnsi="宋体" w:cs="宋体"/>
        </w:rPr>
        <w:t>现场应急指挥机构及职责</w:t>
      </w:r>
      <w:bookmarkEnd w:id="174"/>
      <w:bookmarkEnd w:id="175"/>
      <w:bookmarkEnd w:id="176"/>
      <w:bookmarkEnd w:id="177"/>
      <w:bookmarkEnd w:id="178"/>
      <w:bookmarkEnd w:id="179"/>
      <w:bookmarkEnd w:id="180"/>
      <w:bookmarkEnd w:id="181"/>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根据应急处置需要，成立现场指挥部。</w:t>
      </w:r>
    </w:p>
    <w:p>
      <w:pPr>
        <w:autoSpaceDE w:val="0"/>
        <w:autoSpaceDN w:val="0"/>
        <w:spacing w:line="360" w:lineRule="auto"/>
        <w:ind w:firstLine="643" w:firstLineChars="200"/>
        <w:rPr>
          <w:rFonts w:hint="eastAsia" w:ascii="仿宋" w:hAnsi="仿宋" w:eastAsia="仿宋"/>
          <w:b/>
          <w:bCs/>
          <w:sz w:val="32"/>
          <w:szCs w:val="32"/>
        </w:rPr>
      </w:pPr>
      <w:r>
        <w:rPr>
          <w:rFonts w:hint="eastAsia" w:ascii="仿宋" w:hAnsi="仿宋" w:eastAsia="仿宋"/>
          <w:b/>
          <w:bCs/>
          <w:sz w:val="32"/>
          <w:szCs w:val="32"/>
        </w:rPr>
        <w:t>主要职责：</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（1）部署事件处置工作，下达现场处置指令。</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（2）具体组织实施现场处置工作，依据现场情况，指挥有关部门进行应急处置、救援，协调和落实现场处置的具体事宜。</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（3）组织机动力量及装备物资，做好应急和增援的行动准备。</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（4）组织抢救、保护、转移、疏散、撤离人、财、物和机密档案。</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（5）全面掌握事态、发展过程及相关情况，及时向上一级指挥机构报告，提出具体处置意见。</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（6）根据上级应急指挥机构指示，组织现场善后处理，有序撤出处置力量，并组织现场清理和保护。</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（7）负责现场处置工作的总结、报告，报请区专项应急指挥部同意后组织开展信息发布和新闻宣传报道等工作。</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现场指挥部是辖区大型群众性活动突发事件的现场应急处置机构，由区应急指挥部及各有关部门和单位组成，下设若干应急工作小组，由区应急指挥部根据现场突发事件特点和实际设立相应的应急工作组，必要时邀请相关专家参与现场指挥工作。现场指挥部领导由区应急指挥部委派。各应急工作组组长由区有关部门和单位、事发地乡镇有关负责人担任。现场指挥部实行指挥长负责制，参加事件现场应急救援的单位和个人应当服从现场指挥部的统一指挥。</w:t>
      </w:r>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根据现场情况，指挥长可调整各组的设立、组成单位及职责。</w:t>
      </w:r>
    </w:p>
    <w:p>
      <w:pPr>
        <w:pStyle w:val="4"/>
        <w:spacing w:before="0" w:after="0" w:line="600" w:lineRule="exact"/>
        <w:ind w:firstLine="643" w:firstLineChars="200"/>
        <w:rPr>
          <w:rFonts w:hint="eastAsia" w:ascii="宋体" w:hAnsi="宋体" w:cs="宋体"/>
        </w:rPr>
      </w:pPr>
      <w:bookmarkStart w:id="182" w:name="_Toc184137014"/>
      <w:bookmarkStart w:id="183" w:name="_Toc15229"/>
      <w:bookmarkStart w:id="184" w:name="_Toc7700"/>
      <w:bookmarkStart w:id="185" w:name="_Toc5624"/>
      <w:r>
        <w:rPr>
          <w:rFonts w:hint="eastAsia" w:ascii="宋体" w:hAnsi="宋体" w:cs="宋体"/>
        </w:rPr>
        <w:t>3.5.1</w:t>
      </w:r>
      <w:r>
        <w:rPr>
          <w:rFonts w:ascii="宋体" w:hAnsi="宋体" w:cs="宋体"/>
        </w:rPr>
        <w:t xml:space="preserve"> </w:t>
      </w:r>
      <w:r>
        <w:rPr>
          <w:rFonts w:hint="eastAsia" w:ascii="宋体" w:hAnsi="宋体" w:cs="宋体"/>
        </w:rPr>
        <w:t>综合协调组</w:t>
      </w:r>
      <w:bookmarkEnd w:id="182"/>
      <w:bookmarkEnd w:id="183"/>
      <w:bookmarkEnd w:id="184"/>
      <w:bookmarkEnd w:id="185"/>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牵头单位：</w:t>
      </w:r>
      <w:r>
        <w:rPr>
          <w:rFonts w:hint="eastAsia" w:ascii="仿宋" w:hAnsi="仿宋" w:eastAsia="仿宋"/>
          <w:sz w:val="32"/>
          <w:szCs w:val="32"/>
        </w:rPr>
        <w:t>区政法委</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配合单位：</w:t>
      </w:r>
      <w:r>
        <w:rPr>
          <w:rFonts w:hint="eastAsia" w:ascii="仿宋" w:hAnsi="仿宋" w:eastAsia="仿宋"/>
          <w:sz w:val="32"/>
          <w:szCs w:val="32"/>
        </w:rPr>
        <w:t>区人民武装部、区旅游和文化广电体育局、区应急管理局、区人民政府办公室、区委宣传部、区教育局、区委统战部、区总工会、区财政局、区商务局、区住房和城乡建设局、</w:t>
      </w:r>
      <w:r>
        <w:rPr>
          <w:rFonts w:ascii="仿宋" w:hAnsi="仿宋" w:eastAsia="仿宋" w:cs="仿宋_GB2312"/>
          <w:kern w:val="1"/>
          <w:sz w:val="32"/>
          <w:szCs w:val="32"/>
        </w:rPr>
        <w:t>区发改委、</w:t>
      </w:r>
      <w:r>
        <w:rPr>
          <w:rFonts w:hint="eastAsia" w:ascii="仿宋" w:hAnsi="仿宋" w:eastAsia="仿宋"/>
          <w:sz w:val="32"/>
          <w:szCs w:val="32"/>
        </w:rPr>
        <w:t>区卫生健康委员会、市市场监督管理局海棠分局、组委会等有关单位。</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职责：</w:t>
      </w:r>
      <w:r>
        <w:rPr>
          <w:rFonts w:hint="eastAsia" w:ascii="仿宋" w:hAnsi="仿宋" w:eastAsia="仿宋"/>
          <w:sz w:val="32"/>
          <w:szCs w:val="32"/>
        </w:rPr>
        <w:t>负责事件处置综合协调调度工作。做好事件信息的汇总、上报，领导批示传达督办，以及综合材料、会议纪要撰写，会务组织，资料收集等工作。为应急处置提供气象、通信、电力保障支援和技术支持。对事故影响转移人员进行临时基本生活救助。建立健全会商、信息发布和工作督查等制度，及时向本级政府和上一级有关部门报送相关信息和应急处置进展情况。</w:t>
      </w:r>
    </w:p>
    <w:p>
      <w:pPr>
        <w:pStyle w:val="4"/>
        <w:spacing w:before="0" w:after="0" w:line="600" w:lineRule="exact"/>
        <w:ind w:firstLine="643" w:firstLineChars="200"/>
        <w:rPr>
          <w:rFonts w:hint="eastAsia" w:ascii="宋体" w:hAnsi="宋体" w:cs="宋体"/>
        </w:rPr>
      </w:pPr>
      <w:bookmarkStart w:id="186" w:name="_Toc32069"/>
      <w:bookmarkStart w:id="187" w:name="_Toc22890"/>
      <w:bookmarkStart w:id="188" w:name="_Toc184137015"/>
      <w:bookmarkStart w:id="189" w:name="_Toc24716"/>
      <w:r>
        <w:rPr>
          <w:rFonts w:hint="eastAsia" w:ascii="宋体" w:hAnsi="宋体" w:cs="宋体"/>
        </w:rPr>
        <w:t>3.5.2</w:t>
      </w:r>
      <w:r>
        <w:rPr>
          <w:rFonts w:ascii="宋体" w:hAnsi="宋体" w:cs="宋体"/>
        </w:rPr>
        <w:t xml:space="preserve"> </w:t>
      </w:r>
      <w:r>
        <w:rPr>
          <w:rFonts w:hint="eastAsia" w:ascii="宋体" w:hAnsi="宋体" w:cs="宋体"/>
        </w:rPr>
        <w:t>抢险救援组</w:t>
      </w:r>
      <w:bookmarkEnd w:id="186"/>
      <w:bookmarkEnd w:id="187"/>
      <w:bookmarkEnd w:id="188"/>
      <w:bookmarkEnd w:id="189"/>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牵头单位：</w:t>
      </w:r>
      <w:r>
        <w:rPr>
          <w:rFonts w:hint="eastAsia" w:ascii="仿宋" w:hAnsi="仿宋" w:eastAsia="仿宋"/>
          <w:sz w:val="32"/>
          <w:szCs w:val="32"/>
        </w:rPr>
        <w:t>区人民武装部</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配合单位：</w:t>
      </w:r>
      <w:r>
        <w:rPr>
          <w:rFonts w:hint="eastAsia" w:ascii="仿宋" w:hAnsi="仿宋" w:eastAsia="仿宋"/>
          <w:sz w:val="32"/>
          <w:szCs w:val="32"/>
        </w:rPr>
        <w:t>三亚市海棠区消防救援大队、市综合行政执法局海棠分局、区应急管理局、区旅游和文化广电体育局、区住房和城乡建设局、区教育局、市市场监督管理局海棠分局、海棠湾供电所、事发地社区、村（居）委会等有关单位。</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职责：</w:t>
      </w:r>
      <w:r>
        <w:rPr>
          <w:rFonts w:hint="eastAsia" w:ascii="仿宋" w:hAnsi="仿宋" w:eastAsia="仿宋"/>
          <w:sz w:val="32"/>
          <w:szCs w:val="32"/>
        </w:rPr>
        <w:t>负责迅速确定事件性质、危害性以及事件波及范围，调集、组织、指挥有关应急救援队伍实施应急处置和救援。搜救现场伤亡人员、疏散群众。组织人员、车辆疏散、转移和安置危险区域内的人员、物资及重要文档资料等。做好现场防火、防爆、防倒塌及灭火、防化学伤害、用电、用气管制等安全监护工作，防止次生事件的发生。及时向区应急指挥部报告事件现场情况，落实区急指挥部指示和决策。应急处置救援结束后，组织清理事件现场、恢复秩序。</w:t>
      </w:r>
    </w:p>
    <w:p>
      <w:pPr>
        <w:pStyle w:val="4"/>
        <w:spacing w:before="0" w:after="0" w:line="600" w:lineRule="exact"/>
        <w:ind w:firstLine="643" w:firstLineChars="200"/>
        <w:rPr>
          <w:rFonts w:hint="eastAsia" w:ascii="宋体" w:hAnsi="宋体" w:cs="宋体"/>
        </w:rPr>
      </w:pPr>
      <w:bookmarkStart w:id="190" w:name="_Toc13772"/>
      <w:bookmarkStart w:id="191" w:name="_Toc20370"/>
      <w:bookmarkStart w:id="192" w:name="_Toc184137016"/>
      <w:bookmarkStart w:id="193" w:name="_Toc17886"/>
      <w:r>
        <w:rPr>
          <w:rFonts w:hint="eastAsia" w:ascii="宋体" w:hAnsi="宋体" w:cs="宋体"/>
        </w:rPr>
        <w:t>3.5.3</w:t>
      </w:r>
      <w:bookmarkEnd w:id="190"/>
      <w:r>
        <w:rPr>
          <w:rFonts w:ascii="宋体" w:hAnsi="宋体" w:cs="宋体"/>
        </w:rPr>
        <w:t xml:space="preserve"> </w:t>
      </w:r>
      <w:r>
        <w:rPr>
          <w:rFonts w:hint="eastAsia" w:ascii="宋体" w:hAnsi="宋体" w:cs="宋体"/>
        </w:rPr>
        <w:t>秩序维护组</w:t>
      </w:r>
      <w:bookmarkEnd w:id="191"/>
      <w:bookmarkEnd w:id="192"/>
      <w:bookmarkEnd w:id="193"/>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牵头单位：</w:t>
      </w:r>
      <w:r>
        <w:rPr>
          <w:rFonts w:hint="eastAsia" w:ascii="仿宋" w:hAnsi="仿宋" w:eastAsia="仿宋"/>
          <w:sz w:val="32"/>
          <w:szCs w:val="32"/>
        </w:rPr>
        <w:t>市公安局海棠分局</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配合单位：</w:t>
      </w:r>
      <w:r>
        <w:rPr>
          <w:rFonts w:hint="eastAsia" w:ascii="仿宋" w:hAnsi="仿宋" w:eastAsia="仿宋"/>
          <w:sz w:val="32"/>
          <w:szCs w:val="32"/>
        </w:rPr>
        <w:t>市交警支队海棠大队、区人民武装部、事发地社区、村（居）委会等有关单位。</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职责：</w:t>
      </w:r>
      <w:r>
        <w:rPr>
          <w:rFonts w:hint="eastAsia" w:ascii="仿宋" w:hAnsi="仿宋" w:eastAsia="仿宋"/>
          <w:sz w:val="32"/>
          <w:szCs w:val="32"/>
        </w:rPr>
        <w:t>负责社会面管控和事件现场的安全保卫、秩序维护，做好水、电、气、热等设施和重点部位、危险区域警戒看护等工作。必要时对现场实施现场管制，周边地区实行交通管制，设立应急专用通道，维持交通秩序。负责人员疏散后应急避险场所的秩序维护及安全保卫工作。</w:t>
      </w:r>
    </w:p>
    <w:p>
      <w:pPr>
        <w:pStyle w:val="4"/>
        <w:spacing w:before="0" w:after="0" w:line="600" w:lineRule="exact"/>
        <w:ind w:firstLine="643" w:firstLineChars="200"/>
        <w:rPr>
          <w:rFonts w:hint="eastAsia" w:ascii="宋体" w:hAnsi="宋体" w:cs="宋体"/>
        </w:rPr>
      </w:pPr>
      <w:bookmarkStart w:id="194" w:name="_Toc9660"/>
      <w:bookmarkStart w:id="195" w:name="_Toc27044"/>
      <w:bookmarkStart w:id="196" w:name="_Toc10757"/>
      <w:bookmarkStart w:id="197" w:name="_Toc184137017"/>
      <w:r>
        <w:rPr>
          <w:rFonts w:hint="eastAsia" w:ascii="宋体" w:hAnsi="宋体" w:cs="宋体"/>
        </w:rPr>
        <w:t>3.5.4</w:t>
      </w:r>
      <w:r>
        <w:rPr>
          <w:rFonts w:ascii="宋体" w:hAnsi="宋体" w:cs="宋体"/>
        </w:rPr>
        <w:t xml:space="preserve"> </w:t>
      </w:r>
      <w:r>
        <w:rPr>
          <w:rFonts w:hint="eastAsia" w:ascii="宋体" w:hAnsi="宋体" w:cs="宋体"/>
        </w:rPr>
        <w:t>医疗卫生组</w:t>
      </w:r>
      <w:bookmarkEnd w:id="194"/>
      <w:bookmarkEnd w:id="195"/>
      <w:bookmarkEnd w:id="196"/>
      <w:bookmarkEnd w:id="197"/>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牵头单位：</w:t>
      </w:r>
      <w:r>
        <w:rPr>
          <w:rFonts w:hint="eastAsia" w:ascii="仿宋" w:hAnsi="仿宋" w:eastAsia="仿宋"/>
          <w:sz w:val="32"/>
          <w:szCs w:val="32"/>
        </w:rPr>
        <w:t>区卫生健康委员会</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配合单位：</w:t>
      </w:r>
      <w:r>
        <w:rPr>
          <w:rFonts w:hint="eastAsia" w:ascii="仿宋" w:hAnsi="仿宋" w:eastAsia="仿宋"/>
          <w:sz w:val="32"/>
          <w:szCs w:val="32"/>
        </w:rPr>
        <w:t>120急救指挥中心、区疾病预防控制中心、有关医疗机构等有关单位。</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职责：</w:t>
      </w:r>
      <w:r>
        <w:rPr>
          <w:rFonts w:hint="eastAsia" w:ascii="仿宋" w:hAnsi="仿宋" w:eastAsia="仿宋"/>
          <w:sz w:val="32"/>
          <w:szCs w:val="32"/>
        </w:rPr>
        <w:t>负责落实救护车辆及药品器材，组织医疗单位对事件现场伤亡人员实施应急抢救治疗。及时转移事件现场的伤亡人员，组织有关专家根据现场情况确定抢救治疗方案，护送受伤人员至医院接受进一步治疗。做好次生、衍生疾病的预防控制工作。</w:t>
      </w:r>
    </w:p>
    <w:p>
      <w:pPr>
        <w:pStyle w:val="4"/>
        <w:spacing w:before="0" w:after="0" w:line="600" w:lineRule="exact"/>
        <w:ind w:firstLine="643" w:firstLineChars="200"/>
        <w:rPr>
          <w:rFonts w:hint="eastAsia" w:ascii="宋体" w:hAnsi="宋体" w:cs="宋体"/>
        </w:rPr>
      </w:pPr>
      <w:bookmarkStart w:id="198" w:name="_Toc22379"/>
      <w:bookmarkStart w:id="199" w:name="_Toc16393"/>
      <w:bookmarkStart w:id="200" w:name="_Toc184137018"/>
      <w:bookmarkStart w:id="201" w:name="_Toc24284"/>
      <w:r>
        <w:rPr>
          <w:rFonts w:hint="eastAsia" w:ascii="宋体" w:hAnsi="宋体" w:cs="宋体"/>
        </w:rPr>
        <w:t>3.5.5</w:t>
      </w:r>
      <w:r>
        <w:rPr>
          <w:rFonts w:ascii="宋体" w:hAnsi="宋体" w:cs="宋体"/>
        </w:rPr>
        <w:t xml:space="preserve"> </w:t>
      </w:r>
      <w:r>
        <w:rPr>
          <w:rFonts w:hint="eastAsia" w:ascii="宋体" w:hAnsi="宋体" w:cs="宋体"/>
        </w:rPr>
        <w:t>后勤保障组</w:t>
      </w:r>
      <w:bookmarkEnd w:id="198"/>
      <w:bookmarkEnd w:id="199"/>
      <w:bookmarkEnd w:id="200"/>
      <w:bookmarkEnd w:id="201"/>
    </w:p>
    <w:p>
      <w:pPr>
        <w:spacing w:line="360" w:lineRule="auto"/>
        <w:ind w:firstLine="643" w:firstLineChars="200"/>
        <w:rPr>
          <w:rFonts w:ascii="仿宋" w:hAnsi="仿宋" w:eastAsia="仿宋"/>
          <w:sz w:val="32"/>
          <w:szCs w:val="32"/>
        </w:rPr>
      </w:pPr>
      <w:r>
        <w:rPr>
          <w:rFonts w:hint="eastAsia" w:ascii="仿宋" w:hAnsi="仿宋" w:eastAsia="仿宋"/>
          <w:b/>
          <w:bCs/>
          <w:sz w:val="32"/>
          <w:szCs w:val="32"/>
        </w:rPr>
        <w:t>牵头单位：</w:t>
      </w:r>
      <w:r>
        <w:rPr>
          <w:rFonts w:hint="eastAsia" w:ascii="仿宋" w:hAnsi="仿宋" w:eastAsia="仿宋"/>
          <w:sz w:val="32"/>
          <w:szCs w:val="32"/>
        </w:rPr>
        <w:t>区应急管理局</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配合单位：</w:t>
      </w:r>
      <w:r>
        <w:rPr>
          <w:rFonts w:hint="eastAsia" w:ascii="仿宋" w:hAnsi="仿宋" w:eastAsia="仿宋"/>
          <w:sz w:val="32"/>
          <w:szCs w:val="32"/>
        </w:rPr>
        <w:t>区财政局、区委统战部、区住房和城乡建设局、区交通运输局、区</w:t>
      </w:r>
      <w:r>
        <w:rPr>
          <w:rFonts w:ascii="仿宋" w:hAnsi="仿宋" w:eastAsia="仿宋"/>
          <w:sz w:val="32"/>
          <w:szCs w:val="32"/>
        </w:rPr>
        <w:t>发改委、</w:t>
      </w:r>
      <w:r>
        <w:rPr>
          <w:rFonts w:hint="eastAsia" w:ascii="仿宋" w:hAnsi="仿宋" w:eastAsia="仿宋"/>
          <w:sz w:val="32"/>
          <w:szCs w:val="32"/>
        </w:rPr>
        <w:t>区卫生健康委员会</w:t>
      </w:r>
      <w:r>
        <w:rPr>
          <w:rFonts w:hint="eastAsia" w:ascii="仿宋" w:hAnsi="仿宋" w:eastAsia="仿宋"/>
          <w:sz w:val="32"/>
          <w:szCs w:val="32"/>
          <w:lang w:eastAsia="zh-CN"/>
        </w:rPr>
        <w:t>、</w:t>
      </w:r>
      <w:r>
        <w:rPr>
          <w:rFonts w:hint="eastAsia" w:ascii="仿宋" w:hAnsi="仿宋" w:eastAsia="仿宋"/>
          <w:sz w:val="32"/>
          <w:szCs w:val="32"/>
          <w:lang w:val="en-US" w:eastAsia="zh-CN"/>
        </w:rPr>
        <w:t>海棠供电所</w:t>
      </w:r>
      <w:r>
        <w:rPr>
          <w:rFonts w:hint="eastAsia" w:ascii="仿宋" w:hAnsi="仿宋" w:eastAsia="仿宋"/>
          <w:sz w:val="32"/>
          <w:szCs w:val="32"/>
        </w:rPr>
        <w:t>等有关单位。</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职责：</w:t>
      </w:r>
      <w:r>
        <w:rPr>
          <w:rFonts w:hint="eastAsia" w:ascii="仿宋" w:hAnsi="仿宋" w:eastAsia="仿宋"/>
          <w:sz w:val="32"/>
          <w:szCs w:val="32"/>
        </w:rPr>
        <w:t>负责落实现场人员的生活保障、交通运输、应急资金、应急物资、应急通信、供电、供水、食品供应、卫生防护和防疫保障等后勤保障措施。</w:t>
      </w:r>
    </w:p>
    <w:p>
      <w:pPr>
        <w:pStyle w:val="4"/>
        <w:spacing w:before="0" w:after="0" w:line="600" w:lineRule="exact"/>
        <w:ind w:firstLine="643" w:firstLineChars="200"/>
        <w:rPr>
          <w:rFonts w:hint="eastAsia" w:ascii="宋体" w:hAnsi="宋体" w:cs="宋体"/>
        </w:rPr>
      </w:pPr>
      <w:bookmarkStart w:id="202" w:name="_Toc184137019"/>
      <w:bookmarkStart w:id="203" w:name="_Toc2078"/>
      <w:bookmarkStart w:id="204" w:name="_Toc17467"/>
      <w:bookmarkStart w:id="205" w:name="_Toc1716"/>
      <w:r>
        <w:rPr>
          <w:rFonts w:hint="eastAsia" w:ascii="宋体" w:hAnsi="宋体" w:cs="宋体"/>
        </w:rPr>
        <w:t>3.5.6</w:t>
      </w:r>
      <w:r>
        <w:rPr>
          <w:rFonts w:ascii="宋体" w:hAnsi="宋体" w:cs="宋体"/>
        </w:rPr>
        <w:t xml:space="preserve"> </w:t>
      </w:r>
      <w:r>
        <w:rPr>
          <w:rFonts w:hint="eastAsia" w:ascii="宋体" w:hAnsi="宋体" w:cs="宋体"/>
        </w:rPr>
        <w:t>善后处置组</w:t>
      </w:r>
      <w:bookmarkEnd w:id="202"/>
      <w:bookmarkEnd w:id="203"/>
      <w:bookmarkEnd w:id="204"/>
      <w:bookmarkEnd w:id="205"/>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牵头单位：</w:t>
      </w:r>
      <w:r>
        <w:rPr>
          <w:rFonts w:hint="eastAsia" w:ascii="仿宋" w:hAnsi="仿宋" w:eastAsia="仿宋"/>
          <w:sz w:val="32"/>
          <w:szCs w:val="32"/>
        </w:rPr>
        <w:t>区政法委</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配合单位：</w:t>
      </w:r>
      <w:r>
        <w:rPr>
          <w:rFonts w:hint="eastAsia" w:ascii="仿宋" w:hAnsi="仿宋" w:eastAsia="仿宋"/>
          <w:sz w:val="32"/>
          <w:szCs w:val="32"/>
        </w:rPr>
        <w:t>区委统战部、区商务局、区旅游和文化广电体育局、区应急管理局、区司法局、区总工会、事发地社区、村（居）委会、组委会、大型群众性活动承（主）办单位、场馆（所）经营管理单位等有关单位。</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职责：</w:t>
      </w:r>
      <w:r>
        <w:rPr>
          <w:rFonts w:hint="eastAsia" w:ascii="仿宋" w:hAnsi="仿宋" w:eastAsia="仿宋"/>
          <w:sz w:val="32"/>
          <w:szCs w:val="32"/>
        </w:rPr>
        <w:t>负责突发事件现场清理工作。落实救助、补偿、抚慰、抚恤、理赔等工作。安置区的环境卫生保障，遇险获救人员安置与善后处置。提供心理咨询辅导和司法援助。恢复正常生产生活秩序。</w:t>
      </w:r>
    </w:p>
    <w:p>
      <w:pPr>
        <w:pStyle w:val="4"/>
        <w:spacing w:before="0" w:after="0" w:line="600" w:lineRule="exact"/>
        <w:ind w:firstLine="643" w:firstLineChars="200"/>
        <w:rPr>
          <w:rFonts w:hint="eastAsia" w:ascii="宋体" w:hAnsi="宋体" w:cs="宋体"/>
        </w:rPr>
      </w:pPr>
      <w:bookmarkStart w:id="206" w:name="_Toc184137020"/>
      <w:bookmarkStart w:id="207" w:name="_Toc30662"/>
      <w:bookmarkStart w:id="208" w:name="_Toc28207"/>
      <w:bookmarkStart w:id="209" w:name="_Toc5715"/>
      <w:r>
        <w:rPr>
          <w:rFonts w:hint="eastAsia" w:ascii="宋体" w:hAnsi="宋体" w:cs="宋体"/>
        </w:rPr>
        <w:t>3.5.7</w:t>
      </w:r>
      <w:r>
        <w:rPr>
          <w:rFonts w:ascii="宋体" w:hAnsi="宋体" w:cs="宋体"/>
        </w:rPr>
        <w:t xml:space="preserve"> </w:t>
      </w:r>
      <w:r>
        <w:rPr>
          <w:rFonts w:hint="eastAsia" w:ascii="宋体" w:hAnsi="宋体" w:cs="宋体"/>
        </w:rPr>
        <w:t>新闻报道组</w:t>
      </w:r>
      <w:bookmarkEnd w:id="206"/>
      <w:bookmarkEnd w:id="207"/>
      <w:bookmarkEnd w:id="208"/>
      <w:bookmarkEnd w:id="209"/>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牵头单位：</w:t>
      </w:r>
      <w:r>
        <w:rPr>
          <w:rFonts w:hint="eastAsia" w:ascii="仿宋" w:hAnsi="仿宋" w:eastAsia="仿宋"/>
          <w:sz w:val="32"/>
          <w:szCs w:val="32"/>
        </w:rPr>
        <w:t>区委宣传部</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配合单位：</w:t>
      </w:r>
      <w:r>
        <w:rPr>
          <w:rFonts w:hint="eastAsia" w:ascii="仿宋" w:hAnsi="仿宋" w:eastAsia="仿宋"/>
          <w:sz w:val="32"/>
          <w:szCs w:val="32"/>
        </w:rPr>
        <w:t>区旅游和文化广电体育局、区应急管理局、区人民政府办公室、区委统战部等有关单位</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rPr>
        <w:t>职责：</w:t>
      </w:r>
      <w:r>
        <w:rPr>
          <w:rFonts w:hint="eastAsia" w:ascii="仿宋" w:hAnsi="仿宋" w:eastAsia="仿宋"/>
          <w:sz w:val="32"/>
          <w:szCs w:val="32"/>
        </w:rPr>
        <w:t>负责统筹协调媒体现场管理，互联网监控和管理工作，审核发布信息，组织新闻发布工作，引导社会舆论导向。做好新闻发布和集中采访活动。向区应急指挥部通报舆情进展，提出应对建议。</w:t>
      </w:r>
    </w:p>
    <w:p>
      <w:pPr>
        <w:pStyle w:val="4"/>
        <w:spacing w:before="0" w:after="0" w:line="600" w:lineRule="exact"/>
        <w:ind w:firstLine="643" w:firstLineChars="200"/>
        <w:rPr>
          <w:rFonts w:hint="eastAsia" w:ascii="宋体" w:hAnsi="宋体" w:cs="宋体"/>
        </w:rPr>
      </w:pPr>
      <w:bookmarkStart w:id="210" w:name="_Toc184137021"/>
      <w:bookmarkStart w:id="211" w:name="_Toc31119"/>
      <w:bookmarkStart w:id="212" w:name="_Toc20666"/>
      <w:bookmarkStart w:id="213" w:name="_Toc5111"/>
      <w:r>
        <w:rPr>
          <w:rFonts w:hint="eastAsia" w:ascii="宋体" w:hAnsi="宋体" w:cs="宋体"/>
        </w:rPr>
        <w:t>3.5.8</w:t>
      </w:r>
      <w:r>
        <w:rPr>
          <w:rFonts w:ascii="宋体" w:hAnsi="宋体" w:cs="宋体"/>
        </w:rPr>
        <w:t xml:space="preserve"> </w:t>
      </w:r>
      <w:r>
        <w:rPr>
          <w:rFonts w:hint="eastAsia" w:ascii="宋体" w:hAnsi="宋体" w:cs="宋体"/>
        </w:rPr>
        <w:t>专家组</w:t>
      </w:r>
      <w:bookmarkEnd w:id="210"/>
      <w:bookmarkEnd w:id="211"/>
      <w:bookmarkEnd w:id="212"/>
      <w:bookmarkEnd w:id="213"/>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根据工作需要，由区应急管理局牵头组织应急管理、消防安全、文化旅游、体育活动、卫生健康、社会安全等领域的相关专家组成。</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专家组主要职责是对应急准备工作中的重大问题进行研究，参加区应急指挥部统一组织的活动及专题研究；应急响应时，根据区应急指挥部的通知，进驻指定地点，研析体育活动突发事件的信息和有关情况，为应急决策提供建议及参与事件调查。</w:t>
      </w:r>
    </w:p>
    <w:p>
      <w:pPr>
        <w:pStyle w:val="4"/>
        <w:spacing w:before="0" w:after="0" w:line="600" w:lineRule="exact"/>
        <w:ind w:firstLine="643" w:firstLineChars="200"/>
        <w:rPr>
          <w:rFonts w:hint="eastAsia" w:ascii="宋体" w:hAnsi="宋体" w:cs="宋体"/>
        </w:rPr>
      </w:pPr>
      <w:bookmarkStart w:id="214" w:name="_Toc184137022"/>
      <w:bookmarkStart w:id="215" w:name="_Toc21313"/>
      <w:bookmarkStart w:id="216" w:name="_Toc15317"/>
      <w:bookmarkStart w:id="217" w:name="_Toc13719"/>
      <w:r>
        <w:rPr>
          <w:rFonts w:hint="eastAsia" w:ascii="宋体" w:hAnsi="宋体" w:cs="宋体"/>
        </w:rPr>
        <w:t>3.5.9</w:t>
      </w:r>
      <w:r>
        <w:rPr>
          <w:rFonts w:ascii="宋体" w:hAnsi="宋体" w:cs="宋体"/>
        </w:rPr>
        <w:t xml:space="preserve"> </w:t>
      </w:r>
      <w:r>
        <w:rPr>
          <w:rFonts w:hint="eastAsia" w:ascii="宋体" w:hAnsi="宋体" w:cs="宋体"/>
        </w:rPr>
        <w:t>其他工作组</w:t>
      </w:r>
      <w:bookmarkEnd w:id="214"/>
      <w:bookmarkEnd w:id="215"/>
      <w:bookmarkEnd w:id="216"/>
      <w:bookmarkEnd w:id="217"/>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区应急指挥部可根据处置需要，增设其他工作组。</w:t>
      </w:r>
    </w:p>
    <w:p>
      <w:pPr>
        <w:pStyle w:val="2"/>
        <w:spacing w:before="0" w:after="0" w:line="600" w:lineRule="exact"/>
        <w:ind w:firstLine="720" w:firstLineChars="200"/>
        <w:rPr>
          <w:rFonts w:hint="eastAsia" w:ascii="黑体" w:hAnsi="黑体" w:eastAsia="黑体" w:cs="黑体"/>
          <w:b w:val="0"/>
          <w:bCs w:val="0"/>
          <w:sz w:val="36"/>
          <w:szCs w:val="36"/>
        </w:rPr>
      </w:pPr>
      <w:bookmarkStart w:id="218" w:name="_Toc19497"/>
      <w:bookmarkStart w:id="219" w:name="_Toc28349"/>
      <w:bookmarkStart w:id="220" w:name="_Toc16141"/>
      <w:bookmarkStart w:id="221" w:name="_Toc1810"/>
      <w:bookmarkStart w:id="222" w:name="_Toc26940"/>
      <w:bookmarkStart w:id="223" w:name="_Toc184137023"/>
      <w:bookmarkStart w:id="224" w:name="_Toc28016"/>
      <w:bookmarkStart w:id="225" w:name="_Toc26651"/>
      <w:r>
        <w:rPr>
          <w:rFonts w:hint="eastAsia" w:ascii="黑体" w:hAnsi="黑体" w:eastAsia="黑体" w:cs="黑体"/>
          <w:b w:val="0"/>
          <w:bCs w:val="0"/>
          <w:sz w:val="36"/>
          <w:szCs w:val="36"/>
        </w:rPr>
        <w:t>4</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预防和预警机制</w:t>
      </w:r>
      <w:bookmarkEnd w:id="218"/>
      <w:bookmarkEnd w:id="219"/>
      <w:bookmarkEnd w:id="220"/>
      <w:bookmarkEnd w:id="221"/>
      <w:bookmarkEnd w:id="222"/>
      <w:bookmarkEnd w:id="223"/>
      <w:bookmarkEnd w:id="224"/>
      <w:bookmarkEnd w:id="225"/>
    </w:p>
    <w:p>
      <w:pPr>
        <w:pStyle w:val="3"/>
        <w:spacing w:before="0" w:after="0" w:line="600" w:lineRule="exact"/>
        <w:ind w:firstLine="643" w:firstLineChars="200"/>
        <w:rPr>
          <w:rFonts w:hint="eastAsia" w:ascii="宋体" w:hAnsi="宋体" w:cs="宋体"/>
        </w:rPr>
      </w:pPr>
      <w:bookmarkStart w:id="226" w:name="_Toc23031"/>
      <w:bookmarkStart w:id="227" w:name="_Toc16634"/>
      <w:bookmarkStart w:id="228" w:name="_Toc23591"/>
      <w:bookmarkStart w:id="229" w:name="_Toc485196784"/>
      <w:bookmarkStart w:id="230" w:name="_Toc30315"/>
      <w:bookmarkStart w:id="231" w:name="_Toc25788"/>
      <w:bookmarkStart w:id="232" w:name="_Toc23373"/>
      <w:bookmarkStart w:id="233" w:name="_Toc24298"/>
      <w:bookmarkStart w:id="234" w:name="_Toc24589"/>
      <w:bookmarkStart w:id="235" w:name="_Toc184137024"/>
      <w:bookmarkStart w:id="236" w:name="_Toc25685"/>
      <w:r>
        <w:rPr>
          <w:rFonts w:hint="eastAsia" w:ascii="宋体" w:hAnsi="宋体" w:cs="宋体"/>
        </w:rPr>
        <w:t>4.1</w:t>
      </w:r>
      <w:r>
        <w:rPr>
          <w:rFonts w:ascii="宋体" w:hAnsi="宋体" w:cs="宋体"/>
        </w:rPr>
        <w:t xml:space="preserve"> </w:t>
      </w:r>
      <w:r>
        <w:rPr>
          <w:rFonts w:hint="eastAsia" w:ascii="宋体" w:hAnsi="宋体" w:cs="宋体"/>
        </w:rPr>
        <w:t>风险</w:t>
      </w:r>
      <w:bookmarkEnd w:id="226"/>
      <w:bookmarkEnd w:id="227"/>
      <w:bookmarkEnd w:id="228"/>
      <w:bookmarkEnd w:id="229"/>
      <w:bookmarkEnd w:id="230"/>
      <w:bookmarkEnd w:id="231"/>
      <w:r>
        <w:rPr>
          <w:rFonts w:hint="eastAsia" w:ascii="宋体" w:hAnsi="宋体" w:cs="宋体"/>
        </w:rPr>
        <w:t>防控</w:t>
      </w:r>
      <w:bookmarkEnd w:id="232"/>
      <w:bookmarkEnd w:id="233"/>
      <w:bookmarkEnd w:id="234"/>
      <w:bookmarkEnd w:id="235"/>
      <w:bookmarkEnd w:id="236"/>
    </w:p>
    <w:p>
      <w:pPr>
        <w:pStyle w:val="4"/>
        <w:spacing w:before="0" w:after="0" w:line="600" w:lineRule="exact"/>
        <w:ind w:firstLine="643" w:firstLineChars="200"/>
        <w:rPr>
          <w:rFonts w:hint="eastAsia" w:ascii="宋体" w:hAnsi="宋体" w:cs="宋体"/>
        </w:rPr>
      </w:pPr>
      <w:bookmarkStart w:id="237" w:name="_Toc16364"/>
      <w:bookmarkStart w:id="238" w:name="_Toc184137025"/>
      <w:bookmarkStart w:id="239" w:name="_Toc23805"/>
      <w:r>
        <w:rPr>
          <w:rFonts w:hint="eastAsia" w:ascii="宋体" w:hAnsi="宋体" w:cs="宋体"/>
        </w:rPr>
        <w:t>4.1.1</w:t>
      </w:r>
      <w:r>
        <w:rPr>
          <w:rFonts w:ascii="宋体" w:hAnsi="宋体" w:cs="宋体"/>
        </w:rPr>
        <w:t xml:space="preserve"> </w:t>
      </w:r>
      <w:r>
        <w:rPr>
          <w:rFonts w:hint="eastAsia" w:ascii="宋体" w:hAnsi="宋体" w:cs="宋体"/>
        </w:rPr>
        <w:t>落实组织者主体责任</w:t>
      </w:r>
      <w:bookmarkEnd w:id="237"/>
      <w:bookmarkEnd w:id="238"/>
      <w:bookmarkEnd w:id="239"/>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主办方、承办方、协办方等组织者对大型群众活动安全负直接责任，赛前应当签订书面协议明确职责分工。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主办方应当建立组委会等组织机制；承办方根据相关标准规范从活动相关联的人员物品、设施设备、环境场地、管理措施、专业资质、社会关注度等多方面因素，对发生各类安全事故的可能性、安全风险程度等进行风险评估，制定相应应对措施或应急预案，配足配齐安保和应急救援力量，做好突发事件预防工作，确保大型群众活动的安全；协办方应当确保其提供的产品、设施或服务符合质量和安全标准。</w:t>
      </w:r>
    </w:p>
    <w:p>
      <w:pPr>
        <w:pStyle w:val="4"/>
        <w:spacing w:before="0" w:after="0" w:line="600" w:lineRule="exact"/>
        <w:ind w:firstLine="643" w:firstLineChars="200"/>
        <w:rPr>
          <w:rFonts w:hint="eastAsia" w:ascii="宋体" w:hAnsi="宋体" w:cs="宋体"/>
        </w:rPr>
      </w:pPr>
      <w:bookmarkStart w:id="240" w:name="_Toc23556"/>
      <w:bookmarkStart w:id="241" w:name="_Toc184137026"/>
      <w:bookmarkStart w:id="242" w:name="_Toc26295"/>
      <w:r>
        <w:rPr>
          <w:rFonts w:hint="eastAsia" w:ascii="宋体" w:hAnsi="宋体" w:cs="宋体"/>
        </w:rPr>
        <w:t>4.1.2</w:t>
      </w:r>
      <w:r>
        <w:rPr>
          <w:rFonts w:ascii="宋体" w:hAnsi="宋体" w:cs="宋体"/>
        </w:rPr>
        <w:t xml:space="preserve"> </w:t>
      </w:r>
      <w:r>
        <w:rPr>
          <w:rFonts w:hint="eastAsia" w:ascii="宋体" w:hAnsi="宋体" w:cs="宋体"/>
        </w:rPr>
        <w:t>严格安全监管责任</w:t>
      </w:r>
      <w:bookmarkEnd w:id="240"/>
      <w:bookmarkEnd w:id="241"/>
      <w:bookmarkEnd w:id="242"/>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区委、区政府有关部门应严格安全监管责任，落实“谁审批谁监管、谁主管谁监管”要求，切实做到权责一致。</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建立健全大型群众性活动突发事件信息收集、分析和风险评估制度，通过日常巡查、基层单位上报等多种渠道，收集、分析本地区、本领域可能发生突发事件的隐患、因素及危险源等信息；对活动情况开展现场踏勘，指导督促承办单位制定具体方案，明确防范和控制措施，压实安全主体责任，并监督整改。大型活动主管部门在活动举办前或举办中发现不符合规定条件、标准、规则，涉及赛事活动重大安全问题的，应当及时提出整改建议；属于其他部门职责范围的，应当及时移交并积极配合处理。其他涉及通信管理、公安、自然资源、交通运输、文化和旅游、卫生健康、应急管理、市场监管、气象等方面的有关部门依照职责做好安全监管服务工作。</w:t>
      </w:r>
    </w:p>
    <w:p>
      <w:pPr>
        <w:pStyle w:val="4"/>
        <w:spacing w:before="0" w:after="0" w:line="600" w:lineRule="exact"/>
        <w:ind w:firstLine="643" w:firstLineChars="200"/>
        <w:rPr>
          <w:rFonts w:hint="eastAsia" w:ascii="宋体" w:hAnsi="宋体" w:cs="宋体"/>
        </w:rPr>
      </w:pPr>
      <w:bookmarkStart w:id="243" w:name="_Toc6616"/>
      <w:bookmarkStart w:id="244" w:name="_Toc184137027"/>
      <w:bookmarkStart w:id="245" w:name="_Toc27027"/>
      <w:bookmarkStart w:id="246" w:name="_Toc27444"/>
      <w:bookmarkStart w:id="247" w:name="_Toc7740"/>
      <w:bookmarkStart w:id="248" w:name="_Toc8123"/>
      <w:bookmarkStart w:id="249" w:name="_Toc21401"/>
      <w:bookmarkStart w:id="250" w:name="_Toc13783"/>
      <w:bookmarkStart w:id="251" w:name="_Toc10563"/>
      <w:bookmarkStart w:id="252" w:name="_Toc24506"/>
      <w:bookmarkStart w:id="253" w:name="_Toc485196785"/>
      <w:bookmarkStart w:id="254" w:name="_Toc454961718"/>
      <w:r>
        <w:rPr>
          <w:rFonts w:hint="eastAsia" w:ascii="宋体" w:hAnsi="宋体" w:cs="宋体"/>
        </w:rPr>
        <w:t>4.1.3</w:t>
      </w:r>
      <w:r>
        <w:rPr>
          <w:rFonts w:ascii="宋体" w:hAnsi="宋体" w:cs="宋体"/>
        </w:rPr>
        <w:t xml:space="preserve"> </w:t>
      </w:r>
      <w:r>
        <w:rPr>
          <w:rFonts w:hint="eastAsia" w:ascii="宋体" w:hAnsi="宋体" w:cs="宋体"/>
        </w:rPr>
        <w:t>防范措施</w:t>
      </w:r>
      <w:bookmarkEnd w:id="243"/>
      <w:bookmarkEnd w:id="244"/>
      <w:bookmarkEnd w:id="245"/>
    </w:p>
    <w:bookmarkEnd w:id="246"/>
    <w:bookmarkEnd w:id="247"/>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（1）举办大型群体性活动，必须根据《中华人民共和国体育法》、《体育赛事活动管理办法》等有关法律法规内容，实行审批登记备案。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（2）组委会下设安全保卫部，其在组委会授权下，具体履行安全保卫职责，负责制定和部署安保方案、应急预案，落实预防预警和应急处置措施。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（3）各职能部门在确认可能引发某类突发事件的预警信息后，应根据各自职责及时进行部署，防止事件发生和事态进一步扩大。</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区应急办按有关规定的权限和程序报区政府批准后，统一发布本行政区域内相应级别的大型群体性活动突发事件预警信息。大型群体性活动突发事件的预警信息按照有关规定向上一级部门报告。预警信息应注明突发事件的类别、级别、预警期起始时间、可能影响区域或范围、警示事项、影响估计、应采取的措施和发布机关等内容。</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（5）大型群体性活动组委会应根据自身特点在治安、保卫、消防、交通、气象、公共卫生、场地设施安全等方面分别确定专职信息工作人员，信息员负责相应领域内预警信息的采集和汇报。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预警信息按应急工作组织程序逐级汇报，报送信息要及时、准确、客观、真实，保障应急工作信息在应急体系和指挥机构中正常运转，对重要的突发事件情况信息要随时报告，指挥部接报后视情况及时向省级单位报告。</w:t>
      </w:r>
    </w:p>
    <w:p>
      <w:pPr>
        <w:pStyle w:val="3"/>
        <w:spacing w:before="0" w:after="0" w:line="600" w:lineRule="exact"/>
        <w:ind w:firstLine="643" w:firstLineChars="200"/>
        <w:rPr>
          <w:rFonts w:hint="eastAsia" w:ascii="宋体" w:hAnsi="宋体" w:cs="宋体"/>
        </w:rPr>
      </w:pPr>
      <w:bookmarkStart w:id="255" w:name="_Toc22974"/>
      <w:bookmarkStart w:id="256" w:name="_Toc20987"/>
      <w:bookmarkStart w:id="257" w:name="_Toc32211"/>
      <w:bookmarkStart w:id="258" w:name="_Toc278"/>
      <w:bookmarkStart w:id="259" w:name="_Toc184137028"/>
      <w:r>
        <w:rPr>
          <w:rFonts w:hint="eastAsia" w:ascii="宋体" w:hAnsi="宋体" w:cs="宋体"/>
        </w:rPr>
        <w:t>4.2</w:t>
      </w:r>
      <w:r>
        <w:rPr>
          <w:rFonts w:ascii="宋体" w:hAnsi="宋体" w:cs="宋体"/>
        </w:rPr>
        <w:t xml:space="preserve"> </w:t>
      </w:r>
      <w:r>
        <w:rPr>
          <w:rFonts w:hint="eastAsia" w:ascii="宋体" w:hAnsi="宋体" w:cs="宋体"/>
        </w:rPr>
        <w:t>监测</w:t>
      </w:r>
      <w:bookmarkEnd w:id="248"/>
      <w:bookmarkEnd w:id="249"/>
      <w:bookmarkEnd w:id="250"/>
      <w:bookmarkEnd w:id="255"/>
      <w:bookmarkEnd w:id="256"/>
      <w:bookmarkEnd w:id="257"/>
      <w:bookmarkEnd w:id="258"/>
      <w:bookmarkEnd w:id="259"/>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4.2.1 区应急管理局负责大型群众性活动预警监测信息接收、报告、处理、统计分析等日常工作，并建立24小时人员值班制度。</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4.2.2 区应急指挥部成员单位联动配合，建立健全大型群众性活动突发事件信息监测预警体系、联席会议和信息共享制度，加强大型群众性活动信息系统建设，提高监测能力，完善预警系统，提高预警能力。</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4.2.3 组委会要严格核定大型群体性活动人员容量，加强对现场人员流动的监控；安装必要的消防、安全技术防范设备、防暴器具，配备预警通讯和广播设备，预留公安、消防、救护人员疏散的场地和通道，确保安全出口全部畅通，确保安全保卫工作人员数量，明确其任务分配和识别标志；在出入口和主要通道设专人负责疏导指引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 xml:space="preserve">4.2.4 主办方、承办方、协办方等组织者是大型群体性活动危险源监控的责任主体，要确定监测点和监测项目，建立并完善预警信息工作网络和信息采集工作制度，具备信息采集的能力和条件，负责大型群体性活动的信息采集、整理、归类并传送活动组委会，组委会集中相关信息进行综合分析并确认。 </w:t>
      </w:r>
    </w:p>
    <w:bookmarkEnd w:id="251"/>
    <w:bookmarkEnd w:id="252"/>
    <w:bookmarkEnd w:id="253"/>
    <w:bookmarkEnd w:id="254"/>
    <w:p>
      <w:pPr>
        <w:pStyle w:val="3"/>
        <w:spacing w:before="0" w:after="0" w:line="600" w:lineRule="exact"/>
        <w:ind w:firstLine="643" w:firstLineChars="200"/>
        <w:rPr>
          <w:rFonts w:hint="eastAsia" w:ascii="宋体" w:hAnsi="宋体" w:cs="宋体"/>
        </w:rPr>
      </w:pPr>
      <w:bookmarkStart w:id="260" w:name="_Toc25785"/>
      <w:bookmarkStart w:id="261" w:name="_Toc21776"/>
      <w:bookmarkStart w:id="262" w:name="_Toc184137029"/>
      <w:bookmarkStart w:id="263" w:name="_Toc7770"/>
      <w:bookmarkStart w:id="264" w:name="_Toc13710"/>
      <w:bookmarkStart w:id="265" w:name="_Toc8953"/>
      <w:bookmarkStart w:id="266" w:name="_Toc20849"/>
      <w:bookmarkStart w:id="267" w:name="_Toc29822"/>
      <w:bookmarkStart w:id="268" w:name="_Toc454961719"/>
      <w:bookmarkStart w:id="269" w:name="_Toc485196786"/>
      <w:bookmarkStart w:id="270" w:name="_Toc28575"/>
      <w:bookmarkStart w:id="271" w:name="_Toc17866"/>
      <w:r>
        <w:rPr>
          <w:rFonts w:hint="eastAsia" w:ascii="宋体" w:hAnsi="宋体" w:cs="宋体"/>
        </w:rPr>
        <w:t>4.3</w:t>
      </w:r>
      <w:r>
        <w:rPr>
          <w:rFonts w:ascii="宋体" w:hAnsi="宋体" w:cs="宋体"/>
        </w:rPr>
        <w:t xml:space="preserve"> </w:t>
      </w:r>
      <w:r>
        <w:rPr>
          <w:rFonts w:hint="eastAsia" w:ascii="宋体" w:hAnsi="宋体" w:cs="宋体"/>
        </w:rPr>
        <w:t>预警</w:t>
      </w:r>
      <w:bookmarkEnd w:id="260"/>
      <w:bookmarkEnd w:id="261"/>
      <w:bookmarkEnd w:id="262"/>
      <w:bookmarkEnd w:id="263"/>
      <w:bookmarkEnd w:id="264"/>
      <w:bookmarkEnd w:id="265"/>
      <w:bookmarkEnd w:id="266"/>
      <w:bookmarkEnd w:id="267"/>
      <w:bookmarkEnd w:id="268"/>
      <w:bookmarkEnd w:id="269"/>
      <w:bookmarkEnd w:id="270"/>
      <w:bookmarkEnd w:id="271"/>
    </w:p>
    <w:p>
      <w:pPr>
        <w:pStyle w:val="4"/>
        <w:spacing w:before="0" w:after="0" w:line="600" w:lineRule="exact"/>
        <w:ind w:firstLine="643" w:firstLineChars="200"/>
        <w:rPr>
          <w:rFonts w:hint="eastAsia" w:ascii="宋体" w:hAnsi="宋体" w:cs="宋体"/>
        </w:rPr>
      </w:pPr>
      <w:bookmarkStart w:id="272" w:name="_Toc967"/>
      <w:bookmarkStart w:id="273" w:name="_Toc184137030"/>
      <w:bookmarkStart w:id="274" w:name="_Toc18674"/>
      <w:r>
        <w:rPr>
          <w:rFonts w:hint="eastAsia" w:ascii="宋体" w:hAnsi="宋体" w:cs="宋体"/>
        </w:rPr>
        <w:t>4.3.1</w:t>
      </w:r>
      <w:r>
        <w:rPr>
          <w:rFonts w:ascii="宋体" w:hAnsi="宋体" w:cs="宋体"/>
        </w:rPr>
        <w:t xml:space="preserve"> </w:t>
      </w:r>
      <w:r>
        <w:rPr>
          <w:rFonts w:hint="eastAsia" w:ascii="宋体" w:hAnsi="宋体" w:cs="宋体"/>
        </w:rPr>
        <w:t>预警分级</w:t>
      </w:r>
      <w:bookmarkEnd w:id="272"/>
      <w:bookmarkEnd w:id="273"/>
      <w:bookmarkEnd w:id="274"/>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根据监测信息，按照突发事件的等级，预警级别由高到低对应划分一级（特别严重）、二级（严重）、三级（较重）和四级（一般）四个等级。依次用红色、橙色、黄色、蓝色标示。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红色预警（一级预警）：预计将要发生特别重大安全事故，事故会随时发生，事态正在不断蔓延。</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橙色预警（二级预警）：预计将要发生重大安全事故，事故即将发生，事态正在逐步扩大。</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黄色预警（三级预警）：预计将要发生较大安全事故，事故已经临近，事态有扩大的趋势。</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蓝色预警（四级预警）：预计将要发生一般安全事故，事故即将临近，事态可能会扩大。</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法律、法规对突发事件的预警级别另有规定的，从其规定。</w:t>
      </w:r>
    </w:p>
    <w:p>
      <w:pPr>
        <w:pStyle w:val="4"/>
        <w:spacing w:before="0" w:after="0" w:line="600" w:lineRule="exact"/>
        <w:ind w:firstLine="643" w:firstLineChars="200"/>
        <w:rPr>
          <w:rFonts w:hint="eastAsia" w:ascii="宋体" w:hAnsi="宋体" w:cs="宋体"/>
        </w:rPr>
      </w:pPr>
      <w:bookmarkStart w:id="275" w:name="_Toc20168"/>
      <w:bookmarkStart w:id="276" w:name="_Toc22788"/>
      <w:bookmarkStart w:id="277" w:name="_Toc184137031"/>
      <w:r>
        <w:rPr>
          <w:rFonts w:hint="eastAsia" w:ascii="宋体" w:hAnsi="宋体" w:cs="宋体"/>
        </w:rPr>
        <w:t>4.3.2</w:t>
      </w:r>
      <w:r>
        <w:rPr>
          <w:rFonts w:ascii="宋体" w:hAnsi="宋体" w:cs="宋体"/>
        </w:rPr>
        <w:t xml:space="preserve"> </w:t>
      </w:r>
      <w:r>
        <w:rPr>
          <w:rFonts w:hint="eastAsia" w:ascii="宋体" w:hAnsi="宋体" w:cs="宋体"/>
        </w:rPr>
        <w:t>预警发布</w:t>
      </w:r>
      <w:bookmarkEnd w:id="275"/>
      <w:bookmarkEnd w:id="276"/>
      <w:bookmarkEnd w:id="277"/>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事发单位的主要领导接到可能导致活动突发事件的信息后，应确定事件性质、预警区域、影响范围和应对方案，及时上报区政法委，或市公安局海棠分局、区应急管理局、区旅游和文化广电体育局等行业主管部门。有关政府主管部门接报后立即上报区委、区政府领导。区委、区政府领导接到报告后要及时做好成立区应急指挥部的准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根据监测及报送的信息，区应急办立即进行判断，或组织相关专家进行评估和预测，对事件的危害性、紧急程度和发展态势作出判断，视判断情况发布预警公告。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蓝色预警由区应急办发布，报市政府应急值班室；黄色预警由市级专项应急指挥部办公室发布，报省政府应急值班室；橙色、红色预警由省级专项应急指挥部发布，报省政府应急值班室。法律法规另有规定的从其规定。</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预警信息内容包括突发事件的类别、位置、原因、突发事件性质、预警级别、起始时间、可能影响范围、警示事项、应采取的措施、咨询渠道、发布单位和发布时间等。</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预警可通过报纸、广播、电视、网站、短信、微博、内部专用网络等向社会发布或通报有关部门。对特殊人群、特殊场所应当采取有针对性的有效公告方式。</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预警公告发布的同时，区应急指挥部启动本应急预案，区应急办通知区应急指挥部各成员单位及其他有关单位和应急组织立即进入应急状态，密切关注事态进展，并按照本预案要求做好应急响应的准备工作。</w:t>
      </w:r>
    </w:p>
    <w:p>
      <w:pPr>
        <w:pStyle w:val="4"/>
        <w:spacing w:before="0" w:after="0" w:line="600" w:lineRule="exact"/>
        <w:ind w:firstLine="643" w:firstLineChars="200"/>
        <w:rPr>
          <w:rFonts w:hint="eastAsia" w:ascii="宋体" w:hAnsi="宋体" w:cs="宋体"/>
        </w:rPr>
      </w:pPr>
      <w:bookmarkStart w:id="278" w:name="_Toc3728"/>
      <w:bookmarkStart w:id="279" w:name="_Toc19929"/>
      <w:bookmarkStart w:id="280" w:name="_Toc184137032"/>
      <w:r>
        <w:rPr>
          <w:rFonts w:hint="eastAsia" w:ascii="宋体" w:hAnsi="宋体" w:cs="宋体"/>
        </w:rPr>
        <w:t>4.3.3</w:t>
      </w:r>
      <w:r>
        <w:rPr>
          <w:rFonts w:ascii="宋体" w:hAnsi="宋体" w:cs="宋体"/>
        </w:rPr>
        <w:t xml:space="preserve"> </w:t>
      </w:r>
      <w:r>
        <w:rPr>
          <w:rFonts w:hint="eastAsia" w:ascii="宋体" w:hAnsi="宋体" w:cs="宋体"/>
        </w:rPr>
        <w:t>预警行动</w:t>
      </w:r>
      <w:bookmarkEnd w:id="278"/>
      <w:bookmarkEnd w:id="279"/>
      <w:bookmarkEnd w:id="280"/>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预警信息发布后，按预警分级情况采取行动。</w:t>
      </w:r>
    </w:p>
    <w:p>
      <w:pPr>
        <w:pStyle w:val="5"/>
        <w:spacing w:before="0" w:after="0" w:line="600" w:lineRule="exact"/>
        <w:ind w:firstLine="643" w:firstLineChars="200"/>
        <w:rPr>
          <w:rFonts w:hint="eastAsia" w:ascii="宋体" w:hAnsi="宋体" w:eastAsia="宋体" w:cs="宋体"/>
          <w:sz w:val="32"/>
          <w:szCs w:val="32"/>
        </w:rPr>
      </w:pPr>
      <w:bookmarkStart w:id="281" w:name="_Toc21674"/>
      <w:bookmarkStart w:id="282" w:name="_Toc184137033"/>
      <w:r>
        <w:rPr>
          <w:rFonts w:hint="eastAsia" w:ascii="宋体" w:hAnsi="宋体" w:eastAsia="宋体" w:cs="宋体"/>
          <w:sz w:val="32"/>
          <w:szCs w:val="32"/>
        </w:rPr>
        <w:t>4.3.3.1</w:t>
      </w:r>
      <w:r>
        <w:rPr>
          <w:rFonts w:ascii="宋体" w:hAnsi="宋体" w:eastAsia="宋体" w:cs="宋体"/>
          <w:sz w:val="32"/>
          <w:szCs w:val="32"/>
        </w:rPr>
        <w:t xml:space="preserve"> </w:t>
      </w:r>
      <w:r>
        <w:rPr>
          <w:rFonts w:hint="eastAsia" w:ascii="宋体" w:hAnsi="宋体" w:eastAsia="宋体" w:cs="宋体"/>
          <w:sz w:val="32"/>
          <w:szCs w:val="32"/>
        </w:rPr>
        <w:t>蓝色预警</w:t>
      </w:r>
      <w:bookmarkEnd w:id="281"/>
      <w:bookmarkEnd w:id="282"/>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蓝色预警发布后，大型群众性活动承（主）办单位及主管部门、场馆（所）经营管理单位及主管部门、区委、区政府应当采取以下措施：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（1）落实24小时值班制度，加强对大型群众性活动突发事件的信息收集、监控和报告。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（2）组织本部门（单位）及有关部门应急人员进入待命状态，检查、调试应急物资装备的准备情况，保证状态良好随时可用。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（3）组织专家加强监测，对事件动态做好研判评估，提出应对措施意见。</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（4）检查活动现场及周边环境，确定应急救援、疏散通道和安置区域，通知有关部门（单位）做好对重点要害部位、设施的安全守护。</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（5）区应急办批准后，及时通过平面、网络及短信等途径发布可能受到突发事件危害的警告，宣传避免、减轻伤害的常识，发布应对工作提示，公布咨询电话，加强相关舆情监测。</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（6）其他法定必要的防范及应对措施。</w:t>
      </w:r>
    </w:p>
    <w:p>
      <w:pPr>
        <w:pStyle w:val="5"/>
        <w:spacing w:before="0" w:after="0" w:line="600" w:lineRule="exact"/>
        <w:ind w:firstLine="643" w:firstLineChars="200"/>
        <w:rPr>
          <w:rFonts w:ascii="宋体" w:hAnsi="宋体" w:eastAsia="宋体" w:cs="宋体"/>
          <w:sz w:val="32"/>
          <w:szCs w:val="32"/>
        </w:rPr>
      </w:pPr>
      <w:bookmarkStart w:id="283" w:name="_Toc184137034"/>
      <w:bookmarkStart w:id="284" w:name="_Toc21237"/>
      <w:r>
        <w:rPr>
          <w:rFonts w:hint="eastAsia" w:ascii="宋体" w:hAnsi="宋体" w:eastAsia="宋体" w:cs="宋体"/>
          <w:sz w:val="32"/>
          <w:szCs w:val="32"/>
        </w:rPr>
        <w:t>4.3.3.2</w:t>
      </w:r>
      <w:r>
        <w:rPr>
          <w:rFonts w:ascii="宋体" w:hAnsi="宋体" w:eastAsia="宋体" w:cs="宋体"/>
          <w:sz w:val="32"/>
          <w:szCs w:val="32"/>
        </w:rPr>
        <w:t xml:space="preserve"> </w:t>
      </w:r>
      <w:r>
        <w:rPr>
          <w:rFonts w:hint="eastAsia" w:ascii="宋体" w:hAnsi="宋体" w:eastAsia="宋体" w:cs="宋体"/>
          <w:sz w:val="32"/>
          <w:szCs w:val="32"/>
        </w:rPr>
        <w:t>黄色预警</w:t>
      </w:r>
      <w:bookmarkEnd w:id="283"/>
      <w:bookmarkEnd w:id="284"/>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黄色预警发布后，大型群众性活动承（主）办单位及主管部门、场馆（所）经营管理单位及主管部门、区应急办、区委、区政府、市级专项应急指挥部应在执行蓝色预警措施基础上，采取以下措施：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（1）组织专家及时对大型群众性活动突发事件信息进行分析评估，预测发生突发事件的可能性、表现形式、影响区域范围、危害程度以及级别。</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（2）定时向市级专项应急指挥部报告突发事件预测信息和分析评估结果，对相关信息通报工作进行通报。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（3）组织对现场周边内保单位及重点要害部位的安全保卫防护，撤离或者疏散容易受到突发事件危害的人员和重要财产，并妥善安置。检查、调集所需应急处置队伍、物资和装备。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（4）根据实际情况及时采取预防措施，通知应急处置队伍和人员进入待命状态，并视情启动应急响应。</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（5）加强相关舆情监测，做好舆论引导工作。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（6）采取其他法定的防范及应对措施。</w:t>
      </w:r>
    </w:p>
    <w:p>
      <w:pPr>
        <w:pStyle w:val="5"/>
        <w:spacing w:before="0" w:after="0" w:line="600" w:lineRule="exact"/>
        <w:ind w:firstLine="643" w:firstLineChars="200"/>
        <w:rPr>
          <w:rFonts w:ascii="宋体" w:hAnsi="宋体" w:eastAsia="宋体" w:cs="宋体"/>
          <w:sz w:val="32"/>
          <w:szCs w:val="32"/>
        </w:rPr>
      </w:pPr>
      <w:bookmarkStart w:id="285" w:name="_Toc184137035"/>
      <w:bookmarkStart w:id="286" w:name="_Toc6092"/>
      <w:r>
        <w:rPr>
          <w:rFonts w:hint="eastAsia" w:ascii="宋体" w:hAnsi="宋体" w:eastAsia="宋体" w:cs="宋体"/>
          <w:sz w:val="32"/>
          <w:szCs w:val="32"/>
        </w:rPr>
        <w:t>4.3.3.3</w:t>
      </w:r>
      <w:r>
        <w:rPr>
          <w:rFonts w:ascii="宋体" w:hAnsi="宋体" w:eastAsia="宋体" w:cs="宋体"/>
          <w:sz w:val="32"/>
          <w:szCs w:val="32"/>
        </w:rPr>
        <w:t xml:space="preserve"> </w:t>
      </w:r>
      <w:r>
        <w:rPr>
          <w:rFonts w:hint="eastAsia" w:ascii="宋体" w:hAnsi="宋体" w:eastAsia="宋体" w:cs="宋体"/>
          <w:sz w:val="32"/>
          <w:szCs w:val="32"/>
        </w:rPr>
        <w:t>橙色、红色预警</w:t>
      </w:r>
      <w:bookmarkEnd w:id="285"/>
      <w:bookmarkEnd w:id="286"/>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橙色、红色预警发布后，承（主）办单位及其主管部门、区委、区政府、省级专项应急指挥部、省级政府有关部门、应在执行黄色预警措施基础上，采取以下一项或多项措施：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（1）指令应急处置和抢险救援队伍、人员进入待命状态，动员后备人员做好参加应急处置工作的准备。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（2）调集应急处置所需物资、装备及交通工具，准备应急处置，检查应急疏散通道及紧急避险场所，确保处于畅通及良好状态，随时可投入正常使用。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（3）加强对现场周边内保单位、重点要害部位和重要基础设施的安全保卫，维护现场及周边区域治安秩序和交通秩序。</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（4）采取必要措施，确保交通、通信、供水、排水、供电、供气、供热等公共设施的安全和正常运行。</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（5）报请省政府主要领导批准后，及时向社会发布突发事件可能造成的危害，避免或减轻危害的措施。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（6）封闭事发区域，转移、疏散、撤离、安置事发区域及周边人员，转移重要文件、档案、资料及财产等。</w:t>
      </w:r>
    </w:p>
    <w:p>
      <w:pPr>
        <w:spacing w:line="360" w:lineRule="auto"/>
        <w:ind w:firstLine="640" w:firstLineChars="200"/>
        <w:rPr>
          <w:rFonts w:hint="eastAsia"/>
        </w:rPr>
      </w:pPr>
      <w:r>
        <w:rPr>
          <w:rFonts w:hint="eastAsia" w:ascii="仿宋" w:hAnsi="仿宋" w:eastAsia="仿宋"/>
          <w:sz w:val="32"/>
          <w:szCs w:val="32"/>
        </w:rPr>
        <w:t>（7）其他法定的防范及应对措施。</w:t>
      </w:r>
    </w:p>
    <w:p>
      <w:pPr>
        <w:pStyle w:val="4"/>
        <w:spacing w:before="0" w:after="0" w:line="600" w:lineRule="exact"/>
        <w:ind w:firstLine="643" w:firstLineChars="200"/>
        <w:rPr>
          <w:rFonts w:hint="eastAsia" w:ascii="宋体" w:hAnsi="宋体" w:cs="宋体"/>
        </w:rPr>
      </w:pPr>
      <w:bookmarkStart w:id="287" w:name="_Toc25166"/>
      <w:bookmarkStart w:id="288" w:name="_Toc27728"/>
      <w:bookmarkStart w:id="289" w:name="_Toc184137036"/>
      <w:r>
        <w:rPr>
          <w:rFonts w:hint="eastAsia" w:ascii="宋体" w:hAnsi="宋体" w:cs="宋体"/>
        </w:rPr>
        <w:t>4.3.4</w:t>
      </w:r>
      <w:r>
        <w:rPr>
          <w:rFonts w:ascii="宋体" w:hAnsi="宋体" w:cs="宋体"/>
        </w:rPr>
        <w:t xml:space="preserve"> </w:t>
      </w:r>
      <w:r>
        <w:rPr>
          <w:rFonts w:hint="eastAsia" w:ascii="宋体" w:hAnsi="宋体" w:cs="宋体"/>
        </w:rPr>
        <w:t>预警级别调整和解除</w:t>
      </w:r>
      <w:bookmarkEnd w:id="287"/>
      <w:bookmarkEnd w:id="288"/>
      <w:bookmarkEnd w:id="289"/>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预警信息发布后，区应急办要及时汇总分析预警信息，必要时组织相关部门、专业人员进行会商评估，应当根据事态发展情况和采取措施的效果及时提请区委、区政府或上级政府提升或降低预警级别。当判断危险已经消除时，由发布单位宣布解除预警，终止响应措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（1）预警事件发生的风险不存在或已经全部消除；</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（2）预警事件发生的风险已经被有效控制；</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（3）预警范围内的单位已经全部解除预警状态；</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（4）事故已经发生，从预警状态转入应急状态。</w:t>
      </w:r>
    </w:p>
    <w:p>
      <w:pPr>
        <w:pStyle w:val="2"/>
        <w:spacing w:before="0" w:after="0" w:line="600" w:lineRule="exact"/>
        <w:ind w:firstLine="720" w:firstLineChars="200"/>
        <w:rPr>
          <w:rFonts w:hint="eastAsia" w:ascii="黑体" w:hAnsi="黑体" w:eastAsia="黑体" w:cs="黑体"/>
          <w:b w:val="0"/>
          <w:bCs w:val="0"/>
          <w:sz w:val="36"/>
          <w:szCs w:val="36"/>
        </w:rPr>
      </w:pPr>
      <w:bookmarkStart w:id="290" w:name="_Toc485196787"/>
      <w:bookmarkStart w:id="291" w:name="_Toc22902"/>
      <w:bookmarkStart w:id="292" w:name="_Toc23638"/>
      <w:bookmarkStart w:id="293" w:name="_Toc28451"/>
      <w:bookmarkStart w:id="294" w:name="_Toc25717"/>
      <w:bookmarkStart w:id="295" w:name="_Toc30759"/>
      <w:bookmarkStart w:id="296" w:name="_Toc10830"/>
      <w:bookmarkStart w:id="297" w:name="_Toc9866"/>
      <w:bookmarkStart w:id="298" w:name="_Toc184137037"/>
      <w:bookmarkStart w:id="299" w:name="_Toc19302"/>
      <w:bookmarkStart w:id="300" w:name="_Toc24923"/>
      <w:r>
        <w:rPr>
          <w:rFonts w:hint="eastAsia" w:ascii="黑体" w:hAnsi="黑体" w:eastAsia="黑体" w:cs="黑体"/>
          <w:b w:val="0"/>
          <w:bCs w:val="0"/>
          <w:sz w:val="36"/>
          <w:szCs w:val="36"/>
        </w:rPr>
        <w:t>5</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应急响应</w:t>
      </w:r>
      <w:bookmarkEnd w:id="290"/>
      <w:bookmarkEnd w:id="291"/>
      <w:bookmarkEnd w:id="292"/>
      <w:r>
        <w:rPr>
          <w:rFonts w:hint="eastAsia" w:ascii="黑体" w:hAnsi="黑体" w:eastAsia="黑体" w:cs="黑体"/>
          <w:b w:val="0"/>
          <w:bCs w:val="0"/>
          <w:sz w:val="36"/>
          <w:szCs w:val="36"/>
        </w:rPr>
        <w:t>与处置</w:t>
      </w:r>
      <w:bookmarkEnd w:id="293"/>
      <w:bookmarkEnd w:id="294"/>
      <w:bookmarkEnd w:id="295"/>
      <w:bookmarkEnd w:id="296"/>
      <w:bookmarkEnd w:id="297"/>
      <w:bookmarkEnd w:id="298"/>
      <w:bookmarkEnd w:id="299"/>
      <w:bookmarkEnd w:id="300"/>
    </w:p>
    <w:p>
      <w:pPr>
        <w:pStyle w:val="3"/>
        <w:spacing w:before="0" w:after="0" w:line="600" w:lineRule="exact"/>
        <w:ind w:firstLine="643" w:firstLineChars="200"/>
        <w:rPr>
          <w:rFonts w:hint="eastAsia" w:ascii="宋体" w:hAnsi="宋体" w:cs="宋体"/>
        </w:rPr>
      </w:pPr>
      <w:bookmarkStart w:id="301" w:name="_Toc8944"/>
      <w:bookmarkStart w:id="302" w:name="_Toc4992"/>
      <w:bookmarkStart w:id="303" w:name="_Toc21979"/>
      <w:bookmarkStart w:id="304" w:name="_Toc13584"/>
      <w:bookmarkStart w:id="305" w:name="_Toc21961"/>
      <w:bookmarkStart w:id="306" w:name="_Toc7494"/>
      <w:bookmarkStart w:id="307" w:name="_Toc19189"/>
      <w:bookmarkStart w:id="308" w:name="_Toc184137038"/>
      <w:bookmarkStart w:id="309" w:name="_Toc15138"/>
      <w:bookmarkStart w:id="310" w:name="_Toc24993"/>
      <w:bookmarkStart w:id="311" w:name="_Toc18212"/>
      <w:bookmarkStart w:id="312" w:name="_Toc29150"/>
      <w:bookmarkStart w:id="313" w:name="_Toc454961721"/>
      <w:bookmarkStart w:id="314" w:name="_Toc2579"/>
      <w:bookmarkStart w:id="315" w:name="_Toc485196789"/>
      <w:r>
        <w:rPr>
          <w:rFonts w:hint="eastAsia" w:ascii="宋体" w:hAnsi="宋体" w:cs="宋体"/>
        </w:rPr>
        <w:t>5.1</w:t>
      </w:r>
      <w:r>
        <w:rPr>
          <w:rFonts w:ascii="宋体" w:hAnsi="宋体" w:cs="宋体"/>
        </w:rPr>
        <w:t xml:space="preserve"> </w:t>
      </w:r>
      <w:r>
        <w:rPr>
          <w:rFonts w:hint="eastAsia" w:ascii="宋体" w:hAnsi="宋体" w:cs="宋体"/>
        </w:rPr>
        <w:t>信息报告</w:t>
      </w:r>
      <w:bookmarkEnd w:id="301"/>
      <w:bookmarkEnd w:id="302"/>
      <w:bookmarkEnd w:id="303"/>
      <w:bookmarkEnd w:id="304"/>
      <w:bookmarkEnd w:id="305"/>
      <w:bookmarkEnd w:id="306"/>
      <w:bookmarkEnd w:id="307"/>
      <w:bookmarkEnd w:id="308"/>
    </w:p>
    <w:p>
      <w:pPr>
        <w:pStyle w:val="4"/>
        <w:spacing w:before="0" w:after="0" w:line="600" w:lineRule="exact"/>
        <w:ind w:firstLine="643" w:firstLineChars="200"/>
        <w:rPr>
          <w:rFonts w:hint="eastAsia" w:ascii="宋体" w:hAnsi="宋体" w:cs="宋体"/>
        </w:rPr>
      </w:pPr>
      <w:bookmarkStart w:id="316" w:name="_Toc25758"/>
      <w:bookmarkStart w:id="317" w:name="_Toc184137039"/>
      <w:bookmarkStart w:id="318" w:name="_Toc2029"/>
      <w:r>
        <w:rPr>
          <w:rFonts w:hint="eastAsia" w:ascii="宋体" w:hAnsi="宋体" w:cs="宋体"/>
        </w:rPr>
        <w:t>5.1.1</w:t>
      </w:r>
      <w:r>
        <w:rPr>
          <w:rFonts w:ascii="宋体" w:hAnsi="宋体" w:cs="宋体"/>
        </w:rPr>
        <w:t xml:space="preserve"> </w:t>
      </w:r>
      <w:r>
        <w:rPr>
          <w:rFonts w:hint="eastAsia" w:ascii="宋体" w:hAnsi="宋体" w:cs="宋体"/>
        </w:rPr>
        <w:t>信息报告程序和时限</w:t>
      </w:r>
      <w:bookmarkEnd w:id="316"/>
      <w:bookmarkEnd w:id="317"/>
      <w:bookmarkEnd w:id="318"/>
    </w:p>
    <w:p>
      <w:pPr>
        <w:spacing w:line="360" w:lineRule="auto"/>
        <w:ind w:firstLine="640" w:firstLineChars="200"/>
        <w:rPr>
          <w:rFonts w:hint="eastAsia" w:ascii="仿宋" w:hAnsi="仿宋" w:eastAsia="仿宋" w:cs="宋体"/>
          <w:sz w:val="32"/>
          <w:szCs w:val="32"/>
        </w:rPr>
      </w:pPr>
      <w:r>
        <w:rPr>
          <w:rFonts w:hint="eastAsia" w:ascii="仿宋" w:hAnsi="仿宋" w:eastAsia="仿宋"/>
          <w:sz w:val="32"/>
          <w:szCs w:val="32"/>
        </w:rPr>
        <w:t>大型群众性活动突发事件发生后，活动承（主）办单位等</w:t>
      </w:r>
      <w:r>
        <w:rPr>
          <w:rFonts w:hint="eastAsia" w:ascii="仿宋" w:hAnsi="仿宋" w:eastAsia="仿宋" w:cs="宋体"/>
          <w:sz w:val="32"/>
          <w:szCs w:val="32"/>
        </w:rPr>
        <w:t>事故现场有关人员应即报告单位负责人，单位负责人接到报告后，应当立即报告</w:t>
      </w:r>
      <w:r>
        <w:rPr>
          <w:rFonts w:hint="eastAsia" w:ascii="仿宋" w:hAnsi="仿宋" w:eastAsia="仿宋"/>
          <w:sz w:val="32"/>
          <w:szCs w:val="32"/>
        </w:rPr>
        <w:t>区应急办及市公安局海棠分局、区应急管理局、区旅游和文化广电体育局等行业主管部门。</w:t>
      </w:r>
      <w:r>
        <w:rPr>
          <w:rFonts w:hint="eastAsia" w:ascii="仿宋" w:hAnsi="仿宋" w:eastAsia="仿宋" w:cs="宋体"/>
          <w:sz w:val="32"/>
          <w:szCs w:val="32"/>
        </w:rPr>
        <w:t>突发</w:t>
      </w:r>
      <w:r>
        <w:rPr>
          <w:rFonts w:hint="eastAsia" w:ascii="仿宋" w:hAnsi="仿宋" w:eastAsia="仿宋"/>
          <w:sz w:val="32"/>
          <w:szCs w:val="32"/>
        </w:rPr>
        <w:t>事件有可能升级为较大事故时，区应急办和区政府有关行业主管部门接到报告后，分别向省政府应急办公室及省政府有关行业主管部门</w:t>
      </w:r>
      <w:r>
        <w:rPr>
          <w:rFonts w:hint="eastAsia" w:ascii="仿宋" w:hAnsi="仿宋" w:eastAsia="仿宋" w:cs="宋体"/>
          <w:sz w:val="32"/>
          <w:szCs w:val="32"/>
        </w:rPr>
        <w:t>报告。</w:t>
      </w:r>
    </w:p>
    <w:p>
      <w:pPr>
        <w:spacing w:line="360" w:lineRule="auto"/>
        <w:ind w:firstLine="640" w:firstLineChars="200"/>
        <w:rPr>
          <w:rFonts w:hint="eastAsia" w:ascii="仿宋" w:hAnsi="仿宋" w:eastAsia="仿宋"/>
          <w:sz w:val="32"/>
          <w:szCs w:val="32"/>
        </w:rPr>
      </w:pPr>
      <w:r>
        <w:rPr>
          <w:rFonts w:hint="eastAsia" w:ascii="仿宋" w:hAnsi="仿宋" w:eastAsia="仿宋" w:cs="宋体"/>
          <w:sz w:val="32"/>
          <w:szCs w:val="32"/>
        </w:rPr>
        <w:t>电话报告时间不超过半小时，书面报告时间不超过1个小时。事件后续处置情况应及时报告。报告应当按事故的级别逐级上报，</w:t>
      </w:r>
      <w:r>
        <w:rPr>
          <w:rFonts w:hint="eastAsia" w:ascii="仿宋" w:hAnsi="仿宋" w:eastAsia="仿宋"/>
          <w:sz w:val="32"/>
          <w:szCs w:val="32"/>
        </w:rPr>
        <w:t>紧急情况下可越级上报。</w:t>
      </w:r>
    </w:p>
    <w:p>
      <w:pPr>
        <w:pStyle w:val="4"/>
        <w:spacing w:before="0" w:after="0" w:line="600" w:lineRule="exact"/>
        <w:ind w:firstLine="643" w:firstLineChars="200"/>
        <w:rPr>
          <w:rFonts w:hint="eastAsia" w:ascii="宋体" w:hAnsi="宋体" w:cs="宋体"/>
        </w:rPr>
      </w:pPr>
      <w:bookmarkStart w:id="319" w:name="_Toc184137040"/>
      <w:bookmarkStart w:id="320" w:name="_Toc32289"/>
      <w:bookmarkStart w:id="321" w:name="_Toc20472"/>
      <w:r>
        <w:rPr>
          <w:rFonts w:hint="eastAsia" w:ascii="宋体" w:hAnsi="宋体" w:cs="宋体"/>
        </w:rPr>
        <w:t>5.1.2</w:t>
      </w:r>
      <w:r>
        <w:rPr>
          <w:rFonts w:ascii="宋体" w:hAnsi="宋体" w:cs="宋体"/>
        </w:rPr>
        <w:t xml:space="preserve"> </w:t>
      </w:r>
      <w:r>
        <w:rPr>
          <w:rFonts w:hint="eastAsia" w:ascii="宋体" w:hAnsi="宋体" w:cs="宋体"/>
        </w:rPr>
        <w:t>信息报告内容和要求</w:t>
      </w:r>
      <w:bookmarkEnd w:id="319"/>
      <w:bookmarkEnd w:id="320"/>
      <w:bookmarkEnd w:id="321"/>
    </w:p>
    <w:p>
      <w:pPr>
        <w:spacing w:line="360" w:lineRule="auto"/>
        <w:ind w:firstLine="640" w:firstLineChars="200"/>
        <w:rPr>
          <w:rFonts w:hint="eastAsia" w:ascii="仿宋" w:hAnsi="仿宋" w:eastAsia="仿宋" w:cs="宋体"/>
          <w:sz w:val="32"/>
          <w:szCs w:val="32"/>
        </w:rPr>
      </w:pPr>
      <w:r>
        <w:rPr>
          <w:rFonts w:hint="eastAsia" w:ascii="仿宋" w:hAnsi="仿宋" w:eastAsia="仿宋"/>
          <w:sz w:val="32"/>
          <w:szCs w:val="32"/>
        </w:rPr>
        <w:t>报告事故信息应当包括下列内容：大型群众性活动突发事件发生的时间、地点、信息来源、事件类别、基本过程、财产损失、人员伤亡情况（包括失踪人数），初步估计的直接经济损失，对事件的初判级别，已采取的措施，有无次生或衍生危害、周边有无危险源、是否已发出预警信号、是否需疏散群众，需要支援事项和亟需帮助解决的问题，现场负责人姓名、单位和联系电话，其他应当报告的情况</w:t>
      </w:r>
      <w:r>
        <w:rPr>
          <w:rFonts w:hint="eastAsia" w:ascii="仿宋" w:hAnsi="仿宋" w:eastAsia="仿宋" w:cs="宋体"/>
          <w:sz w:val="32"/>
          <w:szCs w:val="32"/>
        </w:rPr>
        <w:t>。</w:t>
      </w:r>
    </w:p>
    <w:p>
      <w:pPr>
        <w:spacing w:line="360" w:lineRule="auto"/>
        <w:ind w:firstLine="640" w:firstLineChars="200"/>
        <w:rPr>
          <w:rFonts w:hint="eastAsia" w:ascii="仿宋" w:hAnsi="仿宋" w:eastAsia="仿宋"/>
          <w:sz w:val="32"/>
          <w:szCs w:val="32"/>
        </w:rPr>
      </w:pPr>
      <w:r>
        <w:rPr>
          <w:rFonts w:hint="eastAsia" w:ascii="仿宋" w:hAnsi="仿宋" w:eastAsia="仿宋" w:cs="宋体"/>
          <w:sz w:val="32"/>
          <w:szCs w:val="32"/>
        </w:rPr>
        <w:t>报告突发事件信息，应当做到及时、客观、真实，不得迟报、谎报、瞒报和漏报。</w:t>
      </w:r>
    </w:p>
    <w:p>
      <w:pPr>
        <w:pStyle w:val="4"/>
        <w:spacing w:before="0" w:after="0" w:line="600" w:lineRule="exact"/>
        <w:ind w:firstLine="643" w:firstLineChars="200"/>
        <w:rPr>
          <w:rFonts w:hint="eastAsia" w:ascii="宋体" w:hAnsi="宋体" w:cs="宋体"/>
        </w:rPr>
      </w:pPr>
      <w:bookmarkStart w:id="322" w:name="_Toc184137041"/>
      <w:bookmarkStart w:id="323" w:name="_Toc19553"/>
      <w:bookmarkStart w:id="324" w:name="_Toc27207"/>
      <w:r>
        <w:rPr>
          <w:rFonts w:hint="eastAsia" w:ascii="宋体" w:hAnsi="宋体" w:cs="宋体"/>
        </w:rPr>
        <w:t>5.1.3</w:t>
      </w:r>
      <w:r>
        <w:rPr>
          <w:rFonts w:ascii="宋体" w:hAnsi="宋体" w:cs="宋体"/>
        </w:rPr>
        <w:t xml:space="preserve"> </w:t>
      </w:r>
      <w:r>
        <w:rPr>
          <w:rFonts w:hint="eastAsia" w:ascii="宋体" w:hAnsi="宋体" w:cs="宋体"/>
        </w:rPr>
        <w:t>事故信息续报</w:t>
      </w:r>
      <w:bookmarkEnd w:id="322"/>
      <w:bookmarkEnd w:id="323"/>
      <w:bookmarkEnd w:id="324"/>
    </w:p>
    <w:p>
      <w:pPr>
        <w:spacing w:line="360" w:lineRule="auto"/>
        <w:ind w:firstLine="640" w:firstLineChars="200"/>
        <w:rPr>
          <w:rFonts w:hint="eastAsia" w:ascii="楷体" w:hAnsi="楷体" w:eastAsia="楷体"/>
          <w:b/>
          <w:sz w:val="32"/>
          <w:szCs w:val="32"/>
          <w:highlight w:val="yellow"/>
        </w:rPr>
      </w:pPr>
      <w:r>
        <w:rPr>
          <w:rFonts w:hint="eastAsia" w:ascii="仿宋" w:hAnsi="仿宋" w:eastAsia="仿宋"/>
          <w:sz w:val="32"/>
          <w:szCs w:val="32"/>
        </w:rPr>
        <w:t>紧急、敏感或存在次生、衍生灾害的信息要边处置、边核实、边报告，最新处置进展情况要及时续报。事故具体情况暂时不清楚的，事故发生单位可以先报事故概况，随后补报事故全面情况。事故信息报告后出现新情况的，应当按照规定及时补报、续报。</w:t>
      </w:r>
    </w:p>
    <w:p>
      <w:pPr>
        <w:pStyle w:val="3"/>
        <w:spacing w:before="0" w:after="0" w:line="600" w:lineRule="exact"/>
        <w:ind w:firstLine="643" w:firstLineChars="200"/>
        <w:rPr>
          <w:rFonts w:hint="eastAsia" w:ascii="宋体" w:hAnsi="宋体" w:cs="宋体"/>
        </w:rPr>
      </w:pPr>
      <w:bookmarkStart w:id="325" w:name="_Toc30519"/>
      <w:bookmarkStart w:id="326" w:name="_Toc184137042"/>
      <w:bookmarkStart w:id="327" w:name="_Toc3255"/>
      <w:bookmarkStart w:id="328" w:name="_Toc18392"/>
      <w:bookmarkStart w:id="329" w:name="_Toc25744"/>
      <w:r>
        <w:rPr>
          <w:rFonts w:hint="eastAsia" w:ascii="宋体" w:hAnsi="宋体" w:cs="宋体"/>
        </w:rPr>
        <w:t>5.2</w:t>
      </w:r>
      <w:bookmarkEnd w:id="309"/>
      <w:bookmarkEnd w:id="310"/>
      <w:bookmarkEnd w:id="311"/>
      <w:bookmarkEnd w:id="312"/>
      <w:bookmarkEnd w:id="313"/>
      <w:bookmarkEnd w:id="314"/>
      <w:bookmarkEnd w:id="315"/>
      <w:r>
        <w:rPr>
          <w:rFonts w:ascii="宋体" w:hAnsi="宋体" w:cs="宋体"/>
        </w:rPr>
        <w:t xml:space="preserve"> </w:t>
      </w:r>
      <w:r>
        <w:rPr>
          <w:rFonts w:hint="eastAsia" w:ascii="宋体" w:hAnsi="宋体" w:cs="宋体"/>
        </w:rPr>
        <w:t>先期处置</w:t>
      </w:r>
      <w:bookmarkEnd w:id="325"/>
      <w:bookmarkEnd w:id="326"/>
      <w:bookmarkEnd w:id="327"/>
      <w:bookmarkEnd w:id="328"/>
      <w:bookmarkEnd w:id="329"/>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按照“谁承办，谁负责”和属地为主的原则，大型群众性活动突发事件现场先期应急处置由区应急指挥部统一组织，大型群众性活动承（主）办单位及主管部门、场馆（所）经营管理单位及主管部门、各成员单位依职责参与应急处置工作。包括组织营救、伤员救治、疏散撤离和妥善安置受威胁的人员，及时上报人员伤亡和财产损失等情况，分配应急处置任务，协调应急抢险救援队伍行动，查明并及时组织力量消除次生、衍生危险源，组织公共设施抢修、援助物资接收与分配等。</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突发事件发生后，区委、区政府及其有关部门负责人要迅速赶赴现场，视情成立现场指挥部，组织、协调、动员专业应急力量和群众进行先期处置，组织专家进行会商，及时对事件性质、类别、危害程度、影响范围、防护措施、发展趋势等进行评估上报，采取措施控制事态发展，严防次生、衍生事件发生。</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区应急指挥部应及时做出启动相应级别应急响应的决定，向社会公布，并向市政府直至省政府报告；必要时，向可能受到危害的毗邻区（市）政府通报。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委、区政府有关部门要立即按照应急响应要求采取措施做好舆情宣传，疏散现场及周边人员，采取措施控制事态发展，严防事态扩大蔓延，严防次生事故，迅速组织开展应急处置、安全保卫和防护等。情况紧急时，及时动员、组织受到事件威胁的人员转移、疏散。并及时向区委、区政府及有关部门、区应急指挥部进行报告。</w:t>
      </w:r>
    </w:p>
    <w:p>
      <w:pPr>
        <w:pStyle w:val="3"/>
        <w:spacing w:before="0" w:after="0" w:line="600" w:lineRule="exact"/>
        <w:ind w:firstLine="643" w:firstLineChars="200"/>
        <w:rPr>
          <w:rFonts w:hint="eastAsia" w:ascii="宋体" w:hAnsi="宋体" w:cs="宋体"/>
        </w:rPr>
      </w:pPr>
      <w:bookmarkStart w:id="330" w:name="_Toc6175"/>
      <w:bookmarkStart w:id="331" w:name="_Toc184137043"/>
      <w:bookmarkStart w:id="332" w:name="_Toc6898"/>
      <w:bookmarkStart w:id="333" w:name="_Toc32740"/>
      <w:bookmarkStart w:id="334" w:name="_Toc24689"/>
      <w:r>
        <w:rPr>
          <w:rFonts w:hint="eastAsia" w:ascii="宋体" w:hAnsi="宋体" w:cs="宋体"/>
        </w:rPr>
        <w:t>5.3</w:t>
      </w:r>
      <w:r>
        <w:rPr>
          <w:rFonts w:ascii="宋体" w:hAnsi="宋体" w:cs="宋体"/>
        </w:rPr>
        <w:t xml:space="preserve"> </w:t>
      </w:r>
      <w:r>
        <w:rPr>
          <w:rFonts w:hint="eastAsia" w:ascii="宋体" w:hAnsi="宋体" w:cs="宋体"/>
        </w:rPr>
        <w:t>分级响应</w:t>
      </w:r>
      <w:bookmarkEnd w:id="330"/>
      <w:bookmarkEnd w:id="331"/>
      <w:bookmarkEnd w:id="332"/>
      <w:bookmarkEnd w:id="333"/>
      <w:bookmarkEnd w:id="334"/>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应急响应坚持属地为主原则，按照大型群众性活动突发事件应急处置等级分别响应。</w:t>
      </w:r>
    </w:p>
    <w:p>
      <w:pPr>
        <w:pStyle w:val="4"/>
        <w:spacing w:before="0" w:after="0" w:line="600" w:lineRule="exact"/>
        <w:ind w:firstLine="643" w:firstLineChars="200"/>
        <w:rPr>
          <w:rFonts w:hint="eastAsia" w:ascii="宋体" w:hAnsi="宋体" w:cs="宋体"/>
        </w:rPr>
      </w:pPr>
      <w:bookmarkStart w:id="335" w:name="_Toc184137044"/>
      <w:bookmarkStart w:id="336" w:name="_Toc4116"/>
      <w:bookmarkStart w:id="337" w:name="_Toc26524"/>
      <w:r>
        <w:rPr>
          <w:rFonts w:hint="eastAsia" w:ascii="宋体" w:hAnsi="宋体" w:cs="宋体"/>
        </w:rPr>
        <w:t>5.3.1</w:t>
      </w:r>
      <w:r>
        <w:rPr>
          <w:rFonts w:ascii="宋体" w:hAnsi="宋体" w:cs="宋体"/>
        </w:rPr>
        <w:t xml:space="preserve"> </w:t>
      </w:r>
      <w:r>
        <w:rPr>
          <w:rFonts w:hint="eastAsia" w:ascii="宋体" w:hAnsi="宋体" w:cs="宋体"/>
        </w:rPr>
        <w:t>四级应急响应</w:t>
      </w:r>
      <w:bookmarkEnd w:id="335"/>
      <w:bookmarkEnd w:id="336"/>
      <w:bookmarkEnd w:id="337"/>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初步分析研判，当发生一般大型群众性活动突发事件，由区应急指挥部立即启动四级应急响应，区委、区政府主要领导或分管领导、有关成员单位分管领导应根据需要赶赴现场，协调组织调动活动承（主）办单位及其主管部门、场馆（所）经营管理单位及主管部门、应急抢险救援队伍和资源进行协同应对处置。同时提请上一级专项应急指挥机构进行协调指导。如超出本区应急能力的，要立即向市政府直至省政府报告。</w:t>
      </w:r>
    </w:p>
    <w:p>
      <w:pPr>
        <w:pStyle w:val="4"/>
        <w:spacing w:before="0" w:after="0" w:line="600" w:lineRule="exact"/>
        <w:ind w:firstLine="643" w:firstLineChars="200"/>
        <w:rPr>
          <w:rFonts w:hint="eastAsia" w:ascii="宋体" w:hAnsi="宋体" w:cs="宋体"/>
        </w:rPr>
      </w:pPr>
      <w:bookmarkStart w:id="338" w:name="_Toc184137045"/>
      <w:bookmarkStart w:id="339" w:name="_Toc24374"/>
      <w:bookmarkStart w:id="340" w:name="_Toc5861"/>
      <w:r>
        <w:rPr>
          <w:rFonts w:hint="eastAsia" w:ascii="宋体" w:hAnsi="宋体" w:cs="宋体"/>
        </w:rPr>
        <w:t>5.3.2</w:t>
      </w:r>
      <w:r>
        <w:rPr>
          <w:rFonts w:ascii="宋体" w:hAnsi="宋体" w:cs="宋体"/>
        </w:rPr>
        <w:t xml:space="preserve"> </w:t>
      </w:r>
      <w:r>
        <w:rPr>
          <w:rFonts w:hint="eastAsia" w:ascii="宋体" w:hAnsi="宋体" w:cs="宋体"/>
        </w:rPr>
        <w:t>三级、二级、一级应急响应</w:t>
      </w:r>
      <w:bookmarkEnd w:id="338"/>
      <w:bookmarkEnd w:id="339"/>
      <w:bookmarkEnd w:id="340"/>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初步分析研判，当发生较大、重大、特别重大突发事件，或发生一般突发事件，有可能引发次生、衍生灾害、人员伤亡和财产损失较多的事件等时，区应急指挥部立即启动本预案，立即向区委、区政府报告，区委、区政府同时立即上报市政府直至省政府请求增援，并建议启动市级以上应急预案响应程序。</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委、区政府主要领导或分管领导、有关成员单位分管领导应根据需要赶赴现场后，听令启动三级以上应急响应时，区应急指挥部按照上级应急指挥机构的统一部署和要求组织先期处置，协调组织调动活动承（主）办单位及其主管部门、场馆（所）经营管理单位及主管部门、应急抢险救援队伍和资源进行协同应对处置。上级工作组到达现场后，区级与其对接，做好配合与协调工作。</w:t>
      </w:r>
    </w:p>
    <w:p>
      <w:pPr>
        <w:pStyle w:val="3"/>
        <w:spacing w:before="0" w:after="0" w:line="600" w:lineRule="exact"/>
        <w:ind w:firstLine="643" w:firstLineChars="200"/>
        <w:rPr>
          <w:rFonts w:hint="eastAsia" w:ascii="宋体" w:hAnsi="宋体" w:cs="宋体"/>
        </w:rPr>
      </w:pPr>
      <w:bookmarkStart w:id="341" w:name="_Toc1828"/>
      <w:bookmarkStart w:id="342" w:name="_Toc6038"/>
      <w:bookmarkStart w:id="343" w:name="_Toc24038"/>
      <w:bookmarkStart w:id="344" w:name="_Toc31285"/>
      <w:bookmarkStart w:id="345" w:name="_Toc20846"/>
      <w:bookmarkStart w:id="346" w:name="_Toc21671"/>
      <w:bookmarkStart w:id="347" w:name="_Toc29533"/>
      <w:bookmarkStart w:id="348" w:name="_Toc184137046"/>
      <w:r>
        <w:rPr>
          <w:rFonts w:hint="eastAsia" w:ascii="宋体" w:hAnsi="宋体" w:cs="宋体"/>
        </w:rPr>
        <w:t>5.</w:t>
      </w:r>
      <w:bookmarkEnd w:id="341"/>
      <w:bookmarkEnd w:id="342"/>
      <w:bookmarkEnd w:id="343"/>
      <w:r>
        <w:rPr>
          <w:rFonts w:hint="eastAsia" w:ascii="宋体" w:hAnsi="宋体" w:cs="宋体"/>
        </w:rPr>
        <w:t>4</w:t>
      </w:r>
      <w:r>
        <w:rPr>
          <w:rFonts w:ascii="宋体" w:hAnsi="宋体" w:cs="宋体"/>
        </w:rPr>
        <w:t xml:space="preserve"> </w:t>
      </w:r>
      <w:r>
        <w:rPr>
          <w:rFonts w:hint="eastAsia" w:ascii="宋体" w:hAnsi="宋体" w:cs="宋体"/>
        </w:rPr>
        <w:t>应急处置措施</w:t>
      </w:r>
      <w:bookmarkEnd w:id="344"/>
      <w:bookmarkEnd w:id="345"/>
      <w:bookmarkEnd w:id="346"/>
      <w:bookmarkEnd w:id="347"/>
      <w:bookmarkEnd w:id="348"/>
    </w:p>
    <w:p>
      <w:pPr>
        <w:spacing w:line="360" w:lineRule="auto"/>
        <w:ind w:firstLine="640" w:firstLineChars="200"/>
        <w:rPr>
          <w:rFonts w:hint="eastAsia" w:ascii="仿宋" w:hAnsi="仿宋" w:eastAsia="仿宋"/>
          <w:sz w:val="32"/>
          <w:szCs w:val="32"/>
        </w:rPr>
      </w:pPr>
      <w:bookmarkStart w:id="349" w:name="_Toc454961727"/>
      <w:bookmarkStart w:id="350" w:name="_Toc31596"/>
      <w:bookmarkStart w:id="351" w:name="_Toc5064"/>
      <w:bookmarkStart w:id="352" w:name="_Toc3038"/>
      <w:bookmarkStart w:id="353" w:name="_Toc22818"/>
      <w:bookmarkStart w:id="354" w:name="_Toc485196795"/>
      <w:bookmarkStart w:id="355" w:name="_Toc4898"/>
      <w:r>
        <w:rPr>
          <w:rFonts w:hint="eastAsia" w:ascii="仿宋" w:hAnsi="仿宋" w:eastAsia="仿宋"/>
          <w:sz w:val="32"/>
          <w:szCs w:val="32"/>
        </w:rPr>
        <w:t>根据实际情况，现场指挥部可采取以下一项或多项措施进行应急处置：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交通疏导和管制。因大型群众性活动突发事件导致城镇道路无法正常通行，应及时对事件影响路段采取交通疏导、调流等措施，必要时实施交通管制，预防次生、衍生事件发生。因抢险救援需要占用道路时，在确保抢险工作正常开展的前提下，对所占用道路进行交通疏导或管制。在实施抢险过程中，应为赴现场参与抢险车辆和医疗救护车辆设立专用通道，提供通行保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设置警戒区域及现场秩序维护。根据现场应急处置及抢险救援作业范围，组织对现场及周边，以及事件涉及区域内的水、电、气、热站点管线设置警戒区域，加强守护，对进入现场的人员实施控制，做好抢险现场及周边的治安秩序维护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消除抢险救援阻碍。因大型群众性活动突发事件导致火灾，水、电、气、热管线损坏等次生事件，阻碍抢险救援工作正常开展时，应立即组织实施灭火，受损管线主管部门应立即协调关闭危险源，为开展抢险救援工作创造条件。因建筑物、构筑物及其他障碍物阻碍抢险救援开展时，现场指挥部及时与产权单位协调会商，根据实际情况对影响应急处置及抢险救援的建筑物、构筑物或其他障碍物实施拆除。应急处置及抢险救援不利影响消除后，各单位应加快推进抢险救援各项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抢修受损管线设施。因突发事件导致水、电、气、热及通信电缆等管线设施损坏，在不影响抢险救援工作正常开展的前提下，立即组织对损坏的管线进行抢修。因管线关停对周边单位或居民生产生活造成影响，且短时难以恢复的，水、电、气、热及通信等单位应立即核实受影响范围，制定临时措施方案，为受影响范围内的单位和居民提供临时供水、供电等。不能提供临时供应的，相关管线行政主管部门应向受影响范围的单位和居民做好沟通、解释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风险源监测。根据事件性质、险情状况及应急处置和抢险救援需要，现场指挥部立即组织有关部门和专业监测机构，对事件现场及受影响范围的建筑物、构筑物、环境、地形等情况进行监测，并将监测情况及时提交现场指挥部专家组。</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（6）专家会商。现场指挥部专家组针对应急处置和抢险救援中出现的技术类问题或风险源监测到的不良数据，及时进行会商，形成专家意见，确定解决方案，并指导相关单位实施。</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人员营救。承担抢险救援任务的各单位应尽可能用最短时间和最为安全的方式，对现场群众进行疏散，对受困或受伤人员开展营救。根据需要，可协调动用搜救犬、生命探测仪等手段辅助实施营救，各相关单位应为营救受困和受伤人员提供支持。</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（8）救护、转运受伤人员。第一时间营救伤员，第一时间进行检伤分类、科学救治。有关部门应根据需要为转运工作提供交通便利。</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（9）人员转移避险和临时安置。当大型群众性活动突发事件对现场或周边建筑物、构筑物安全造成影响时，根据实际情况组织将危险建筑物内的人员转移到安全区域避险，必要时对转移避险人员实施临时安置。</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（10）公共交通运营调整。因大型群众性活动突发事件造成公共交通运行中断且一时又无法恢复的，应根据实际情况及时组织公共交通运营单位制定运营线路或运行时段调整方案，并及时向社会公布信息。</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（11）救援队伍、物资调用。综合协调组牵头，区政府及相关部门按照分级处置、就近调用的原则，组织救援队伍、调用救援物资，开展应急抢险工作。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12）家属接待。事件活动承（主）办单位及其主管部门和事发街道办事处要做好事件伤亡人员家属接待工作，主动为家属提供相应的后勤保障，做好安抚和思想工作。避免事件伤亡人员家属干扰抢险工作正常开展。</w:t>
      </w:r>
    </w:p>
    <w:p>
      <w:pPr>
        <w:spacing w:line="360" w:lineRule="auto"/>
        <w:ind w:firstLine="640" w:firstLineChars="200"/>
        <w:rPr>
          <w:rFonts w:hint="eastAsia" w:ascii="楷体" w:hAnsi="楷体" w:eastAsia="楷体"/>
          <w:b/>
          <w:sz w:val="32"/>
          <w:szCs w:val="32"/>
        </w:rPr>
      </w:pPr>
      <w:r>
        <w:rPr>
          <w:rFonts w:hint="eastAsia" w:ascii="仿宋" w:hAnsi="仿宋" w:eastAsia="仿宋"/>
          <w:sz w:val="32"/>
          <w:szCs w:val="32"/>
        </w:rPr>
        <w:t>（13）现场应急指挥部根据应急处置工作需要，采取法律法规规定的其他应急救援和防护措施。</w:t>
      </w:r>
    </w:p>
    <w:p>
      <w:pPr>
        <w:pStyle w:val="3"/>
        <w:spacing w:before="0" w:after="0" w:line="600" w:lineRule="exact"/>
        <w:ind w:firstLine="643" w:firstLineChars="200"/>
        <w:rPr>
          <w:rFonts w:hint="eastAsia" w:ascii="宋体" w:hAnsi="宋体" w:cs="宋体"/>
        </w:rPr>
      </w:pPr>
      <w:bookmarkStart w:id="356" w:name="_Toc184137047"/>
      <w:bookmarkStart w:id="357" w:name="_Toc24079"/>
      <w:bookmarkStart w:id="358" w:name="_Toc16327"/>
      <w:bookmarkStart w:id="359" w:name="_Toc32298"/>
      <w:bookmarkStart w:id="360" w:name="_Toc29770"/>
      <w:r>
        <w:rPr>
          <w:rFonts w:hint="eastAsia" w:ascii="宋体" w:hAnsi="宋体" w:cs="宋体"/>
        </w:rPr>
        <w:t>5.5</w:t>
      </w:r>
      <w:bookmarkEnd w:id="349"/>
      <w:bookmarkEnd w:id="350"/>
      <w:bookmarkEnd w:id="351"/>
      <w:bookmarkEnd w:id="352"/>
      <w:bookmarkEnd w:id="353"/>
      <w:bookmarkEnd w:id="354"/>
      <w:bookmarkEnd w:id="355"/>
      <w:r>
        <w:rPr>
          <w:rFonts w:ascii="宋体" w:hAnsi="宋体" w:cs="宋体"/>
        </w:rPr>
        <w:t xml:space="preserve"> </w:t>
      </w:r>
      <w:r>
        <w:rPr>
          <w:rFonts w:hint="eastAsia" w:ascii="宋体" w:hAnsi="宋体" w:cs="宋体"/>
        </w:rPr>
        <w:t>扩大响应</w:t>
      </w:r>
      <w:bookmarkEnd w:id="356"/>
      <w:bookmarkEnd w:id="357"/>
      <w:bookmarkEnd w:id="358"/>
      <w:bookmarkEnd w:id="359"/>
      <w:bookmarkEnd w:id="360"/>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如果大型群众性活动突发事件的事态进一步扩大，或者突发事件已经直接或间接造成巨大损失，由区应急指挥部向上级专项应急指挥部提出建议，请求有关方面支援。</w:t>
      </w:r>
    </w:p>
    <w:p>
      <w:pPr>
        <w:pStyle w:val="3"/>
        <w:spacing w:before="0" w:after="0" w:line="600" w:lineRule="exact"/>
        <w:ind w:firstLine="643" w:firstLineChars="200"/>
        <w:rPr>
          <w:rFonts w:hint="eastAsia" w:ascii="宋体" w:hAnsi="宋体" w:cs="宋体"/>
        </w:rPr>
      </w:pPr>
      <w:bookmarkStart w:id="361" w:name="_Toc10653"/>
      <w:bookmarkStart w:id="362" w:name="_Toc16509"/>
      <w:bookmarkStart w:id="363" w:name="_Toc5995"/>
      <w:bookmarkStart w:id="364" w:name="_Toc184137048"/>
      <w:bookmarkStart w:id="365" w:name="_Toc26891"/>
      <w:r>
        <w:rPr>
          <w:rFonts w:hint="eastAsia" w:ascii="宋体" w:hAnsi="宋体" w:cs="宋体"/>
        </w:rPr>
        <w:t>5.6</w:t>
      </w:r>
      <w:r>
        <w:rPr>
          <w:rFonts w:ascii="宋体" w:hAnsi="宋体" w:cs="宋体"/>
        </w:rPr>
        <w:t xml:space="preserve"> </w:t>
      </w:r>
      <w:r>
        <w:rPr>
          <w:rFonts w:hint="eastAsia" w:ascii="宋体" w:hAnsi="宋体" w:cs="宋体"/>
        </w:rPr>
        <w:t>应急联动</w:t>
      </w:r>
      <w:bookmarkEnd w:id="361"/>
      <w:bookmarkEnd w:id="362"/>
      <w:bookmarkEnd w:id="363"/>
      <w:bookmarkEnd w:id="364"/>
      <w:bookmarkEnd w:id="365"/>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大型群众性活动突发事件发生后，区委、区政府、区应急指挥部之间应加强配合，明确值守应急通信联络方式、信息报送要求、队伍物资调动程序等，形成联动，提高应急处置工作效率；必要时，商请驻辖区部队、社会公众、友邻地区等进行合作，配合大型群众性活动突发事件的应急处置或抢险救援等工作。</w:t>
      </w:r>
    </w:p>
    <w:p>
      <w:pPr>
        <w:pStyle w:val="3"/>
        <w:spacing w:before="0" w:after="0" w:line="600" w:lineRule="exact"/>
        <w:ind w:firstLine="643" w:firstLineChars="200"/>
        <w:rPr>
          <w:rFonts w:hint="eastAsia" w:ascii="宋体" w:hAnsi="宋体" w:cs="宋体"/>
        </w:rPr>
      </w:pPr>
      <w:bookmarkStart w:id="366" w:name="_Toc15662"/>
      <w:bookmarkStart w:id="367" w:name="_Toc184137049"/>
      <w:bookmarkStart w:id="368" w:name="_Toc728"/>
      <w:bookmarkStart w:id="369" w:name="_Toc25116"/>
      <w:bookmarkStart w:id="370" w:name="_Toc11662"/>
      <w:r>
        <w:rPr>
          <w:rFonts w:hint="eastAsia" w:ascii="宋体" w:hAnsi="宋体" w:cs="宋体"/>
        </w:rPr>
        <w:t>5.7</w:t>
      </w:r>
      <w:r>
        <w:rPr>
          <w:rFonts w:ascii="宋体" w:hAnsi="宋体" w:cs="宋体"/>
        </w:rPr>
        <w:t xml:space="preserve"> </w:t>
      </w:r>
      <w:r>
        <w:rPr>
          <w:rFonts w:hint="eastAsia" w:ascii="宋体" w:hAnsi="宋体" w:cs="宋体"/>
        </w:rPr>
        <w:t>社会动员</w:t>
      </w:r>
      <w:bookmarkEnd w:id="366"/>
      <w:bookmarkEnd w:id="367"/>
      <w:bookmarkEnd w:id="368"/>
      <w:bookmarkEnd w:id="369"/>
      <w:bookmarkEnd w:id="370"/>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区应急指挥部应根据处置需要，通过广播、电视、报纸、网站、户外显示屏、短信等向社会公众发布应对工作提示。</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委、区政府或区应急指挥部可根据大型群众性活动突发事件的性质、危害程度和范围，调动社会力量参与大型群众性活动突发事件的处置和抢险救援。组织各方面力量实施抢险救助，组织基层单位和人员开展自救和互救。紧急情况下可依法征用、调用车辆、物资、人员等。</w:t>
      </w:r>
    </w:p>
    <w:p>
      <w:pPr>
        <w:pStyle w:val="3"/>
        <w:spacing w:before="0" w:after="0" w:line="600" w:lineRule="exact"/>
        <w:ind w:firstLine="643" w:firstLineChars="200"/>
        <w:rPr>
          <w:rFonts w:hint="eastAsia" w:ascii="宋体" w:hAnsi="宋体" w:cs="宋体"/>
        </w:rPr>
      </w:pPr>
      <w:bookmarkStart w:id="371" w:name="_Toc10768"/>
      <w:bookmarkStart w:id="372" w:name="_Toc30865"/>
      <w:bookmarkStart w:id="373" w:name="_Toc184137050"/>
      <w:bookmarkStart w:id="374" w:name="_Toc30520"/>
      <w:bookmarkStart w:id="375" w:name="_Toc32030"/>
      <w:r>
        <w:rPr>
          <w:rFonts w:hint="eastAsia" w:ascii="宋体" w:hAnsi="宋体" w:cs="宋体"/>
        </w:rPr>
        <w:t>5.8</w:t>
      </w:r>
      <w:r>
        <w:rPr>
          <w:rFonts w:ascii="宋体" w:hAnsi="宋体" w:cs="宋体"/>
        </w:rPr>
        <w:t xml:space="preserve"> </w:t>
      </w:r>
      <w:r>
        <w:rPr>
          <w:rFonts w:hint="eastAsia" w:ascii="宋体" w:hAnsi="宋体" w:cs="宋体"/>
        </w:rPr>
        <w:t>信息发布</w:t>
      </w:r>
      <w:bookmarkEnd w:id="371"/>
      <w:bookmarkEnd w:id="372"/>
      <w:bookmarkEnd w:id="373"/>
      <w:bookmarkEnd w:id="374"/>
      <w:bookmarkEnd w:id="375"/>
    </w:p>
    <w:p>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大型群众性活动突发事件的信息发布应当遵循依法、及时、准确、客观的原则。区委、区政府、区应急指挥部要在大型群众性活动突发事件发生后及时向社会发布基本情况，随后发布初步核实情况、事态进展、政府应对措施和公众安全防范措施等，根据事件处置情况做好后续发布工作。区党委、区政府应加强网络媒体和移动新媒体信息管理对舆情进行有效管控，必要时通过申请批准，紧急情况下可协调网络运营企业、供电部门，采取断网、断电措施。区应急指挥部要组织做好网络和媒体的舆情引导，及时回应群众关切问题。</w:t>
      </w:r>
    </w:p>
    <w:p>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一般突发事件的信息发布由区政府负责发布，较大及以上突发事件信息发布由市政府、省政府等上级政府组织发布。</w:t>
      </w:r>
    </w:p>
    <w:p>
      <w:pPr>
        <w:pStyle w:val="3"/>
        <w:spacing w:before="0" w:after="0" w:line="600" w:lineRule="exact"/>
        <w:ind w:firstLine="643" w:firstLineChars="200"/>
        <w:rPr>
          <w:rFonts w:hint="eastAsia" w:ascii="宋体" w:hAnsi="宋体" w:cs="宋体"/>
        </w:rPr>
      </w:pPr>
      <w:bookmarkStart w:id="376" w:name="_Toc485196796"/>
      <w:bookmarkStart w:id="377" w:name="_Toc454961728"/>
      <w:bookmarkStart w:id="378" w:name="_Toc955"/>
      <w:bookmarkStart w:id="379" w:name="_Toc2965"/>
      <w:bookmarkStart w:id="380" w:name="_Toc14878"/>
      <w:bookmarkStart w:id="381" w:name="_Toc184137051"/>
      <w:bookmarkStart w:id="382" w:name="_Toc3766"/>
      <w:bookmarkStart w:id="383" w:name="_Toc240"/>
      <w:bookmarkStart w:id="384" w:name="_Toc25608"/>
      <w:bookmarkStart w:id="385" w:name="_Toc26672"/>
      <w:bookmarkStart w:id="386" w:name="_Toc16952"/>
      <w:bookmarkStart w:id="387" w:name="_Toc2747"/>
      <w:r>
        <w:rPr>
          <w:rFonts w:hint="eastAsia" w:ascii="宋体" w:hAnsi="宋体" w:cs="宋体"/>
        </w:rPr>
        <w:t>5.9</w:t>
      </w:r>
      <w:r>
        <w:rPr>
          <w:rFonts w:ascii="宋体" w:hAnsi="宋体" w:cs="宋体"/>
        </w:rPr>
        <w:t xml:space="preserve"> </w:t>
      </w:r>
      <w:r>
        <w:rPr>
          <w:rFonts w:hint="eastAsia" w:ascii="宋体" w:hAnsi="宋体" w:cs="宋体"/>
        </w:rPr>
        <w:t>应急响应</w:t>
      </w:r>
      <w:bookmarkEnd w:id="376"/>
      <w:bookmarkEnd w:id="377"/>
      <w:bookmarkEnd w:id="378"/>
      <w:bookmarkEnd w:id="379"/>
      <w:r>
        <w:rPr>
          <w:rFonts w:hint="eastAsia" w:ascii="宋体" w:hAnsi="宋体" w:cs="宋体"/>
        </w:rPr>
        <w:t>终止</w:t>
      </w:r>
      <w:bookmarkEnd w:id="380"/>
      <w:bookmarkEnd w:id="381"/>
      <w:bookmarkEnd w:id="382"/>
      <w:bookmarkEnd w:id="383"/>
      <w:bookmarkEnd w:id="384"/>
      <w:bookmarkEnd w:id="385"/>
      <w:bookmarkEnd w:id="386"/>
      <w:bookmarkEnd w:id="387"/>
    </w:p>
    <w:p>
      <w:pPr>
        <w:pStyle w:val="7"/>
        <w:spacing w:after="0" w:line="360" w:lineRule="auto"/>
        <w:ind w:firstLine="640" w:firstLineChars="200"/>
        <w:rPr>
          <w:rFonts w:hint="eastAsia" w:ascii="仿宋" w:hAnsi="仿宋" w:eastAsia="仿宋"/>
          <w:sz w:val="32"/>
        </w:rPr>
      </w:pPr>
      <w:r>
        <w:rPr>
          <w:rFonts w:hint="eastAsia" w:ascii="仿宋" w:hAnsi="仿宋" w:eastAsia="仿宋"/>
          <w:sz w:val="32"/>
          <w:szCs w:val="32"/>
        </w:rPr>
        <w:t>按照“谁启动，谁终止”的原则，</w:t>
      </w:r>
      <w:r>
        <w:rPr>
          <w:rFonts w:hint="eastAsia" w:ascii="仿宋" w:hAnsi="仿宋" w:eastAsia="仿宋"/>
          <w:sz w:val="32"/>
        </w:rPr>
        <w:t>现场险情得到控制，事故伤亡情况已核实清楚，被困人员被解救，受伤人员已全部安排救治，死亡人员遗体已得到妥善处置，导致次生、衍生事故的隐患消除后，经现场指挥部确认，并报告区应急指挥部批准后，由现场指挥部宣布应急结束，应急救援队伍撤离现场，应急响应终止。</w:t>
      </w:r>
    </w:p>
    <w:p>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宣布应急状态结束后，相关部门和单位应按照有关要求及时补充应急救援物资和设备，做好应急准备。</w:t>
      </w:r>
    </w:p>
    <w:p>
      <w:pPr>
        <w:pStyle w:val="2"/>
        <w:spacing w:before="0" w:after="0" w:line="600" w:lineRule="exact"/>
        <w:ind w:firstLine="720" w:firstLineChars="200"/>
        <w:rPr>
          <w:rFonts w:hint="eastAsia" w:ascii="黑体" w:hAnsi="黑体" w:eastAsia="黑体" w:cs="黑体"/>
          <w:b w:val="0"/>
          <w:bCs w:val="0"/>
          <w:sz w:val="36"/>
          <w:szCs w:val="36"/>
        </w:rPr>
      </w:pPr>
      <w:bookmarkStart w:id="388" w:name="_Toc8675"/>
      <w:bookmarkStart w:id="389" w:name="_Toc184137052"/>
      <w:bookmarkStart w:id="390" w:name="_Toc21173"/>
      <w:bookmarkStart w:id="391" w:name="_Toc29261"/>
      <w:bookmarkStart w:id="392" w:name="_Toc25023"/>
      <w:bookmarkStart w:id="393" w:name="_Toc5273"/>
      <w:bookmarkStart w:id="394" w:name="_Toc13855"/>
      <w:bookmarkStart w:id="395" w:name="_Toc2357"/>
      <w:bookmarkStart w:id="396" w:name="_Toc454961729"/>
      <w:bookmarkStart w:id="397" w:name="_Toc20842"/>
      <w:bookmarkStart w:id="398" w:name="_Toc485196797"/>
      <w:bookmarkStart w:id="399" w:name="_Toc19387"/>
      <w:r>
        <w:rPr>
          <w:rFonts w:hint="eastAsia" w:ascii="黑体" w:hAnsi="黑体" w:eastAsia="黑体" w:cs="黑体"/>
          <w:b w:val="0"/>
          <w:bCs w:val="0"/>
          <w:sz w:val="36"/>
          <w:szCs w:val="36"/>
        </w:rPr>
        <w:t>6</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后期处置</w:t>
      </w:r>
      <w:bookmarkEnd w:id="388"/>
      <w:bookmarkEnd w:id="389"/>
      <w:bookmarkEnd w:id="390"/>
      <w:bookmarkEnd w:id="391"/>
      <w:bookmarkEnd w:id="392"/>
      <w:bookmarkEnd w:id="393"/>
      <w:bookmarkEnd w:id="394"/>
      <w:bookmarkEnd w:id="395"/>
      <w:bookmarkEnd w:id="396"/>
      <w:bookmarkEnd w:id="397"/>
      <w:bookmarkEnd w:id="398"/>
      <w:bookmarkEnd w:id="399"/>
    </w:p>
    <w:p>
      <w:pPr>
        <w:pStyle w:val="3"/>
        <w:spacing w:before="0" w:after="0" w:line="600" w:lineRule="exact"/>
        <w:ind w:firstLine="643" w:firstLineChars="200"/>
        <w:rPr>
          <w:rFonts w:hint="eastAsia" w:ascii="宋体" w:hAnsi="宋体" w:cs="宋体"/>
        </w:rPr>
      </w:pPr>
      <w:bookmarkStart w:id="400" w:name="_Toc30498"/>
      <w:bookmarkStart w:id="401" w:name="_Toc21802"/>
      <w:bookmarkStart w:id="402" w:name="_Toc3497"/>
      <w:bookmarkStart w:id="403" w:name="_Toc454961730"/>
      <w:bookmarkStart w:id="404" w:name="_Toc485196798"/>
      <w:bookmarkStart w:id="405" w:name="_Toc522"/>
      <w:bookmarkStart w:id="406" w:name="_Toc7945"/>
      <w:bookmarkStart w:id="407" w:name="_Toc10841"/>
      <w:bookmarkStart w:id="408" w:name="_Toc15729"/>
      <w:bookmarkStart w:id="409" w:name="_Toc24433"/>
      <w:bookmarkStart w:id="410" w:name="_Toc20513"/>
      <w:bookmarkStart w:id="411" w:name="_Toc184137053"/>
      <w:r>
        <w:rPr>
          <w:rFonts w:hint="eastAsia" w:ascii="宋体" w:hAnsi="宋体" w:cs="宋体"/>
        </w:rPr>
        <w:t>6.1</w:t>
      </w:r>
      <w:r>
        <w:rPr>
          <w:rFonts w:ascii="宋体" w:hAnsi="宋体" w:cs="宋体"/>
        </w:rPr>
        <w:t xml:space="preserve"> </w:t>
      </w:r>
      <w:r>
        <w:rPr>
          <w:rFonts w:hint="eastAsia" w:ascii="宋体" w:hAnsi="宋体" w:cs="宋体"/>
        </w:rPr>
        <w:t>善后处置</w:t>
      </w:r>
      <w:bookmarkEnd w:id="400"/>
      <w:bookmarkEnd w:id="401"/>
      <w:bookmarkEnd w:id="402"/>
      <w:bookmarkEnd w:id="403"/>
      <w:bookmarkEnd w:id="404"/>
      <w:bookmarkEnd w:id="405"/>
      <w:bookmarkEnd w:id="406"/>
      <w:bookmarkEnd w:id="407"/>
      <w:bookmarkEnd w:id="408"/>
      <w:bookmarkEnd w:id="409"/>
      <w:bookmarkEnd w:id="410"/>
      <w:bookmarkEnd w:id="411"/>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委、区政府或区应急指挥部领导组织善后处置组实施善后处置工作，有关部门积极配合，包括人员安置、补偿，征用物资补偿，灾后重建，以及疾病预防与控制，污染物收集、清理与处理等事项。尽快消除事故灾难后果的不利影响，安抚受害和受影响人员，保证社会稳定，尽快恢复正常生活生产秩序。</w:t>
      </w:r>
      <w:bookmarkStart w:id="412" w:name="_Toc485196799"/>
      <w:bookmarkStart w:id="413" w:name="_Toc454961731"/>
    </w:p>
    <w:p>
      <w:pPr>
        <w:pStyle w:val="3"/>
        <w:spacing w:before="0" w:after="0" w:line="600" w:lineRule="exact"/>
        <w:ind w:firstLine="643" w:firstLineChars="200"/>
        <w:rPr>
          <w:rFonts w:hint="eastAsia" w:ascii="宋体" w:hAnsi="宋体" w:cs="宋体"/>
        </w:rPr>
      </w:pPr>
      <w:bookmarkStart w:id="414" w:name="_Toc22961"/>
      <w:bookmarkStart w:id="415" w:name="_Toc2128"/>
      <w:bookmarkStart w:id="416" w:name="_Toc31199"/>
      <w:bookmarkStart w:id="417" w:name="_Toc5264"/>
      <w:bookmarkStart w:id="418" w:name="_Toc2345"/>
      <w:bookmarkStart w:id="419" w:name="_Toc18064"/>
      <w:bookmarkStart w:id="420" w:name="_Toc7539"/>
      <w:bookmarkStart w:id="421" w:name="_Toc31153"/>
      <w:bookmarkStart w:id="422" w:name="_Toc184137054"/>
      <w:bookmarkStart w:id="423" w:name="_Toc30976"/>
      <w:r>
        <w:rPr>
          <w:rFonts w:hint="eastAsia" w:ascii="宋体" w:hAnsi="宋体" w:cs="宋体"/>
        </w:rPr>
        <w:t>6.2</w:t>
      </w:r>
      <w:r>
        <w:rPr>
          <w:rFonts w:ascii="宋体" w:hAnsi="宋体" w:cs="宋体"/>
        </w:rPr>
        <w:t xml:space="preserve"> </w:t>
      </w:r>
      <w:r>
        <w:rPr>
          <w:rFonts w:hint="eastAsia" w:ascii="宋体" w:hAnsi="宋体" w:cs="宋体"/>
        </w:rPr>
        <w:t>保险及社会救助</w:t>
      </w:r>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突发事件发生后，保险监管机构应督促各类保险经办机构积极履行保险责任，迅速开展保险理赔工作。</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区政府应当制定救济方案，明确职能部门的救济职责和受害人员申请救济的程序，确保事故灾难发生后，救济工作及时到位。还应当制定事故法律援助方案，为受害人向事故责任单位或者个人索赔提供法律援助。</w:t>
      </w:r>
    </w:p>
    <w:p>
      <w:pPr>
        <w:pStyle w:val="3"/>
        <w:spacing w:before="0" w:after="0" w:line="600" w:lineRule="exact"/>
        <w:ind w:firstLine="643" w:firstLineChars="200"/>
        <w:rPr>
          <w:rFonts w:hint="eastAsia" w:ascii="宋体" w:hAnsi="宋体" w:cs="宋体"/>
        </w:rPr>
      </w:pPr>
      <w:bookmarkStart w:id="424" w:name="_Toc454961732"/>
      <w:bookmarkStart w:id="425" w:name="_Toc485196800"/>
      <w:bookmarkStart w:id="426" w:name="_Toc25250"/>
      <w:bookmarkStart w:id="427" w:name="_Toc20036"/>
      <w:bookmarkStart w:id="428" w:name="_Toc10090"/>
      <w:bookmarkStart w:id="429" w:name="_Toc5835"/>
      <w:bookmarkStart w:id="430" w:name="_Toc6145"/>
      <w:bookmarkStart w:id="431" w:name="_Toc7064"/>
      <w:bookmarkStart w:id="432" w:name="_Toc19883"/>
      <w:bookmarkStart w:id="433" w:name="_Toc184137055"/>
      <w:bookmarkStart w:id="434" w:name="_Toc8017"/>
      <w:bookmarkStart w:id="435" w:name="_Toc28535"/>
      <w:r>
        <w:rPr>
          <w:rFonts w:hint="eastAsia" w:ascii="宋体" w:hAnsi="宋体" w:cs="宋体"/>
        </w:rPr>
        <w:t>6.3</w:t>
      </w:r>
      <w:bookmarkEnd w:id="424"/>
      <w:bookmarkEnd w:id="425"/>
      <w:bookmarkEnd w:id="426"/>
      <w:bookmarkEnd w:id="427"/>
      <w:bookmarkEnd w:id="428"/>
      <w:bookmarkEnd w:id="429"/>
      <w:bookmarkEnd w:id="430"/>
      <w:r>
        <w:rPr>
          <w:rFonts w:ascii="宋体" w:hAnsi="宋体" w:cs="宋体"/>
        </w:rPr>
        <w:t xml:space="preserve"> </w:t>
      </w:r>
      <w:r>
        <w:rPr>
          <w:rFonts w:hint="eastAsia" w:ascii="宋体" w:hAnsi="宋体" w:cs="宋体"/>
        </w:rPr>
        <w:t>调查与评估</w:t>
      </w:r>
      <w:bookmarkEnd w:id="431"/>
      <w:bookmarkEnd w:id="432"/>
      <w:bookmarkEnd w:id="433"/>
      <w:bookmarkEnd w:id="434"/>
      <w:bookmarkEnd w:id="435"/>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应急处置结束后，区应急指挥部依据有关规定和要求，根据事件有关信息资料、事故时的检测、鉴定数据，及时对突发事件原因、人员伤亡、财产损失、社会影响和责任等进行调查和评估，提出处理建议和防范整改措施，形成调查报告，区应急指挥部办公室对事件调查报告签署意见，提交区政府批复，或上级指挥部办公室。属于责任事件的，应当对负有责任的单位和个人提出处理意见。</w:t>
      </w:r>
    </w:p>
    <w:p>
      <w:pPr>
        <w:pStyle w:val="3"/>
        <w:spacing w:before="0" w:after="0" w:line="600" w:lineRule="exact"/>
        <w:ind w:firstLine="643" w:firstLineChars="200"/>
        <w:rPr>
          <w:rFonts w:hint="eastAsia" w:ascii="宋体" w:hAnsi="宋体" w:cs="宋体"/>
        </w:rPr>
      </w:pPr>
      <w:bookmarkStart w:id="436" w:name="_Toc25367"/>
      <w:bookmarkStart w:id="437" w:name="_Toc17980"/>
      <w:bookmarkStart w:id="438" w:name="_Toc184137056"/>
      <w:bookmarkStart w:id="439" w:name="_Toc11876"/>
      <w:bookmarkStart w:id="440" w:name="_Toc1861"/>
      <w:r>
        <w:rPr>
          <w:rFonts w:hint="eastAsia" w:ascii="宋体" w:hAnsi="宋体" w:cs="宋体"/>
        </w:rPr>
        <w:t>6.4</w:t>
      </w:r>
      <w:r>
        <w:rPr>
          <w:rFonts w:ascii="宋体" w:hAnsi="宋体" w:cs="宋体"/>
        </w:rPr>
        <w:t xml:space="preserve"> </w:t>
      </w:r>
      <w:r>
        <w:rPr>
          <w:rFonts w:hint="eastAsia" w:ascii="宋体" w:hAnsi="宋体" w:cs="宋体"/>
        </w:rPr>
        <w:t>恢复与重建</w:t>
      </w:r>
      <w:bookmarkEnd w:id="436"/>
      <w:bookmarkEnd w:id="437"/>
      <w:bookmarkEnd w:id="438"/>
      <w:bookmarkEnd w:id="439"/>
      <w:bookmarkEnd w:id="440"/>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旅游突发事件处置工作结束后，事发地社区、村（居）委会或责任单位应立即组织制定恢复与重建计划，落实资金、物资和技术保障，迅速组织开展生产自救，恢复生产、生活、工作和社会秩序，尽快修复被破坏的城市基础设施。</w:t>
      </w:r>
    </w:p>
    <w:p>
      <w:pPr>
        <w:pStyle w:val="2"/>
        <w:spacing w:before="0" w:after="0" w:line="600" w:lineRule="exact"/>
        <w:ind w:firstLine="720" w:firstLineChars="200"/>
        <w:rPr>
          <w:rFonts w:hint="eastAsia" w:ascii="黑体" w:hAnsi="黑体" w:eastAsia="黑体" w:cs="黑体"/>
          <w:b w:val="0"/>
          <w:bCs w:val="0"/>
          <w:sz w:val="36"/>
          <w:szCs w:val="36"/>
        </w:rPr>
      </w:pPr>
      <w:bookmarkStart w:id="441" w:name="_Toc991"/>
      <w:bookmarkStart w:id="442" w:name="_Toc13354"/>
      <w:bookmarkStart w:id="443" w:name="_Toc485196801"/>
      <w:bookmarkStart w:id="444" w:name="_Toc11664"/>
      <w:bookmarkStart w:id="445" w:name="_Toc31854"/>
      <w:bookmarkStart w:id="446" w:name="_Toc184137057"/>
      <w:bookmarkStart w:id="447" w:name="_Toc9625"/>
      <w:bookmarkStart w:id="448" w:name="_Toc2699"/>
      <w:bookmarkStart w:id="449" w:name="_Toc4258"/>
      <w:bookmarkStart w:id="450" w:name="_Toc27400"/>
      <w:bookmarkStart w:id="451" w:name="_Toc16934"/>
      <w:r>
        <w:rPr>
          <w:rFonts w:hint="eastAsia" w:ascii="黑体" w:hAnsi="黑体" w:eastAsia="黑体" w:cs="黑体"/>
          <w:b w:val="0"/>
          <w:bCs w:val="0"/>
          <w:sz w:val="36"/>
          <w:szCs w:val="36"/>
        </w:rPr>
        <w:t>7</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保障措施</w:t>
      </w:r>
      <w:bookmarkEnd w:id="441"/>
      <w:bookmarkEnd w:id="442"/>
      <w:bookmarkEnd w:id="443"/>
      <w:bookmarkEnd w:id="444"/>
      <w:bookmarkEnd w:id="445"/>
      <w:bookmarkEnd w:id="446"/>
      <w:bookmarkEnd w:id="447"/>
      <w:bookmarkEnd w:id="448"/>
      <w:bookmarkEnd w:id="449"/>
      <w:bookmarkEnd w:id="450"/>
      <w:bookmarkEnd w:id="451"/>
    </w:p>
    <w:p>
      <w:pPr>
        <w:pStyle w:val="3"/>
        <w:spacing w:before="0" w:after="0" w:line="600" w:lineRule="exact"/>
        <w:ind w:firstLine="643" w:firstLineChars="200"/>
        <w:rPr>
          <w:rFonts w:hint="eastAsia" w:ascii="宋体" w:hAnsi="宋体" w:cs="宋体"/>
        </w:rPr>
      </w:pPr>
      <w:bookmarkStart w:id="452" w:name="_Toc17633"/>
      <w:bookmarkStart w:id="453" w:name="_Toc26150"/>
      <w:bookmarkStart w:id="454" w:name="_Toc27946"/>
      <w:bookmarkStart w:id="455" w:name="_Toc11889"/>
      <w:bookmarkStart w:id="456" w:name="_Toc27090"/>
      <w:bookmarkStart w:id="457" w:name="_Toc9181"/>
      <w:bookmarkStart w:id="458" w:name="_Toc184137058"/>
      <w:bookmarkStart w:id="459" w:name="_Toc454961734"/>
      <w:bookmarkStart w:id="460" w:name="_Toc485196802"/>
      <w:bookmarkStart w:id="461" w:name="_Toc4378"/>
      <w:bookmarkStart w:id="462" w:name="_Toc25421"/>
      <w:bookmarkStart w:id="463" w:name="_Toc11287"/>
      <w:r>
        <w:rPr>
          <w:rFonts w:hint="eastAsia" w:ascii="宋体" w:hAnsi="宋体" w:cs="宋体"/>
        </w:rPr>
        <w:t>7.1</w:t>
      </w:r>
      <w:r>
        <w:rPr>
          <w:rFonts w:ascii="宋体" w:hAnsi="宋体" w:cs="宋体"/>
        </w:rPr>
        <w:t xml:space="preserve"> </w:t>
      </w:r>
      <w:r>
        <w:rPr>
          <w:rFonts w:hint="eastAsia" w:ascii="宋体" w:hAnsi="宋体" w:cs="宋体"/>
        </w:rPr>
        <w:t>通信与信息保障</w:t>
      </w:r>
      <w:bookmarkEnd w:id="452"/>
      <w:bookmarkEnd w:id="453"/>
      <w:bookmarkEnd w:id="454"/>
      <w:bookmarkEnd w:id="455"/>
      <w:bookmarkEnd w:id="456"/>
      <w:bookmarkEnd w:id="457"/>
      <w:bookmarkEnd w:id="458"/>
      <w:bookmarkEnd w:id="459"/>
      <w:bookmarkEnd w:id="460"/>
      <w:bookmarkEnd w:id="461"/>
      <w:bookmarkEnd w:id="462"/>
      <w:bookmarkEnd w:id="463"/>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强化事故现场移动通讯系统建设；建立完善救援力量和资源信息数据库；规范信息获取、分析、发布、报送格式和程序，保证应急机构之间的信息资源共享，为应急决策提供相关信息支持。</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区应急办、各成员单位及负责人要保证24小时联络畅通。在突发事件发生后，负责协调通信管理部门，确保移动、联通、电信等通信运营单位建立稳定可靠、灵活便捷的应急通信保障系统。</w:t>
      </w:r>
    </w:p>
    <w:p>
      <w:pPr>
        <w:pStyle w:val="3"/>
        <w:spacing w:before="0" w:after="0" w:line="600" w:lineRule="exact"/>
        <w:ind w:firstLine="643" w:firstLineChars="200"/>
        <w:rPr>
          <w:rFonts w:hint="eastAsia" w:ascii="宋体" w:hAnsi="宋体" w:cs="宋体"/>
        </w:rPr>
      </w:pPr>
      <w:bookmarkStart w:id="464" w:name="_Toc454961735"/>
      <w:bookmarkStart w:id="465" w:name="_Toc15319"/>
      <w:bookmarkStart w:id="466" w:name="_Toc4029"/>
      <w:bookmarkStart w:id="467" w:name="_Toc22237"/>
      <w:bookmarkStart w:id="468" w:name="_Toc184137059"/>
      <w:bookmarkStart w:id="469" w:name="_Toc7582"/>
      <w:bookmarkStart w:id="470" w:name="_Toc30286"/>
      <w:bookmarkStart w:id="471" w:name="_Toc23682"/>
      <w:bookmarkStart w:id="472" w:name="_Toc25274"/>
      <w:bookmarkStart w:id="473" w:name="_Toc25394"/>
      <w:bookmarkStart w:id="474" w:name="_Toc7236"/>
      <w:bookmarkStart w:id="475" w:name="_Toc485196803"/>
      <w:r>
        <w:rPr>
          <w:rFonts w:hint="eastAsia" w:ascii="宋体" w:hAnsi="宋体" w:cs="宋体"/>
        </w:rPr>
        <w:t>7.2</w:t>
      </w:r>
      <w:r>
        <w:rPr>
          <w:rFonts w:ascii="宋体" w:hAnsi="宋体" w:cs="宋体"/>
        </w:rPr>
        <w:t xml:space="preserve"> </w:t>
      </w:r>
      <w:r>
        <w:rPr>
          <w:rFonts w:hint="eastAsia" w:ascii="宋体" w:hAnsi="宋体" w:cs="宋体"/>
        </w:rPr>
        <w:t>队伍保障</w:t>
      </w:r>
      <w:bookmarkEnd w:id="464"/>
      <w:bookmarkEnd w:id="465"/>
      <w:bookmarkEnd w:id="466"/>
      <w:bookmarkEnd w:id="467"/>
      <w:bookmarkEnd w:id="468"/>
      <w:bookmarkEnd w:id="469"/>
      <w:bookmarkEnd w:id="470"/>
      <w:bookmarkEnd w:id="471"/>
      <w:bookmarkEnd w:id="472"/>
      <w:bookmarkEnd w:id="473"/>
      <w:bookmarkEnd w:id="474"/>
      <w:bookmarkEnd w:id="475"/>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亚市海棠区消防救援大队、区人民武装部、市公安局海棠分局、市综合行政执法局海棠分局等有关部门承担大型群众性活动突发事件的应急救援任务，武警、民兵、预备役部队和驻地解放军部队是抢险救援的后备力量。各乡镇政府、大型群众性活动承（主）办单位及主管部门、场馆（所）经营管理单位应当依法组建和完善专（兼）职救援队伍。</w:t>
      </w:r>
      <w:bookmarkStart w:id="476" w:name="_Toc454961736"/>
      <w:bookmarkStart w:id="477" w:name="_Toc485196804"/>
    </w:p>
    <w:p>
      <w:pPr>
        <w:pStyle w:val="3"/>
        <w:spacing w:before="0" w:after="0" w:line="600" w:lineRule="exact"/>
        <w:ind w:firstLine="643" w:firstLineChars="200"/>
        <w:rPr>
          <w:rFonts w:hint="eastAsia" w:ascii="宋体" w:hAnsi="宋体" w:cs="宋体"/>
          <w:b w:val="0"/>
        </w:rPr>
      </w:pPr>
      <w:bookmarkStart w:id="478" w:name="_Toc14227"/>
      <w:bookmarkStart w:id="479" w:name="_Toc14500"/>
      <w:bookmarkStart w:id="480" w:name="_Toc28482"/>
      <w:bookmarkStart w:id="481" w:name="_Toc14439"/>
      <w:bookmarkStart w:id="482" w:name="_Toc7473"/>
      <w:bookmarkStart w:id="483" w:name="_Toc3686"/>
      <w:bookmarkStart w:id="484" w:name="_Toc184137060"/>
      <w:bookmarkStart w:id="485" w:name="_Toc25542"/>
      <w:bookmarkStart w:id="486" w:name="_Toc5051"/>
      <w:bookmarkStart w:id="487" w:name="_Toc32478"/>
      <w:r>
        <w:rPr>
          <w:rFonts w:hint="eastAsia" w:ascii="宋体" w:hAnsi="宋体" w:cs="宋体"/>
        </w:rPr>
        <w:t>7.3</w:t>
      </w:r>
      <w:r>
        <w:rPr>
          <w:rFonts w:ascii="宋体" w:hAnsi="宋体" w:cs="宋体"/>
        </w:rPr>
        <w:t xml:space="preserve"> </w:t>
      </w:r>
      <w:r>
        <w:rPr>
          <w:rFonts w:hint="eastAsia" w:ascii="宋体" w:hAnsi="宋体" w:cs="宋体"/>
        </w:rPr>
        <w:t>物资装备保障</w:t>
      </w:r>
      <w:bookmarkEnd w:id="476"/>
      <w:bookmarkEnd w:id="477"/>
      <w:bookmarkEnd w:id="478"/>
      <w:bookmarkEnd w:id="479"/>
      <w:bookmarkEnd w:id="480"/>
      <w:bookmarkEnd w:id="481"/>
      <w:bookmarkEnd w:id="482"/>
      <w:bookmarkEnd w:id="483"/>
      <w:bookmarkEnd w:id="484"/>
      <w:bookmarkEnd w:id="485"/>
      <w:bookmarkEnd w:id="486"/>
      <w:bookmarkEnd w:id="487"/>
    </w:p>
    <w:p>
      <w:pPr>
        <w:autoSpaceDE w:val="0"/>
        <w:autoSpaceDN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三亚市海棠区消防救援大队负责大型群众性活动突发事件应急救援装备保障建设；大型群众性活动承（主）办单位及主管部门、场馆（所）经营管理单位根据实际情况需要配备必要的应急救援装备。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政府有关部门在现有装备的基础上，根据应急处置需要，配置应急指挥、应急处置、应急救治、通讯工具等应急物资装备。</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区委、区政府应鼓励和引导社区、企事业单位储备基本的应急处置和抢险救援物资、装备。</w:t>
      </w:r>
      <w:bookmarkStart w:id="488" w:name="_Toc454961737"/>
    </w:p>
    <w:p>
      <w:pPr>
        <w:pStyle w:val="3"/>
        <w:spacing w:before="0" w:after="0" w:line="600" w:lineRule="exact"/>
        <w:ind w:firstLine="643" w:firstLineChars="200"/>
        <w:rPr>
          <w:rFonts w:hint="eastAsia" w:ascii="宋体" w:hAnsi="宋体" w:cs="宋体"/>
        </w:rPr>
      </w:pPr>
      <w:bookmarkStart w:id="489" w:name="_Toc8629"/>
      <w:bookmarkStart w:id="490" w:name="_Toc22677"/>
      <w:bookmarkStart w:id="491" w:name="_Toc29586"/>
      <w:bookmarkStart w:id="492" w:name="_Toc18533"/>
      <w:bookmarkStart w:id="493" w:name="_Toc485196805"/>
      <w:bookmarkStart w:id="494" w:name="_Toc406"/>
      <w:bookmarkStart w:id="495" w:name="_Toc3159"/>
      <w:bookmarkStart w:id="496" w:name="_Toc3465"/>
      <w:bookmarkStart w:id="497" w:name="_Toc22875"/>
      <w:bookmarkStart w:id="498" w:name="_Toc184137061"/>
      <w:bookmarkStart w:id="499" w:name="_Toc31433"/>
      <w:r>
        <w:rPr>
          <w:rFonts w:hint="eastAsia" w:ascii="宋体" w:hAnsi="宋体" w:cs="宋体"/>
        </w:rPr>
        <w:t>7.4</w:t>
      </w:r>
      <w:r>
        <w:rPr>
          <w:rFonts w:ascii="宋体" w:hAnsi="宋体" w:cs="宋体"/>
        </w:rPr>
        <w:t xml:space="preserve"> </w:t>
      </w:r>
      <w:r>
        <w:rPr>
          <w:rFonts w:hint="eastAsia" w:ascii="宋体" w:hAnsi="宋体" w:cs="宋体"/>
        </w:rPr>
        <w:t>治安和交通运输保障</w:t>
      </w:r>
      <w:bookmarkEnd w:id="488"/>
      <w:bookmarkEnd w:id="489"/>
      <w:bookmarkEnd w:id="490"/>
      <w:bookmarkEnd w:id="491"/>
      <w:bookmarkEnd w:id="492"/>
      <w:bookmarkEnd w:id="493"/>
      <w:bookmarkEnd w:id="494"/>
      <w:bookmarkEnd w:id="495"/>
      <w:bookmarkEnd w:id="496"/>
      <w:bookmarkEnd w:id="497"/>
      <w:bookmarkEnd w:id="498"/>
      <w:bookmarkEnd w:id="499"/>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发生大型群众性活动突发事件后，公安和交通运输部门要对事故现场实施治安警戒和治安管理，加强对重点地区、重点场所、重点人群、重要物资设备的防范保护，维持现场秩序，必要时及时疏散群众，保持社会治安秩序的稳定。根据需要及时对现场和相关通道实行交通管制，开设应急救援特别通道，确保救灾物资、器材和人员的运送，形成快速、高效、顺畅、协调的应急运输系统。</w:t>
      </w:r>
    </w:p>
    <w:p>
      <w:pPr>
        <w:pStyle w:val="3"/>
        <w:spacing w:before="0" w:after="0" w:line="600" w:lineRule="exact"/>
        <w:ind w:firstLine="643" w:firstLineChars="200"/>
        <w:rPr>
          <w:rFonts w:hint="eastAsia" w:ascii="宋体" w:hAnsi="宋体" w:cs="宋体"/>
        </w:rPr>
      </w:pPr>
      <w:bookmarkStart w:id="500" w:name="_Toc13210"/>
      <w:bookmarkStart w:id="501" w:name="_Toc485196806"/>
      <w:bookmarkStart w:id="502" w:name="_Toc184137062"/>
      <w:bookmarkStart w:id="503" w:name="_Toc31294"/>
      <w:bookmarkStart w:id="504" w:name="_Toc24450"/>
      <w:bookmarkStart w:id="505" w:name="_Toc20250"/>
      <w:bookmarkStart w:id="506" w:name="_Toc14253"/>
      <w:bookmarkStart w:id="507" w:name="_Toc8633"/>
      <w:bookmarkStart w:id="508" w:name="_Toc11572"/>
      <w:bookmarkStart w:id="509" w:name="_Toc1607"/>
      <w:bookmarkStart w:id="510" w:name="_Toc454961738"/>
      <w:bookmarkStart w:id="511" w:name="_Toc26763"/>
      <w:r>
        <w:rPr>
          <w:rFonts w:hint="eastAsia" w:ascii="宋体" w:hAnsi="宋体" w:cs="宋体"/>
        </w:rPr>
        <w:t>7.5</w:t>
      </w:r>
      <w:r>
        <w:rPr>
          <w:rFonts w:ascii="宋体" w:hAnsi="宋体" w:cs="宋体"/>
        </w:rPr>
        <w:t xml:space="preserve"> </w:t>
      </w:r>
      <w:r>
        <w:rPr>
          <w:rFonts w:hint="eastAsia" w:ascii="宋体" w:hAnsi="宋体" w:cs="宋体"/>
        </w:rPr>
        <w:t>医疗卫生保障</w:t>
      </w:r>
      <w:bookmarkEnd w:id="500"/>
      <w:bookmarkEnd w:id="501"/>
      <w:bookmarkEnd w:id="502"/>
      <w:bookmarkEnd w:id="503"/>
      <w:bookmarkEnd w:id="504"/>
      <w:bookmarkEnd w:id="505"/>
      <w:bookmarkEnd w:id="506"/>
      <w:bookmarkEnd w:id="507"/>
      <w:bookmarkEnd w:id="508"/>
      <w:bookmarkEnd w:id="509"/>
      <w:bookmarkEnd w:id="510"/>
      <w:bookmarkEnd w:id="511"/>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区卫生健康委员会负责组织医疗部门做好受伤人员入院前急救、转运和后续救治工作；疾病预防控制机构负责做好有关卫生防疫工作；红十字会等社会救援组织配合专业医疗队伍参与救援工作等。</w:t>
      </w:r>
    </w:p>
    <w:p>
      <w:pPr>
        <w:pStyle w:val="3"/>
        <w:spacing w:before="0" w:after="0" w:line="600" w:lineRule="exact"/>
        <w:ind w:firstLine="643" w:firstLineChars="200"/>
        <w:rPr>
          <w:rFonts w:hint="eastAsia" w:ascii="宋体" w:hAnsi="宋体" w:cs="宋体"/>
        </w:rPr>
      </w:pPr>
      <w:bookmarkStart w:id="512" w:name="_Toc9430"/>
      <w:bookmarkStart w:id="513" w:name="_Toc3773"/>
      <w:bookmarkStart w:id="514" w:name="_Toc184137063"/>
      <w:bookmarkStart w:id="515" w:name="_Toc9156"/>
      <w:bookmarkStart w:id="516" w:name="_Toc485196807"/>
      <w:bookmarkStart w:id="517" w:name="_Toc28847"/>
      <w:bookmarkStart w:id="518" w:name="_Toc26794"/>
      <w:bookmarkStart w:id="519" w:name="_Toc9795"/>
      <w:bookmarkStart w:id="520" w:name="_Toc17614"/>
      <w:bookmarkStart w:id="521" w:name="_Toc454961739"/>
      <w:bookmarkStart w:id="522" w:name="_Toc5907"/>
      <w:bookmarkStart w:id="523" w:name="_Toc11566"/>
      <w:r>
        <w:rPr>
          <w:rFonts w:hint="eastAsia" w:ascii="宋体" w:hAnsi="宋体" w:cs="宋体"/>
        </w:rPr>
        <w:t>7.6</w:t>
      </w:r>
      <w:r>
        <w:rPr>
          <w:rFonts w:ascii="宋体" w:hAnsi="宋体" w:cs="宋体"/>
        </w:rPr>
        <w:t xml:space="preserve"> </w:t>
      </w:r>
      <w:r>
        <w:rPr>
          <w:rFonts w:hint="eastAsia" w:ascii="宋体" w:hAnsi="宋体" w:cs="宋体"/>
        </w:rPr>
        <w:t>生活与避难场所保障</w:t>
      </w:r>
      <w:bookmarkEnd w:id="512"/>
      <w:bookmarkEnd w:id="513"/>
      <w:bookmarkEnd w:id="514"/>
      <w:bookmarkEnd w:id="515"/>
      <w:bookmarkEnd w:id="516"/>
      <w:bookmarkEnd w:id="517"/>
      <w:bookmarkEnd w:id="518"/>
      <w:bookmarkEnd w:id="519"/>
      <w:bookmarkEnd w:id="520"/>
      <w:bookmarkEnd w:id="521"/>
      <w:bookmarkEnd w:id="522"/>
      <w:bookmarkEnd w:id="523"/>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在现场救援指挥部统一部署下，由区委、区政府职能部门和事故单位具体实施。保障转移人员和救援人员所需的食物、饮品供应，提供临时居住场所及其它生活必需品。区委、区政府确定一批设施完备、布局合理、能够满足人员紧急疏散需要的应急避难场所，建立维护和使用保障制度，保证疏散安置人员的基本生活需要。</w:t>
      </w:r>
    </w:p>
    <w:p>
      <w:pPr>
        <w:pStyle w:val="3"/>
        <w:spacing w:before="0" w:after="0" w:line="600" w:lineRule="exact"/>
        <w:ind w:firstLine="643" w:firstLineChars="200"/>
        <w:rPr>
          <w:rFonts w:hint="eastAsia" w:ascii="宋体" w:hAnsi="宋体" w:cs="宋体"/>
        </w:rPr>
      </w:pPr>
      <w:bookmarkStart w:id="524" w:name="_Toc24096"/>
      <w:bookmarkStart w:id="525" w:name="_Toc23402"/>
      <w:bookmarkStart w:id="526" w:name="_Toc19920"/>
      <w:bookmarkStart w:id="527" w:name="_Toc24269"/>
      <w:bookmarkStart w:id="528" w:name="_Toc485196808"/>
      <w:bookmarkStart w:id="529" w:name="_Toc16847"/>
      <w:bookmarkStart w:id="530" w:name="_Toc184137064"/>
      <w:bookmarkStart w:id="531" w:name="_Toc5822"/>
      <w:bookmarkStart w:id="532" w:name="_Toc29148"/>
      <w:bookmarkStart w:id="533" w:name="_Toc18623"/>
      <w:bookmarkStart w:id="534" w:name="_Toc454961740"/>
      <w:bookmarkStart w:id="535" w:name="_Toc7792"/>
      <w:r>
        <w:rPr>
          <w:rFonts w:hint="eastAsia" w:ascii="宋体" w:hAnsi="宋体" w:cs="宋体"/>
        </w:rPr>
        <w:t>7.7</w:t>
      </w:r>
      <w:r>
        <w:rPr>
          <w:rFonts w:ascii="宋体" w:hAnsi="宋体" w:cs="宋体"/>
        </w:rPr>
        <w:t xml:space="preserve"> </w:t>
      </w:r>
      <w:r>
        <w:rPr>
          <w:rFonts w:hint="eastAsia" w:ascii="宋体" w:hAnsi="宋体" w:cs="宋体"/>
        </w:rPr>
        <w:t>技术保障</w:t>
      </w:r>
      <w:bookmarkEnd w:id="524"/>
      <w:bookmarkEnd w:id="525"/>
      <w:bookmarkEnd w:id="526"/>
      <w:bookmarkEnd w:id="527"/>
      <w:bookmarkEnd w:id="528"/>
      <w:bookmarkEnd w:id="529"/>
      <w:bookmarkEnd w:id="530"/>
      <w:bookmarkEnd w:id="531"/>
      <w:bookmarkEnd w:id="532"/>
      <w:bookmarkEnd w:id="533"/>
      <w:bookmarkEnd w:id="534"/>
      <w:bookmarkEnd w:id="535"/>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区应急管理局要依托海南省消防救援总队、海南省旅文体行业安全（消防）生产专家智库、省卫生健康委员会和省应急管理厅应急管理专家库，或组建区应急管理专家库为应急救援提供技术支持和保障。</w:t>
      </w:r>
    </w:p>
    <w:p>
      <w:pPr>
        <w:pStyle w:val="3"/>
        <w:spacing w:before="0" w:after="0" w:line="600" w:lineRule="exact"/>
        <w:ind w:firstLine="643" w:firstLineChars="200"/>
        <w:rPr>
          <w:rFonts w:hint="eastAsia" w:ascii="宋体" w:hAnsi="宋体" w:cs="宋体"/>
        </w:rPr>
      </w:pPr>
      <w:bookmarkStart w:id="536" w:name="_Toc29677"/>
      <w:bookmarkStart w:id="537" w:name="_Toc19162"/>
      <w:bookmarkStart w:id="538" w:name="_Toc454961741"/>
      <w:bookmarkStart w:id="539" w:name="_Toc14895"/>
      <w:bookmarkStart w:id="540" w:name="_Toc11076"/>
      <w:bookmarkStart w:id="541" w:name="_Toc8447"/>
      <w:bookmarkStart w:id="542" w:name="_Toc184137065"/>
      <w:bookmarkStart w:id="543" w:name="_Toc18155"/>
      <w:bookmarkStart w:id="544" w:name="_Toc8270"/>
      <w:bookmarkStart w:id="545" w:name="_Toc20529"/>
      <w:bookmarkStart w:id="546" w:name="_Toc485196809"/>
      <w:bookmarkStart w:id="547" w:name="_Toc17254"/>
      <w:r>
        <w:rPr>
          <w:rFonts w:hint="eastAsia" w:ascii="宋体" w:hAnsi="宋体" w:cs="宋体"/>
        </w:rPr>
        <w:t>7.8</w:t>
      </w:r>
      <w:r>
        <w:rPr>
          <w:rFonts w:ascii="宋体" w:hAnsi="宋体" w:cs="宋体"/>
        </w:rPr>
        <w:t xml:space="preserve"> </w:t>
      </w:r>
      <w:r>
        <w:rPr>
          <w:rFonts w:hint="eastAsia" w:ascii="宋体" w:hAnsi="宋体" w:cs="宋体"/>
        </w:rPr>
        <w:t>资金保障</w:t>
      </w:r>
      <w:bookmarkEnd w:id="536"/>
      <w:bookmarkEnd w:id="537"/>
      <w:bookmarkEnd w:id="538"/>
      <w:bookmarkEnd w:id="539"/>
      <w:bookmarkEnd w:id="540"/>
      <w:bookmarkEnd w:id="541"/>
      <w:bookmarkEnd w:id="542"/>
      <w:bookmarkEnd w:id="543"/>
      <w:bookmarkEnd w:id="544"/>
      <w:bookmarkEnd w:id="545"/>
      <w:bookmarkEnd w:id="546"/>
      <w:bookmarkEnd w:id="547"/>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区财政局对大型群众性活动突发事件应急处置的资金给予及时保障，加强专项保障资金的使用和管理，确保资金发挥最大的作用和效益。</w:t>
      </w:r>
    </w:p>
    <w:p>
      <w:pPr>
        <w:pStyle w:val="3"/>
        <w:spacing w:before="0" w:after="0" w:line="600" w:lineRule="exact"/>
        <w:ind w:firstLine="643" w:firstLineChars="200"/>
        <w:rPr>
          <w:rFonts w:hint="eastAsia" w:ascii="宋体" w:hAnsi="宋体" w:cs="宋体"/>
        </w:rPr>
      </w:pPr>
      <w:bookmarkStart w:id="548" w:name="_Toc24311"/>
      <w:bookmarkStart w:id="549" w:name="_Toc454961742"/>
      <w:bookmarkStart w:id="550" w:name="_Toc834"/>
      <w:bookmarkStart w:id="551" w:name="_Toc9131"/>
      <w:bookmarkStart w:id="552" w:name="_Toc485196810"/>
      <w:bookmarkStart w:id="553" w:name="_Toc5599"/>
      <w:bookmarkStart w:id="554" w:name="_Toc28485"/>
      <w:bookmarkStart w:id="555" w:name="_Toc21929"/>
      <w:bookmarkStart w:id="556" w:name="_Toc1213"/>
      <w:bookmarkStart w:id="557" w:name="_Toc15769"/>
      <w:bookmarkStart w:id="558" w:name="_Toc5072"/>
      <w:bookmarkStart w:id="559" w:name="_Toc184137066"/>
      <w:r>
        <w:rPr>
          <w:rFonts w:hint="eastAsia" w:ascii="宋体" w:hAnsi="宋体" w:cs="宋体"/>
        </w:rPr>
        <w:t>7.9</w:t>
      </w:r>
      <w:bookmarkEnd w:id="548"/>
      <w:bookmarkEnd w:id="549"/>
      <w:bookmarkEnd w:id="550"/>
      <w:bookmarkEnd w:id="551"/>
      <w:bookmarkEnd w:id="552"/>
      <w:bookmarkEnd w:id="553"/>
      <w:bookmarkEnd w:id="554"/>
      <w:r>
        <w:rPr>
          <w:rFonts w:ascii="宋体" w:hAnsi="宋体" w:cs="宋体"/>
        </w:rPr>
        <w:t xml:space="preserve"> </w:t>
      </w:r>
      <w:r>
        <w:rPr>
          <w:rFonts w:hint="eastAsia" w:ascii="宋体" w:hAnsi="宋体" w:cs="宋体"/>
        </w:rPr>
        <w:t>保险保障</w:t>
      </w:r>
      <w:bookmarkEnd w:id="555"/>
      <w:bookmarkEnd w:id="556"/>
      <w:bookmarkEnd w:id="557"/>
      <w:bookmarkEnd w:id="558"/>
      <w:bookmarkEnd w:id="559"/>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举办大型群众性活动时，活动承（主）办单位应为游客、演员、观众办理大型群众性活动意外险等险种。活动期间突发事件造成的人身、财产等损害，由当地银保监局监督、督促相关保险公司及时理赔。</w:t>
      </w:r>
      <w:bookmarkStart w:id="560" w:name="_Toc454961743"/>
      <w:bookmarkStart w:id="561" w:name="_Toc485196811"/>
    </w:p>
    <w:p>
      <w:pPr>
        <w:pStyle w:val="3"/>
        <w:spacing w:before="0" w:after="0" w:line="600" w:lineRule="exact"/>
        <w:ind w:firstLine="643" w:firstLineChars="200"/>
        <w:rPr>
          <w:rFonts w:hint="eastAsia" w:ascii="宋体" w:hAnsi="宋体" w:cs="宋体"/>
        </w:rPr>
      </w:pPr>
      <w:bookmarkStart w:id="562" w:name="_Toc6552"/>
      <w:bookmarkStart w:id="563" w:name="_Toc12162"/>
      <w:bookmarkStart w:id="564" w:name="_Toc27859"/>
      <w:bookmarkStart w:id="565" w:name="_Toc22798"/>
      <w:bookmarkStart w:id="566" w:name="_Toc3363"/>
      <w:bookmarkStart w:id="567" w:name="_Toc9292"/>
      <w:bookmarkStart w:id="568" w:name="_Toc184137067"/>
      <w:bookmarkStart w:id="569" w:name="_Toc2857"/>
      <w:bookmarkStart w:id="570" w:name="_Toc4371"/>
      <w:bookmarkStart w:id="571" w:name="_Toc19510"/>
      <w:r>
        <w:rPr>
          <w:rFonts w:hint="eastAsia" w:ascii="宋体" w:hAnsi="宋体" w:cs="宋体"/>
        </w:rPr>
        <w:t>7.10</w:t>
      </w:r>
      <w:r>
        <w:rPr>
          <w:rFonts w:ascii="宋体" w:hAnsi="宋体" w:cs="宋体"/>
        </w:rPr>
        <w:t xml:space="preserve"> </w:t>
      </w:r>
      <w:r>
        <w:rPr>
          <w:rFonts w:hint="eastAsia" w:ascii="宋体" w:hAnsi="宋体" w:cs="宋体"/>
        </w:rPr>
        <w:t>宣传、培训和演练</w:t>
      </w:r>
      <w:bookmarkEnd w:id="560"/>
      <w:bookmarkEnd w:id="561"/>
      <w:bookmarkEnd w:id="562"/>
      <w:bookmarkEnd w:id="563"/>
      <w:bookmarkEnd w:id="564"/>
      <w:bookmarkEnd w:id="565"/>
      <w:bookmarkEnd w:id="566"/>
      <w:bookmarkEnd w:id="567"/>
      <w:bookmarkEnd w:id="568"/>
      <w:bookmarkEnd w:id="569"/>
      <w:bookmarkEnd w:id="570"/>
      <w:bookmarkEnd w:id="571"/>
    </w:p>
    <w:p>
      <w:pPr>
        <w:pStyle w:val="4"/>
        <w:spacing w:before="0" w:after="0" w:line="600" w:lineRule="exact"/>
        <w:ind w:firstLine="643" w:firstLineChars="200"/>
        <w:rPr>
          <w:rFonts w:hint="eastAsia" w:ascii="宋体" w:hAnsi="宋体" w:cs="宋体"/>
        </w:rPr>
      </w:pPr>
      <w:bookmarkStart w:id="572" w:name="_Toc6410"/>
      <w:bookmarkStart w:id="573" w:name="_Toc18385"/>
      <w:bookmarkStart w:id="574" w:name="_Toc184137068"/>
      <w:r>
        <w:rPr>
          <w:rFonts w:hint="eastAsia" w:ascii="宋体" w:hAnsi="宋体" w:cs="宋体"/>
        </w:rPr>
        <w:t>7.10.1</w:t>
      </w:r>
      <w:r>
        <w:rPr>
          <w:rFonts w:ascii="宋体" w:hAnsi="宋体" w:cs="宋体"/>
        </w:rPr>
        <w:t xml:space="preserve"> </w:t>
      </w:r>
      <w:r>
        <w:rPr>
          <w:rFonts w:hint="eastAsia" w:ascii="宋体" w:hAnsi="宋体" w:cs="宋体"/>
        </w:rPr>
        <w:t>宣教培训</w:t>
      </w:r>
      <w:bookmarkEnd w:id="572"/>
      <w:bookmarkEnd w:id="573"/>
      <w:bookmarkEnd w:id="574"/>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（1）区委、区政府有关部门应通过新闻媒体、网站、报纸、举办专题培训班等形式，广泛开展大型群众性活动突发事件应急知识的科普宣传、培训和教育活动，增强公众的应急避险意识和自救、互救能力。</w:t>
      </w:r>
    </w:p>
    <w:p>
      <w:pPr>
        <w:spacing w:line="360" w:lineRule="auto"/>
        <w:ind w:firstLine="640" w:firstLineChars="200"/>
        <w:rPr>
          <w:rFonts w:hint="eastAsia" w:ascii="仿宋" w:hAnsi="仿宋" w:eastAsia="仿宋"/>
          <w:b/>
          <w:sz w:val="32"/>
          <w:szCs w:val="32"/>
        </w:rPr>
      </w:pPr>
      <w:r>
        <w:rPr>
          <w:rFonts w:hint="eastAsia" w:ascii="仿宋" w:hAnsi="仿宋" w:eastAsia="仿宋"/>
          <w:sz w:val="32"/>
          <w:szCs w:val="32"/>
        </w:rPr>
        <w:t>（2）预案发布后，区应急办要对相关指挥员、应急救援队伍进行预案解读培训，使其熟悉应急职责、响应程序和处置措施，切实提高应急联动处置能力。</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区政法委及区旅游和文化广电体育局、市公安局海棠分局等负责大型群众性活动承（主）办单位及主管部门、场馆（所）经营管理单位应急救援管理人员和专业人员的安全知识、专业知识、新技术应用等方面的综合培训。</w:t>
      </w:r>
    </w:p>
    <w:p>
      <w:pPr>
        <w:pStyle w:val="4"/>
        <w:spacing w:before="0" w:after="0" w:line="600" w:lineRule="exact"/>
        <w:ind w:firstLine="643" w:firstLineChars="200"/>
        <w:rPr>
          <w:rFonts w:hint="eastAsia" w:ascii="宋体" w:hAnsi="宋体" w:cs="宋体"/>
        </w:rPr>
      </w:pPr>
      <w:bookmarkStart w:id="575" w:name="_Toc13183"/>
      <w:bookmarkStart w:id="576" w:name="_Toc184137069"/>
      <w:bookmarkStart w:id="577" w:name="_Toc29654"/>
      <w:r>
        <w:rPr>
          <w:rFonts w:hint="eastAsia" w:ascii="宋体" w:hAnsi="宋体" w:cs="宋体"/>
        </w:rPr>
        <w:t>7.10.2</w:t>
      </w:r>
      <w:r>
        <w:rPr>
          <w:rFonts w:ascii="宋体" w:hAnsi="宋体" w:cs="宋体"/>
        </w:rPr>
        <w:t xml:space="preserve"> </w:t>
      </w:r>
      <w:r>
        <w:rPr>
          <w:rFonts w:hint="eastAsia" w:ascii="宋体" w:hAnsi="宋体" w:cs="宋体"/>
        </w:rPr>
        <w:t>演练</w:t>
      </w:r>
      <w:bookmarkEnd w:id="575"/>
      <w:bookmarkEnd w:id="576"/>
      <w:bookmarkEnd w:id="577"/>
    </w:p>
    <w:p>
      <w:pPr>
        <w:widowControl/>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办负责制订年度应急演练计划，指导协调成员单位有针对性地编制演练方案、演练脚本，因地制宜组织开展桌面推演、实战演练，按规定做好演练量化指标评估。区大型群众性活动突发事件预案每三年至少组织1次演练。每次大型群众性活动承办单位在活动举办前应至少组织1次综合 (联动)应急演练。演练计划、演练方案、演练脚本、演练评估和演练音像资料要及时归档备查。</w:t>
      </w:r>
      <w:bookmarkStart w:id="578" w:name="_Toc485196812"/>
      <w:bookmarkStart w:id="579" w:name="_Toc454961744"/>
    </w:p>
    <w:p>
      <w:pPr>
        <w:pStyle w:val="3"/>
        <w:spacing w:before="0" w:after="0" w:line="600" w:lineRule="exact"/>
        <w:ind w:firstLine="643" w:firstLineChars="200"/>
        <w:rPr>
          <w:rFonts w:hint="eastAsia" w:ascii="宋体" w:hAnsi="宋体" w:cs="宋体"/>
        </w:rPr>
      </w:pPr>
      <w:bookmarkStart w:id="580" w:name="_Toc25240"/>
      <w:bookmarkStart w:id="581" w:name="_Toc5746"/>
      <w:bookmarkStart w:id="582" w:name="_Toc13240"/>
      <w:bookmarkStart w:id="583" w:name="_Toc5547"/>
      <w:bookmarkStart w:id="584" w:name="_Toc184137070"/>
      <w:bookmarkStart w:id="585" w:name="_Toc14580"/>
      <w:bookmarkStart w:id="586" w:name="_Toc30093"/>
      <w:bookmarkStart w:id="587" w:name="_Toc4015"/>
      <w:r>
        <w:rPr>
          <w:rFonts w:hint="eastAsia" w:ascii="宋体" w:hAnsi="宋体" w:cs="宋体"/>
        </w:rPr>
        <w:t>7.11</w:t>
      </w:r>
      <w:r>
        <w:rPr>
          <w:rFonts w:ascii="宋体" w:hAnsi="宋体" w:cs="宋体"/>
        </w:rPr>
        <w:t xml:space="preserve"> </w:t>
      </w:r>
      <w:r>
        <w:rPr>
          <w:rFonts w:hint="eastAsia" w:ascii="宋体" w:hAnsi="宋体" w:cs="宋体"/>
        </w:rPr>
        <w:t>监督检查</w:t>
      </w:r>
      <w:bookmarkEnd w:id="578"/>
      <w:bookmarkEnd w:id="579"/>
      <w:bookmarkEnd w:id="580"/>
      <w:bookmarkEnd w:id="581"/>
      <w:bookmarkEnd w:id="582"/>
      <w:bookmarkEnd w:id="583"/>
      <w:bookmarkEnd w:id="584"/>
      <w:bookmarkEnd w:id="585"/>
      <w:bookmarkEnd w:id="586"/>
      <w:bookmarkEnd w:id="587"/>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区应急管理局对大型群众性活动突发事件应急预案实施的全过程进行监督检查。</w:t>
      </w:r>
    </w:p>
    <w:p>
      <w:pPr>
        <w:pStyle w:val="3"/>
        <w:spacing w:before="0" w:after="0" w:line="600" w:lineRule="exact"/>
        <w:ind w:firstLine="643" w:firstLineChars="200"/>
        <w:rPr>
          <w:rFonts w:hint="eastAsia" w:ascii="宋体" w:hAnsi="宋体" w:cs="宋体"/>
        </w:rPr>
      </w:pPr>
      <w:bookmarkStart w:id="588" w:name="_Toc1717"/>
      <w:bookmarkStart w:id="589" w:name="_Toc454961745"/>
      <w:bookmarkStart w:id="590" w:name="_Toc19745"/>
      <w:bookmarkStart w:id="591" w:name="_Toc6864"/>
      <w:bookmarkStart w:id="592" w:name="_Toc31894"/>
      <w:bookmarkStart w:id="593" w:name="_Toc485196813"/>
      <w:bookmarkStart w:id="594" w:name="_Toc184137071"/>
      <w:bookmarkStart w:id="595" w:name="_Toc745"/>
      <w:bookmarkStart w:id="596" w:name="_Toc26819"/>
      <w:bookmarkStart w:id="597" w:name="_Toc25005"/>
      <w:bookmarkStart w:id="598" w:name="_Toc32524"/>
      <w:bookmarkStart w:id="599" w:name="_Toc29887"/>
      <w:r>
        <w:rPr>
          <w:rFonts w:hint="eastAsia" w:ascii="宋体" w:hAnsi="宋体" w:cs="宋体"/>
        </w:rPr>
        <w:t>7.12</w:t>
      </w:r>
      <w:r>
        <w:rPr>
          <w:rFonts w:ascii="宋体" w:hAnsi="宋体" w:cs="宋体"/>
        </w:rPr>
        <w:t xml:space="preserve"> </w:t>
      </w:r>
      <w:r>
        <w:rPr>
          <w:rFonts w:hint="eastAsia" w:ascii="宋体" w:hAnsi="宋体" w:cs="宋体"/>
        </w:rPr>
        <w:t>沟通与协作</w:t>
      </w:r>
      <w:bookmarkEnd w:id="588"/>
      <w:bookmarkEnd w:id="589"/>
      <w:bookmarkEnd w:id="590"/>
      <w:bookmarkEnd w:id="591"/>
      <w:bookmarkEnd w:id="592"/>
      <w:bookmarkEnd w:id="593"/>
      <w:bookmarkEnd w:id="594"/>
      <w:bookmarkEnd w:id="595"/>
      <w:bookmarkEnd w:id="596"/>
      <w:bookmarkEnd w:id="597"/>
      <w:bookmarkEnd w:id="598"/>
      <w:bookmarkEnd w:id="599"/>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区应急指挥部应建立与政府有关部门安全生产应急机构的经常性联系，组织参加区域应急救援活动，开展区域间的应急交流与合作。</w:t>
      </w:r>
    </w:p>
    <w:p>
      <w:pPr>
        <w:pStyle w:val="2"/>
        <w:spacing w:before="0" w:after="0" w:line="600" w:lineRule="exact"/>
        <w:ind w:firstLine="720" w:firstLineChars="200"/>
        <w:rPr>
          <w:rFonts w:hint="eastAsia" w:ascii="黑体" w:hAnsi="黑体" w:eastAsia="黑体" w:cs="黑体"/>
          <w:b w:val="0"/>
          <w:bCs w:val="0"/>
          <w:sz w:val="36"/>
          <w:szCs w:val="36"/>
        </w:rPr>
      </w:pPr>
      <w:bookmarkStart w:id="600" w:name="_Toc23038"/>
      <w:bookmarkStart w:id="601" w:name="_Toc184137072"/>
      <w:bookmarkStart w:id="602" w:name="_Toc485196815"/>
      <w:bookmarkStart w:id="603" w:name="_Toc15266"/>
      <w:bookmarkStart w:id="604" w:name="_Toc11634"/>
      <w:bookmarkStart w:id="605" w:name="_Toc32191"/>
      <w:bookmarkStart w:id="606" w:name="_Toc31552"/>
      <w:bookmarkStart w:id="607" w:name="_Toc32685"/>
      <w:bookmarkStart w:id="608" w:name="_Toc4130"/>
      <w:bookmarkStart w:id="609" w:name="_Toc454961748"/>
      <w:bookmarkStart w:id="610" w:name="_Toc20322"/>
      <w:bookmarkStart w:id="611" w:name="_Toc26757"/>
      <w:r>
        <w:rPr>
          <w:rFonts w:hint="eastAsia" w:ascii="黑体" w:hAnsi="黑体" w:eastAsia="黑体" w:cs="黑体"/>
          <w:b w:val="0"/>
          <w:bCs w:val="0"/>
          <w:sz w:val="36"/>
          <w:szCs w:val="36"/>
        </w:rPr>
        <w:t>8</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预案管理</w:t>
      </w:r>
      <w:bookmarkEnd w:id="600"/>
      <w:bookmarkEnd w:id="601"/>
      <w:bookmarkEnd w:id="602"/>
      <w:bookmarkEnd w:id="603"/>
      <w:bookmarkEnd w:id="604"/>
      <w:bookmarkEnd w:id="605"/>
      <w:bookmarkEnd w:id="606"/>
      <w:bookmarkEnd w:id="607"/>
      <w:bookmarkEnd w:id="608"/>
      <w:bookmarkEnd w:id="609"/>
      <w:bookmarkEnd w:id="610"/>
      <w:bookmarkEnd w:id="611"/>
    </w:p>
    <w:p>
      <w:pPr>
        <w:pStyle w:val="3"/>
        <w:spacing w:before="0" w:after="0" w:line="600" w:lineRule="exact"/>
        <w:ind w:firstLine="643" w:firstLineChars="200"/>
        <w:rPr>
          <w:rFonts w:hint="eastAsia" w:ascii="宋体" w:hAnsi="宋体" w:cs="宋体"/>
        </w:rPr>
      </w:pPr>
      <w:bookmarkStart w:id="612" w:name="_Toc18924"/>
      <w:bookmarkStart w:id="613" w:name="_Toc29110"/>
      <w:bookmarkStart w:id="614" w:name="_Toc1962"/>
      <w:bookmarkStart w:id="615" w:name="_Toc12941"/>
      <w:bookmarkStart w:id="616" w:name="_Toc184137073"/>
      <w:r>
        <w:rPr>
          <w:rFonts w:hint="eastAsia" w:ascii="宋体" w:hAnsi="宋体" w:cs="宋体"/>
        </w:rPr>
        <w:t>8.1</w:t>
      </w:r>
      <w:r>
        <w:rPr>
          <w:rFonts w:ascii="宋体" w:hAnsi="宋体" w:cs="宋体"/>
        </w:rPr>
        <w:t xml:space="preserve"> </w:t>
      </w:r>
      <w:r>
        <w:rPr>
          <w:rFonts w:hint="eastAsia" w:ascii="宋体" w:hAnsi="宋体" w:cs="宋体"/>
        </w:rPr>
        <w:t>预案修订</w:t>
      </w:r>
      <w:bookmarkEnd w:id="612"/>
      <w:bookmarkEnd w:id="613"/>
      <w:bookmarkEnd w:id="614"/>
      <w:bookmarkEnd w:id="615"/>
      <w:bookmarkEnd w:id="616"/>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（1）本预案由区应急管理局负责组织按照有关规定管理与修订。</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有关法律、法规、规章、标准、上位预案中的有关规定发生重大变化的；应急指挥机构及其职责发生重大调整的；面临的风险发生重大变化的；重要应急资源发生重大变化的；在突发事件实际应对和应急演练中发现问题需要作出重大调整的；应当修订的其他情况，如应急救援实践的经验教训或出现的新情况和应急演练发现预案存在的问题，区应急管理局应及时修订完善本预案。</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应急预案修订涉及组织指挥体系与职责、应急处置程序、主要处置措施、突发事件分级标准等重要内容的，修订工作应按规定程序组织进行编制、审批、备案、发布。仅涉及其他内容的，修订程序可根据情况适当简化。</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（4）企业制定的应急预案应当至少每三年修订一次，预案修订情况应有记录并归档。</w:t>
      </w:r>
    </w:p>
    <w:p>
      <w:pPr>
        <w:pStyle w:val="3"/>
        <w:spacing w:before="0" w:after="0" w:line="600" w:lineRule="exact"/>
        <w:ind w:firstLine="643" w:firstLineChars="200"/>
        <w:rPr>
          <w:rFonts w:hint="eastAsia" w:ascii="宋体" w:hAnsi="宋体" w:cs="宋体"/>
        </w:rPr>
      </w:pPr>
      <w:bookmarkStart w:id="617" w:name="_Toc24463"/>
      <w:bookmarkStart w:id="618" w:name="_Toc184137074"/>
      <w:bookmarkStart w:id="619" w:name="_Toc28170"/>
      <w:bookmarkStart w:id="620" w:name="_Toc695"/>
      <w:bookmarkStart w:id="621" w:name="_Toc1886"/>
      <w:r>
        <w:rPr>
          <w:rFonts w:hint="eastAsia" w:ascii="宋体" w:hAnsi="宋体" w:cs="宋体"/>
        </w:rPr>
        <w:t>8.2</w:t>
      </w:r>
      <w:r>
        <w:rPr>
          <w:rFonts w:ascii="宋体" w:hAnsi="宋体" w:cs="宋体"/>
        </w:rPr>
        <w:t xml:space="preserve"> </w:t>
      </w:r>
      <w:r>
        <w:rPr>
          <w:rFonts w:hint="eastAsia" w:ascii="宋体" w:hAnsi="宋体" w:cs="宋体"/>
        </w:rPr>
        <w:t>预案审批、发布与备案</w:t>
      </w:r>
      <w:bookmarkEnd w:id="617"/>
      <w:bookmarkEnd w:id="618"/>
      <w:bookmarkEnd w:id="619"/>
      <w:bookmarkEnd w:id="620"/>
      <w:bookmarkEnd w:id="621"/>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（1）本预案编制或修订完成后，按程序报区委</w:t>
      </w:r>
      <w:r>
        <w:rPr>
          <w:rFonts w:ascii="仿宋" w:hAnsi="仿宋" w:eastAsia="仿宋"/>
          <w:sz w:val="32"/>
          <w:szCs w:val="32"/>
        </w:rPr>
        <w:t>、</w:t>
      </w:r>
      <w:r>
        <w:rPr>
          <w:rFonts w:hint="eastAsia" w:ascii="仿宋" w:hAnsi="仿宋" w:eastAsia="仿宋"/>
          <w:sz w:val="32"/>
          <w:szCs w:val="32"/>
        </w:rPr>
        <w:t>区政府审批，以区人民政府办公室或者区应急指挥部名义印发。</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（2）本预案自发布之日起实施。本预案中附件所列的相关单位工作人员如因职务调整、工作调动等原因发生变动时，由继任者继续履行其职责。</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本预案审批单位应当在应急预案印发后的20个工作日内报市公安局备案，同时抄送市应急管理局和区政法委、区人民武装部、市公安局海棠分局、区旅游和文化广电体育局、三亚市海棠区消防救援大队等区应急指挥部有关部门。</w:t>
      </w:r>
    </w:p>
    <w:p>
      <w:pPr>
        <w:pStyle w:val="3"/>
        <w:spacing w:before="0" w:after="0" w:line="600" w:lineRule="exact"/>
        <w:ind w:firstLine="643" w:firstLineChars="200"/>
        <w:rPr>
          <w:rFonts w:hint="eastAsia" w:ascii="宋体" w:hAnsi="宋体" w:cs="宋体"/>
        </w:rPr>
      </w:pPr>
      <w:bookmarkStart w:id="622" w:name="_Toc1091"/>
      <w:bookmarkStart w:id="623" w:name="_Toc184137075"/>
      <w:bookmarkStart w:id="624" w:name="_Toc20235"/>
      <w:bookmarkStart w:id="625" w:name="_Toc10263"/>
      <w:bookmarkStart w:id="626" w:name="_Toc5339"/>
      <w:r>
        <w:rPr>
          <w:rFonts w:hint="eastAsia" w:ascii="宋体" w:hAnsi="宋体" w:cs="宋体"/>
        </w:rPr>
        <w:t>8.3</w:t>
      </w:r>
      <w:r>
        <w:rPr>
          <w:rFonts w:ascii="宋体" w:hAnsi="宋体" w:cs="宋体"/>
        </w:rPr>
        <w:t xml:space="preserve"> </w:t>
      </w:r>
      <w:r>
        <w:rPr>
          <w:rFonts w:hint="eastAsia" w:ascii="宋体" w:hAnsi="宋体" w:cs="宋体"/>
        </w:rPr>
        <w:t>预案解释</w:t>
      </w:r>
      <w:bookmarkEnd w:id="622"/>
      <w:bookmarkEnd w:id="623"/>
      <w:bookmarkEnd w:id="624"/>
      <w:bookmarkEnd w:id="625"/>
      <w:bookmarkEnd w:id="626"/>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本预案由区应急管理局负责解释。</w:t>
      </w:r>
    </w:p>
    <w:p>
      <w:pPr>
        <w:pStyle w:val="2"/>
        <w:spacing w:before="0" w:after="0" w:line="600" w:lineRule="exact"/>
        <w:ind w:firstLine="720" w:firstLineChars="200"/>
        <w:rPr>
          <w:rFonts w:hint="eastAsia" w:ascii="黑体" w:hAnsi="黑体" w:eastAsia="黑体" w:cs="黑体"/>
          <w:b w:val="0"/>
          <w:bCs w:val="0"/>
          <w:sz w:val="36"/>
          <w:szCs w:val="36"/>
        </w:rPr>
      </w:pPr>
      <w:bookmarkStart w:id="627" w:name="_Toc22624"/>
      <w:bookmarkStart w:id="628" w:name="_Toc27332"/>
      <w:bookmarkStart w:id="629" w:name="_Toc18709"/>
      <w:bookmarkStart w:id="630" w:name="_Toc184137076"/>
      <w:bookmarkStart w:id="631" w:name="_Toc3476"/>
      <w:r>
        <w:rPr>
          <w:rFonts w:hint="eastAsia" w:ascii="黑体" w:hAnsi="黑体" w:eastAsia="黑体" w:cs="黑体"/>
          <w:b w:val="0"/>
          <w:bCs w:val="0"/>
          <w:sz w:val="36"/>
          <w:szCs w:val="36"/>
        </w:rPr>
        <w:t>9</w:t>
      </w:r>
      <w:r>
        <w:rPr>
          <w:rFonts w:ascii="黑体" w:hAnsi="黑体" w:eastAsia="黑体" w:cs="黑体"/>
          <w:b w:val="0"/>
          <w:bCs w:val="0"/>
          <w:sz w:val="36"/>
          <w:szCs w:val="36"/>
        </w:rPr>
        <w:t xml:space="preserve"> </w:t>
      </w:r>
      <w:r>
        <w:rPr>
          <w:rFonts w:hint="eastAsia" w:ascii="黑体" w:hAnsi="黑体" w:eastAsia="黑体" w:cs="黑体"/>
          <w:b w:val="0"/>
          <w:bCs w:val="0"/>
          <w:sz w:val="36"/>
          <w:szCs w:val="36"/>
        </w:rPr>
        <w:t>附则</w:t>
      </w:r>
      <w:bookmarkEnd w:id="627"/>
      <w:bookmarkEnd w:id="628"/>
      <w:bookmarkEnd w:id="629"/>
      <w:bookmarkEnd w:id="630"/>
      <w:bookmarkEnd w:id="631"/>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名词术语解释：</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《大型群众性活动安全管理条例》所称大型群众性活动，是指法人或者其他组织面向社会公众举办的每场次预计参加人数达到1000人以上的下列活动。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体育比赛活动；演唱会、音乐会等文艺演出活动；展览、展销等活动；游园、灯会、庙会、花会、焰火晚会等活动；人才招聘会、现场开奖的彩票销售等活动。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影剧院、音乐厅、公园、娱乐场所等在其日常业务范围内举办的活动，不在此列。</w:t>
      </w:r>
    </w:p>
    <w:p>
      <w:pPr>
        <w:spacing w:line="360" w:lineRule="auto"/>
        <w:ind w:firstLine="643" w:firstLineChars="200"/>
        <w:rPr>
          <w:rFonts w:hint="eastAsia" w:ascii="黑体" w:hAnsi="黑体" w:eastAsia="黑体" w:cs="黑体"/>
          <w:b/>
          <w:sz w:val="32"/>
          <w:szCs w:val="32"/>
        </w:rPr>
      </w:pPr>
    </w:p>
    <w:p>
      <w:pPr>
        <w:pStyle w:val="2"/>
        <w:spacing w:before="0" w:after="0" w:line="600" w:lineRule="exact"/>
        <w:ind w:firstLine="720" w:firstLineChars="200"/>
        <w:rPr>
          <w:rFonts w:hint="eastAsia" w:ascii="黑体" w:hAnsi="黑体" w:eastAsia="黑体" w:cs="黑体"/>
          <w:b w:val="0"/>
          <w:bCs w:val="0"/>
          <w:sz w:val="36"/>
          <w:szCs w:val="36"/>
        </w:rPr>
      </w:pPr>
      <w:bookmarkStart w:id="632" w:name="_Toc184137077"/>
      <w:bookmarkStart w:id="633" w:name="_Toc14199"/>
      <w:bookmarkStart w:id="634" w:name="_Toc962"/>
      <w:bookmarkStart w:id="635" w:name="_Toc26888"/>
      <w:bookmarkStart w:id="636" w:name="_Toc17323"/>
      <w:bookmarkStart w:id="637" w:name="_Toc22181"/>
      <w:r>
        <w:rPr>
          <w:rFonts w:hint="eastAsia" w:ascii="黑体" w:hAnsi="黑体" w:eastAsia="黑体" w:cs="黑体"/>
          <w:b w:val="0"/>
          <w:bCs w:val="0"/>
          <w:sz w:val="36"/>
          <w:szCs w:val="36"/>
        </w:rPr>
        <w:t>10 附件</w:t>
      </w:r>
      <w:bookmarkEnd w:id="632"/>
      <w:bookmarkEnd w:id="633"/>
      <w:bookmarkEnd w:id="634"/>
      <w:bookmarkEnd w:id="635"/>
      <w:bookmarkEnd w:id="636"/>
      <w:bookmarkEnd w:id="637"/>
    </w:p>
    <w:p>
      <w:pPr>
        <w:spacing w:line="360" w:lineRule="auto"/>
        <w:ind w:firstLine="640" w:firstLineChars="200"/>
        <w:rPr>
          <w:rFonts w:hint="eastAsia" w:ascii="仿宋" w:hAnsi="仿宋" w:eastAsia="仿宋"/>
          <w:sz w:val="32"/>
          <w:szCs w:val="32"/>
        </w:rPr>
      </w:pPr>
      <w:r>
        <w:rPr>
          <w:rFonts w:hint="eastAsia" w:ascii="仿宋" w:hAnsi="仿宋" w:eastAsia="仿宋"/>
          <w:kern w:val="1"/>
          <w:sz w:val="32"/>
          <w:szCs w:val="32"/>
        </w:rPr>
        <w:t xml:space="preserve">附件1 </w:t>
      </w:r>
      <w:r>
        <w:rPr>
          <w:rFonts w:hint="eastAsia" w:ascii="仿宋" w:hAnsi="仿宋" w:eastAsia="仿宋"/>
          <w:sz w:val="32"/>
          <w:szCs w:val="32"/>
        </w:rPr>
        <w:t>区大型群众性活动突发事件应急响应流程图</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附件2 区大型群众性活动突发事件应急指挥机构成员联系方式</w:t>
      </w:r>
    </w:p>
    <w:p>
      <w:pPr>
        <w:pStyle w:val="3"/>
        <w:spacing w:before="0" w:after="0" w:line="360" w:lineRule="auto"/>
        <w:rPr>
          <w:color w:val="auto"/>
        </w:rPr>
        <w:sectPr>
          <w:footerReference r:id="rId7" w:type="default"/>
          <w:pgSz w:w="11906" w:h="16838"/>
          <w:pgMar w:top="1800" w:right="1440" w:bottom="1800" w:left="1440" w:header="851" w:footer="992" w:gutter="0"/>
          <w:pgNumType w:start="1"/>
          <w:cols w:space="720" w:num="1"/>
          <w:docGrid w:type="lines" w:linePitch="312" w:charSpace="0"/>
        </w:sectPr>
      </w:pPr>
      <w:r>
        <w:rPr>
          <w:rFonts w:hint="eastAsia" w:ascii="楷体" w:hAnsi="楷体" w:eastAsia="楷体"/>
          <w:color w:val="auto"/>
        </w:rPr>
        <w:t xml:space="preserve">  </w:t>
      </w:r>
    </w:p>
    <w:p>
      <w:pPr>
        <w:pStyle w:val="3"/>
        <w:spacing w:before="0" w:after="0" w:line="600" w:lineRule="exact"/>
        <w:ind w:firstLine="643" w:firstLineChars="200"/>
        <w:rPr>
          <w:rFonts w:hint="eastAsia" w:ascii="宋体" w:hAnsi="宋体" w:cs="宋体"/>
        </w:rPr>
      </w:pPr>
      <w:bookmarkStart w:id="638" w:name="_Toc16213"/>
      <w:bookmarkStart w:id="639" w:name="_Toc12678"/>
      <w:bookmarkStart w:id="640" w:name="_Toc184137078"/>
      <w:bookmarkStart w:id="641" w:name="_Toc10178"/>
      <w:bookmarkStart w:id="642" w:name="_Toc32570"/>
      <w:r>
        <w:rPr>
          <w:rFonts w:hint="eastAsia" w:ascii="宋体" w:hAnsi="宋体" w:cs="宋体"/>
        </w:rPr>
        <w:t>附件1区大型群众性活动突发事件应急响应流程图</w:t>
      </w:r>
      <w:bookmarkEnd w:id="638"/>
      <w:bookmarkEnd w:id="639"/>
      <w:bookmarkEnd w:id="640"/>
      <w:bookmarkEnd w:id="641"/>
      <w:bookmarkEnd w:id="642"/>
    </w:p>
    <w:p>
      <w:pPr>
        <w:keepNext/>
        <w:keepLines/>
        <w:spacing w:line="360" w:lineRule="auto"/>
        <w:jc w:val="center"/>
        <w:outlineLvl w:val="0"/>
      </w:pPr>
    </w:p>
    <w:p>
      <w:pPr>
        <w:pStyle w:val="3"/>
        <w:rPr>
          <w:color w:val="auto"/>
        </w:rPr>
      </w:pPr>
      <w:bookmarkStart w:id="643" w:name="_Toc184131409"/>
      <w:bookmarkStart w:id="644" w:name="_Toc184131121"/>
      <w:bookmarkStart w:id="645" w:name="_Toc184131217"/>
      <w:bookmarkStart w:id="646" w:name="_Toc184131016"/>
      <w:bookmarkStart w:id="647" w:name="_Toc184131313"/>
      <w:bookmarkStart w:id="648" w:name="_Toc184131520"/>
      <w:bookmarkStart w:id="649" w:name="_Toc184137079"/>
      <w:bookmarkStart w:id="650" w:name="_Toc184131613"/>
      <w:r>
        <w:rPr>
          <w:color w:val="auto"/>
        </w:rPr>
        <mc:AlternateContent>
          <mc:Choice Requires="wps">
            <w:drawing>
              <wp:anchor distT="0" distB="0" distL="114300" distR="114300" simplePos="0" relativeHeight="251659264" behindDoc="0" locked="0" layoutInCell="1" allowOverlap="1">
                <wp:simplePos x="0" y="0"/>
                <wp:positionH relativeFrom="column">
                  <wp:posOffset>1612900</wp:posOffset>
                </wp:positionH>
                <wp:positionV relativeFrom="paragraph">
                  <wp:posOffset>290195</wp:posOffset>
                </wp:positionV>
                <wp:extent cx="2063750" cy="936625"/>
                <wp:effectExtent l="20320" t="10160" r="49530" b="24765"/>
                <wp:wrapNone/>
                <wp:docPr id="1" name="自选图形 34"/>
                <wp:cNvGraphicFramePr/>
                <a:graphic xmlns:a="http://schemas.openxmlformats.org/drawingml/2006/main">
                  <a:graphicData uri="http://schemas.microsoft.com/office/word/2010/wordprocessingShape">
                    <wps:wsp>
                      <wps:cNvSpPr/>
                      <wps:spPr>
                        <a:xfrm>
                          <a:off x="0" y="0"/>
                          <a:ext cx="2063750" cy="936625"/>
                        </a:xfrm>
                        <a:prstGeom prst="irregularSeal1">
                          <a:avLst/>
                        </a:prstGeom>
                        <a:solidFill>
                          <a:srgbClr val="FFFFFF"/>
                        </a:solidFill>
                        <a:ln w="9525" cap="flat" cmpd="sng">
                          <a:solidFill>
                            <a:srgbClr val="000000"/>
                          </a:solidFill>
                          <a:prstDash val="solid"/>
                          <a:miter/>
                          <a:headEnd type="none" w="med" len="med"/>
                          <a:tailEnd type="none" w="med" len="med"/>
                        </a:ln>
                      </wps:spPr>
                      <wps:txbx>
                        <w:txbxContent>
                          <w:p>
                            <w:pPr>
                              <w:jc w:val="center"/>
                              <w:rPr>
                                <w:b/>
                                <w:bCs/>
                              </w:rPr>
                            </w:pPr>
                            <w:r>
                              <w:rPr>
                                <w:rFonts w:hint="eastAsia"/>
                                <w:b/>
                                <w:bCs/>
                              </w:rPr>
                              <w:t>突发事件发生</w:t>
                            </w:r>
                          </w:p>
                        </w:txbxContent>
                      </wps:txbx>
                      <wps:bodyPr wrap="square" upright="1"/>
                    </wps:wsp>
                  </a:graphicData>
                </a:graphic>
              </wp:anchor>
            </w:drawing>
          </mc:Choice>
          <mc:Fallback>
            <w:pict>
              <v:shape id="自选图形 34" o:spid="_x0000_s1026" o:spt="71" type="#_x0000_t71" style="position:absolute;left:0pt;margin-left:127pt;margin-top:22.85pt;height:73.75pt;width:162.5pt;z-index:251659264;mso-width-relative:page;mso-height-relative:page;" fillcolor="#FFFFFF" filled="t" stroked="t" coordsize="21600,21600" o:gfxdata="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Ti6C2QAAAAoBAAAPAAAAAAAAAAEAIAAAACIAAABkcnMv&#10;ZG93bnJldi54bWxQSwECFAAUAAAACACHTuJAPoHiCwICAAD6AwAADgAAAAAAAAABACAAAAAoAQAA&#10;ZHJzL2Uyb0RvYy54bWxQSwUGAAAAAAYABgBZAQAAnAUAAAAA&#10;">
                <v:fill on="t" focussize="0,0"/>
                <v:stroke color="#000000" joinstyle="miter"/>
                <v:imagedata o:title=""/>
                <o:lock v:ext="edit" aspectratio="f"/>
                <v:textbox>
                  <w:txbxContent>
                    <w:p>
                      <w:pPr>
                        <w:jc w:val="center"/>
                        <w:rPr>
                          <w:b/>
                          <w:bCs/>
                        </w:rPr>
                      </w:pPr>
                      <w:r>
                        <w:rPr>
                          <w:rFonts w:hint="eastAsia"/>
                          <w:b/>
                          <w:bCs/>
                        </w:rPr>
                        <w:t>突发事件发生</w:t>
                      </w:r>
                    </w:p>
                  </w:txbxContent>
                </v:textbox>
              </v:shape>
            </w:pict>
          </mc:Fallback>
        </mc:AlternateContent>
      </w:r>
      <w:bookmarkEnd w:id="643"/>
      <w:bookmarkEnd w:id="644"/>
      <w:bookmarkEnd w:id="645"/>
      <w:bookmarkEnd w:id="646"/>
      <w:bookmarkEnd w:id="647"/>
      <w:bookmarkEnd w:id="648"/>
      <w:bookmarkEnd w:id="649"/>
      <w:bookmarkEnd w:id="650"/>
    </w:p>
    <w:p>
      <w:pPr/>
    </w:p>
    <w:p>
      <w:pPr>
        <w:pStyle w:val="3"/>
        <w:rPr>
          <w:color w:val="auto"/>
        </w:rPr>
      </w:pPr>
      <w:bookmarkStart w:id="651" w:name="_Toc184131521"/>
      <w:bookmarkStart w:id="652" w:name="_Toc184137080"/>
      <w:bookmarkStart w:id="653" w:name="_Toc184131218"/>
      <w:bookmarkStart w:id="654" w:name="_Toc184131017"/>
      <w:bookmarkStart w:id="655" w:name="_Toc184131122"/>
      <w:bookmarkStart w:id="656" w:name="_Toc184131410"/>
      <w:bookmarkStart w:id="657" w:name="_Toc184131614"/>
      <w:bookmarkStart w:id="658" w:name="_Toc184131314"/>
      <w:r>
        <w:rPr>
          <w:color w:val="auto"/>
        </w:rPr>
        <mc:AlternateContent>
          <mc:Choice Requires="wps">
            <w:drawing>
              <wp:anchor distT="0" distB="0" distL="114300" distR="114300" simplePos="0" relativeHeight="251660288" behindDoc="0" locked="0" layoutInCell="1" allowOverlap="1">
                <wp:simplePos x="0" y="0"/>
                <wp:positionH relativeFrom="column">
                  <wp:posOffset>2159000</wp:posOffset>
                </wp:positionH>
                <wp:positionV relativeFrom="paragraph">
                  <wp:posOffset>495300</wp:posOffset>
                </wp:positionV>
                <wp:extent cx="928370" cy="373380"/>
                <wp:effectExtent l="5080" t="4445" r="19050" b="22225"/>
                <wp:wrapNone/>
                <wp:docPr id="2" name="矩形 36"/>
                <wp:cNvGraphicFramePr/>
                <a:graphic xmlns:a="http://schemas.openxmlformats.org/drawingml/2006/main">
                  <a:graphicData uri="http://schemas.microsoft.com/office/word/2010/wordprocessingShape">
                    <wps:wsp>
                      <wps:cNvSpPr/>
                      <wps:spPr>
                        <a:xfrm>
                          <a:off x="0" y="0"/>
                          <a:ext cx="92837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b/>
                                <w:bCs/>
                              </w:rPr>
                              <w:t>信息报告</w:t>
                            </w:r>
                          </w:p>
                        </w:txbxContent>
                      </wps:txbx>
                      <wps:bodyPr wrap="square" upright="1"/>
                    </wps:wsp>
                  </a:graphicData>
                </a:graphic>
              </wp:anchor>
            </w:drawing>
          </mc:Choice>
          <mc:Fallback>
            <w:pict>
              <v:rect id="矩形 36" o:spid="_x0000_s1026" o:spt="1" style="position:absolute;left:0pt;margin-left:170pt;margin-top:39pt;height:29.4pt;width:73.1pt;z-index:251660288;mso-width-relative:page;mso-height-relative:page;" fillcolor="#FFFFFF" filled="t" stroked="t" coordsize="21600,21600" o:gfxdata="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10xN2AAAAAoBAAAPAAAAAAAAAAEAIAAAACIAAABkcnMvZG93bnJldi54bWxQSwEC&#10;FAAUAAAACACHTuJAYZa64PQBAADpAwAADgAAAAAAAAABACAAAAAnAQAAZHJzL2Uyb0RvYy54bWxQ&#10;SwUGAAAAAAYABgBZAQAAjQUAAAAA&#10;">
                <v:fill on="t" focussize="0,0"/>
                <v:stroke color="#000000" joinstyle="miter"/>
                <v:imagedata o:title=""/>
                <o:lock v:ext="edit" aspectratio="f"/>
                <v:textbox>
                  <w:txbxContent>
                    <w:p>
                      <w:pPr>
                        <w:spacing w:line="360" w:lineRule="auto"/>
                        <w:jc w:val="center"/>
                        <w:rPr>
                          <w:b/>
                          <w:bCs/>
                        </w:rPr>
                      </w:pPr>
                      <w:r>
                        <w:rPr>
                          <w:rFonts w:hint="eastAsia"/>
                          <w:b/>
                          <w:bCs/>
                        </w:rPr>
                        <w:t>信息报告</w:t>
                      </w:r>
                    </w:p>
                  </w:txbxContent>
                </v:textbox>
              </v:rect>
            </w:pict>
          </mc:Fallback>
        </mc:AlternateContent>
      </w:r>
      <w:r>
        <w:rPr>
          <w:color w:val="auto"/>
        </w:rPr>
        <mc:AlternateContent>
          <mc:Choice Requires="wps">
            <w:drawing>
              <wp:anchor distT="0" distB="0" distL="114300" distR="114300" simplePos="0" relativeHeight="251662336" behindDoc="0" locked="0" layoutInCell="1" allowOverlap="1">
                <wp:simplePos x="0" y="0"/>
                <wp:positionH relativeFrom="column">
                  <wp:posOffset>4057015</wp:posOffset>
                </wp:positionH>
                <wp:positionV relativeFrom="paragraph">
                  <wp:posOffset>428625</wp:posOffset>
                </wp:positionV>
                <wp:extent cx="1444625" cy="524510"/>
                <wp:effectExtent l="718185" t="4445" r="8890" b="23495"/>
                <wp:wrapNone/>
                <wp:docPr id="4" name="自选图形 38"/>
                <wp:cNvGraphicFramePr/>
                <a:graphic xmlns:a="http://schemas.openxmlformats.org/drawingml/2006/main">
                  <a:graphicData uri="http://schemas.microsoft.com/office/word/2010/wordprocessingShape">
                    <wps:wsp>
                      <wps:cNvSpPr/>
                      <wps:spPr>
                        <a:xfrm>
                          <a:off x="0" y="0"/>
                          <a:ext cx="1444625" cy="524510"/>
                        </a:xfrm>
                        <a:prstGeom prst="wedgeRectCallout">
                          <a:avLst>
                            <a:gd name="adj1" fmla="val -97074"/>
                            <a:gd name="adj2" fmla="val -11745"/>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基层、企事业单位</w:t>
                            </w:r>
                          </w:p>
                          <w:p>
                            <w:pPr/>
                            <w:r>
                              <w:rPr>
                                <w:rFonts w:hint="eastAsia"/>
                              </w:rPr>
                              <w:t>信息员</w:t>
                            </w:r>
                          </w:p>
                        </w:txbxContent>
                      </wps:txbx>
                      <wps:bodyPr wrap="square" upright="1"/>
                    </wps:wsp>
                  </a:graphicData>
                </a:graphic>
              </wp:anchor>
            </w:drawing>
          </mc:Choice>
          <mc:Fallback>
            <w:pict>
              <v:shape id="自选图形 38" o:spid="_x0000_s1026" o:spt="61" type="#_x0000_t61" style="position:absolute;left:0pt;margin-left:319.45pt;margin-top:33.75pt;height:41.3pt;width:113.75pt;z-index:251662336;mso-width-relative:page;mso-height-relative:page;" fillcolor="#FFFFFF" filled="t" stroked="t" coordsize="21600,21600" o:gfxdata="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Luy02wAAAAoBAAAPAAAAAAAAAAEAIAAAACIAAABkcnMvZG93bnJldi54bWxQSwEC&#10;FAAUAAAACACHTuJAVd1GNioCAABPBAAADgAAAAAAAAABACAAAAAqAQAAZHJzL2Uyb0RvYy54bWxQ&#10;SwUGAAAAAAYABgBZAQAAxgUAAAAA&#10;" adj="-10168,8263">
                <v:fill on="t" focussize="0,0"/>
                <v:stroke color="#000000" joinstyle="miter"/>
                <v:imagedata o:title=""/>
                <o:lock v:ext="edit" aspectratio="f"/>
                <v:textbox>
                  <w:txbxContent>
                    <w:p>
                      <w:pPr>
                        <w:rPr>
                          <w:rFonts w:hint="eastAsia"/>
                        </w:rPr>
                      </w:pPr>
                      <w:r>
                        <w:rPr>
                          <w:rFonts w:hint="eastAsia"/>
                        </w:rPr>
                        <w:t>基层、企事业单位</w:t>
                      </w:r>
                    </w:p>
                    <w:p>
                      <w:pPr/>
                      <w:r>
                        <w:rPr>
                          <w:rFonts w:hint="eastAsia"/>
                        </w:rPr>
                        <w:t>信息员</w:t>
                      </w:r>
                    </w:p>
                  </w:txbxContent>
                </v:textbox>
              </v:shape>
            </w:pict>
          </mc:Fallback>
        </mc:AlternateContent>
      </w:r>
      <w:r>
        <w:rPr>
          <w:color w:val="auto"/>
        </w:rPr>
        <mc:AlternateContent>
          <mc:Choice Requires="wps">
            <w:drawing>
              <wp:anchor distT="0" distB="0" distL="114300" distR="114300" simplePos="0" relativeHeight="251661312" behindDoc="0" locked="0" layoutInCell="1" allowOverlap="1">
                <wp:simplePos x="0" y="0"/>
                <wp:positionH relativeFrom="column">
                  <wp:posOffset>2621280</wp:posOffset>
                </wp:positionH>
                <wp:positionV relativeFrom="paragraph">
                  <wp:posOffset>160655</wp:posOffset>
                </wp:positionV>
                <wp:extent cx="7620" cy="333375"/>
                <wp:effectExtent l="46990" t="0" r="59690" b="9525"/>
                <wp:wrapNone/>
                <wp:docPr id="3" name="直线 37"/>
                <wp:cNvGraphicFramePr/>
                <a:graphic xmlns:a="http://schemas.openxmlformats.org/drawingml/2006/main">
                  <a:graphicData uri="http://schemas.microsoft.com/office/word/2010/wordprocessingShape">
                    <wps:wsp>
                      <wps:cNvCnPr/>
                      <wps:spPr>
                        <a:xfrm flipH="1">
                          <a:off x="0" y="0"/>
                          <a:ext cx="7620" cy="3333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7" o:spid="_x0000_s1026" o:spt="20" style="position:absolute;left:0pt;flip:x;margin-left:206.4pt;margin-top:12.65pt;height:26.25pt;width:0.6pt;z-index:251661312;mso-width-relative:page;mso-height-relative:page;" filled="f" stroked="t" coordsize="21600,21600" o:gfxdata="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EMch2AAAAAkBAAAPAAAAAAAA&#10;AAEAIAAAACIAAABkcnMvZG93bnJldi54bWxQSwECFAAUAAAACACHTuJA5T5AK9kBAACbAwAADgAA&#10;AAAAAAABACAAAAAnAQAAZHJzL2Uyb0RvYy54bWxQSwUGAAAAAAYABgBZAQAAcgUAAAAA&#10;">
                <v:fill on="f" focussize="0,0"/>
                <v:stroke color="#000000" joinstyle="round" endarrow="open"/>
                <v:imagedata o:title=""/>
                <o:lock v:ext="edit" aspectratio="f"/>
              </v:line>
            </w:pict>
          </mc:Fallback>
        </mc:AlternateContent>
      </w:r>
      <w:bookmarkEnd w:id="651"/>
      <w:bookmarkEnd w:id="652"/>
      <w:bookmarkEnd w:id="653"/>
      <w:bookmarkEnd w:id="654"/>
      <w:bookmarkEnd w:id="655"/>
      <w:bookmarkEnd w:id="656"/>
      <w:bookmarkEnd w:id="657"/>
      <w:bookmarkEnd w:id="658"/>
    </w:p>
    <w:p>
      <w:pPr/>
      <w:r>
        <w:rPr>
          <w:sz w:val="32"/>
        </w:rPr>
        <mc:AlternateContent>
          <mc:Choice Requires="wps">
            <w:drawing>
              <wp:anchor distT="0" distB="0" distL="114300" distR="114300" simplePos="0" relativeHeight="251663360" behindDoc="0" locked="0" layoutInCell="1" allowOverlap="1">
                <wp:simplePos x="0" y="0"/>
                <wp:positionH relativeFrom="column">
                  <wp:posOffset>2636520</wp:posOffset>
                </wp:positionH>
                <wp:positionV relativeFrom="paragraph">
                  <wp:posOffset>139700</wp:posOffset>
                </wp:positionV>
                <wp:extent cx="635" cy="214630"/>
                <wp:effectExtent l="48895" t="0" r="64770" b="13970"/>
                <wp:wrapNone/>
                <wp:docPr id="5" name="直线 39"/>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39" o:spid="_x0000_s1026" o:spt="20" style="position:absolute;left:0pt;margin-left:207.6pt;margin-top:11pt;height:16.9pt;width:0.05pt;z-index:251663360;mso-width-relative:page;mso-height-relative:page;" filled="f" stroked="t" coordsize="21600,21600" o:gfxdata="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0v+ezZAAAACQEAAA8AAAAAAAAAAQAg&#10;AAAAIgAAAGRycy9kb3ducmV2LnhtbFBLAQIUABQAAAAIAIdO4kCQNgdA1AEAAJADAAAOAAAAAAAA&#10;AAEAIAAAACgBAABkcnMvZTJvRG9jLnhtbFBLBQYAAAAABgAGAFkBAABuBQAAAAA=&#10;">
                <v:fill on="f" focussize="0,0"/>
                <v:stroke color="#000000" joinstyle="round" endarrow="open"/>
                <v:imagedata o:title=""/>
                <o:lock v:ext="edit" aspectratio="f"/>
              </v:line>
            </w:pict>
          </mc:Fallback>
        </mc:AlternateContent>
      </w:r>
    </w:p>
    <w:p>
      <w:pPr>
        <w:pStyle w:val="3"/>
        <w:rPr>
          <w:color w:val="auto"/>
        </w:rPr>
      </w:pPr>
      <w:bookmarkStart w:id="659" w:name="_Toc184131019"/>
      <w:bookmarkStart w:id="660" w:name="_Toc184131316"/>
      <w:bookmarkStart w:id="661" w:name="_Toc184131124"/>
      <w:bookmarkStart w:id="662" w:name="_Toc184131220"/>
      <w:bookmarkStart w:id="663" w:name="_Toc184131522"/>
      <w:bookmarkStart w:id="664" w:name="_Toc184131615"/>
      <w:bookmarkStart w:id="665" w:name="_Toc184131411"/>
      <w:bookmarkStart w:id="666" w:name="_Toc184137081"/>
      <w:r>
        <w:rPr>
          <w:color w:val="auto"/>
        </w:rPr>
        <mc:AlternateContent>
          <mc:Choice Requires="wps">
            <w:drawing>
              <wp:anchor distT="0" distB="0" distL="114300" distR="114300" simplePos="0" relativeHeight="251667456" behindDoc="0" locked="0" layoutInCell="1" allowOverlap="1">
                <wp:simplePos x="0" y="0"/>
                <wp:positionH relativeFrom="column">
                  <wp:posOffset>1637665</wp:posOffset>
                </wp:positionH>
                <wp:positionV relativeFrom="paragraph">
                  <wp:posOffset>715010</wp:posOffset>
                </wp:positionV>
                <wp:extent cx="2014855" cy="690880"/>
                <wp:effectExtent l="4445" t="4445" r="19050" b="9525"/>
                <wp:wrapNone/>
                <wp:docPr id="9" name="矩形 43"/>
                <wp:cNvGraphicFramePr/>
                <a:graphic xmlns:a="http://schemas.openxmlformats.org/drawingml/2006/main">
                  <a:graphicData uri="http://schemas.microsoft.com/office/word/2010/wordprocessingShape">
                    <wps:wsp>
                      <wps:cNvSpPr/>
                      <wps:spPr>
                        <a:xfrm>
                          <a:off x="0" y="0"/>
                          <a:ext cx="2014855" cy="690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b/>
                                <w:szCs w:val="21"/>
                              </w:rPr>
                            </w:pPr>
                            <w:r>
                              <w:rPr>
                                <w:rFonts w:hint="eastAsia"/>
                                <w:b/>
                                <w:szCs w:val="21"/>
                              </w:rPr>
                              <w:t>基本响应（按应急处置等级）</w:t>
                            </w:r>
                          </w:p>
                          <w:p>
                            <w:pPr>
                              <w:spacing w:line="240" w:lineRule="exact"/>
                              <w:rPr>
                                <w:szCs w:val="21"/>
                              </w:rPr>
                            </w:pPr>
                            <w:r>
                              <w:rPr>
                                <w:rFonts w:hint="eastAsia"/>
                                <w:szCs w:val="21"/>
                              </w:rPr>
                              <w:t>1.启动四级响应；报告市政府</w:t>
                            </w:r>
                          </w:p>
                          <w:p>
                            <w:pPr>
                              <w:spacing w:line="240" w:lineRule="exact"/>
                              <w:rPr>
                                <w:rFonts w:hint="eastAsia"/>
                                <w:szCs w:val="21"/>
                              </w:rPr>
                            </w:pPr>
                            <w:r>
                              <w:rPr>
                                <w:rFonts w:hint="eastAsia"/>
                                <w:szCs w:val="21"/>
                              </w:rPr>
                              <w:t>2.区应急指挥部组织指挥应对处置工作</w:t>
                            </w:r>
                          </w:p>
                          <w:p>
                            <w:pPr>
                              <w:pStyle w:val="3"/>
                            </w:pPr>
                          </w:p>
                        </w:txbxContent>
                      </wps:txbx>
                      <wps:bodyPr wrap="square" upright="1"/>
                    </wps:wsp>
                  </a:graphicData>
                </a:graphic>
              </wp:anchor>
            </w:drawing>
          </mc:Choice>
          <mc:Fallback>
            <w:pict>
              <v:rect id="矩形 43" o:spid="_x0000_s1026" o:spt="1" style="position:absolute;left:0pt;margin-left:128.95pt;margin-top:56.3pt;height:54.4pt;width:158.65pt;z-index:251667456;mso-width-relative:page;mso-height-relative:page;" fillcolor="#FFFFFF" filled="t" stroked="t" coordsize="21600,21600" o:gfxdata="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3HCy3ZAAAACwEAAA8AAAAAAAAAAQAgAAAAIgAAAGRycy9kb3ducmV2LnhtbFBLAQIU&#10;ABQAAAAIAIdO4kC/sZR58gEAAOoDAAAOAAAAAAAAAAEAIAAAACgBAABkcnMvZTJvRG9jLnhtbFBL&#10;BQYAAAAABgAGAFkBAACMBQAAAAA=&#10;">
                <v:fill on="t" focussize="0,0"/>
                <v:stroke color="#000000" joinstyle="miter"/>
                <v:imagedata o:title=""/>
                <o:lock v:ext="edit" aspectratio="f"/>
                <v:textbox>
                  <w:txbxContent>
                    <w:p>
                      <w:pPr>
                        <w:spacing w:line="240" w:lineRule="exact"/>
                        <w:jc w:val="center"/>
                        <w:rPr>
                          <w:rFonts w:hint="eastAsia"/>
                          <w:b/>
                          <w:szCs w:val="21"/>
                        </w:rPr>
                      </w:pPr>
                      <w:r>
                        <w:rPr>
                          <w:rFonts w:hint="eastAsia"/>
                          <w:b/>
                          <w:szCs w:val="21"/>
                        </w:rPr>
                        <w:t>基本响应（按应急处置等级）</w:t>
                      </w:r>
                    </w:p>
                    <w:p>
                      <w:pPr>
                        <w:spacing w:line="240" w:lineRule="exact"/>
                        <w:rPr>
                          <w:szCs w:val="21"/>
                        </w:rPr>
                      </w:pPr>
                      <w:r>
                        <w:rPr>
                          <w:rFonts w:hint="eastAsia"/>
                          <w:szCs w:val="21"/>
                        </w:rPr>
                        <w:t>1.启动四级响应；报告市政府</w:t>
                      </w:r>
                    </w:p>
                    <w:p>
                      <w:pPr>
                        <w:spacing w:line="240" w:lineRule="exact"/>
                        <w:rPr>
                          <w:rFonts w:hint="eastAsia"/>
                          <w:szCs w:val="21"/>
                        </w:rPr>
                      </w:pPr>
                      <w:r>
                        <w:rPr>
                          <w:rFonts w:hint="eastAsia"/>
                          <w:szCs w:val="21"/>
                        </w:rPr>
                        <w:t>2.区应急指挥部组织指挥应对处置工作</w:t>
                      </w:r>
                    </w:p>
                    <w:p>
                      <w:pPr>
                        <w:pStyle w:val="3"/>
                      </w:pPr>
                    </w:p>
                  </w:txbxContent>
                </v:textbox>
              </v:rect>
            </w:pict>
          </mc:Fallback>
        </mc:AlternateContent>
      </w:r>
      <w:r>
        <w:rPr>
          <w:color w:val="auto"/>
        </w:rPr>
        <mc:AlternateContent>
          <mc:Choice Requires="wps">
            <w:drawing>
              <wp:anchor distT="0" distB="0" distL="114300" distR="114300" simplePos="0" relativeHeight="251664384" behindDoc="0" locked="0" layoutInCell="1" allowOverlap="1">
                <wp:simplePos x="0" y="0"/>
                <wp:positionH relativeFrom="column">
                  <wp:posOffset>2152650</wp:posOffset>
                </wp:positionH>
                <wp:positionV relativeFrom="paragraph">
                  <wp:posOffset>157480</wp:posOffset>
                </wp:positionV>
                <wp:extent cx="928370" cy="373380"/>
                <wp:effectExtent l="5080" t="4445" r="19050" b="22225"/>
                <wp:wrapNone/>
                <wp:docPr id="6" name="矩形 40"/>
                <wp:cNvGraphicFramePr/>
                <a:graphic xmlns:a="http://schemas.openxmlformats.org/drawingml/2006/main">
                  <a:graphicData uri="http://schemas.microsoft.com/office/word/2010/wordprocessingShape">
                    <wps:wsp>
                      <wps:cNvSpPr/>
                      <wps:spPr>
                        <a:xfrm>
                          <a:off x="0" y="0"/>
                          <a:ext cx="92837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b/>
                                <w:bCs/>
                              </w:rPr>
                              <w:t>先期处置</w:t>
                            </w:r>
                          </w:p>
                        </w:txbxContent>
                      </wps:txbx>
                      <wps:bodyPr wrap="square" upright="1"/>
                    </wps:wsp>
                  </a:graphicData>
                </a:graphic>
              </wp:anchor>
            </w:drawing>
          </mc:Choice>
          <mc:Fallback>
            <w:pict>
              <v:rect id="矩形 40" o:spid="_x0000_s1026" o:spt="1" style="position:absolute;left:0pt;margin-left:169.5pt;margin-top:12.4pt;height:29.4pt;width:73.1pt;z-index:251664384;mso-width-relative:page;mso-height-relative:page;" fillcolor="#FFFFFF" filled="t" stroked="t" coordsize="21600,21600" o:gfxdata="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krS22AAAAAkBAAAPAAAAAAAAAAEAIAAAACIAAABkcnMvZG93bnJldi54bWxQSwECFAAU&#10;AAAACACHTuJAsCdtF/EBAADpAwAADgAAAAAAAAABACAAAAAnAQAAZHJzL2Uyb0RvYy54bWxQSwUG&#10;AAAAAAYABgBZAQAAigUAAAAA&#10;">
                <v:fill on="t" focussize="0,0"/>
                <v:stroke color="#000000" joinstyle="miter"/>
                <v:imagedata o:title=""/>
                <o:lock v:ext="edit" aspectratio="f"/>
                <v:textbox>
                  <w:txbxContent>
                    <w:p>
                      <w:pPr>
                        <w:spacing w:line="360" w:lineRule="auto"/>
                        <w:jc w:val="center"/>
                        <w:rPr>
                          <w:b/>
                          <w:bCs/>
                        </w:rPr>
                      </w:pPr>
                      <w:r>
                        <w:rPr>
                          <w:rFonts w:hint="eastAsia"/>
                          <w:b/>
                          <w:bCs/>
                        </w:rPr>
                        <w:t>先期处置</w:t>
                      </w:r>
                    </w:p>
                  </w:txbxContent>
                </v:textbox>
              </v:rect>
            </w:pict>
          </mc:Fallback>
        </mc:AlternateContent>
      </w:r>
      <w:r>
        <w:rPr>
          <w:color w:val="auto"/>
        </w:rPr>
        <mc:AlternateContent>
          <mc:Choice Requires="wps">
            <w:drawing>
              <wp:anchor distT="0" distB="0" distL="114300" distR="114300" simplePos="0" relativeHeight="251666432" behindDoc="0" locked="0" layoutInCell="1" allowOverlap="1">
                <wp:simplePos x="0" y="0"/>
                <wp:positionH relativeFrom="column">
                  <wp:posOffset>2637155</wp:posOffset>
                </wp:positionH>
                <wp:positionV relativeFrom="paragraph">
                  <wp:posOffset>521335</wp:posOffset>
                </wp:positionV>
                <wp:extent cx="635" cy="214630"/>
                <wp:effectExtent l="48895" t="0" r="64770" b="13970"/>
                <wp:wrapNone/>
                <wp:docPr id="8" name="直线 42"/>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2" o:spid="_x0000_s1026" o:spt="20" style="position:absolute;left:0pt;margin-left:207.65pt;margin-top:41.05pt;height:16.9pt;width:0.05pt;z-index:251666432;mso-width-relative:page;mso-height-relative:page;" filled="f" stroked="t" coordsize="21600,21600" o:gfxdata="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jWKeNoAAAAKAQAADwAAAAAAAAAB&#10;ACAAAAAiAAAAZHJzL2Rvd25yZXYueG1sUEsBAhQAFAAAAAgAh07iQLkHYXjVAQAAkAMAAA4AAAAA&#10;AAAAAQAgAAAAKQEAAGRycy9lMm9Eb2MueG1sUEsFBgAAAAAGAAYAWQEAAHAFAAAAAA==&#10;">
                <v:fill on="f" focussize="0,0"/>
                <v:stroke color="#000000" joinstyle="round" endarrow="open"/>
                <v:imagedata o:title=""/>
                <o:lock v:ext="edit" aspectratio="f"/>
              </v:lin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4055745</wp:posOffset>
                </wp:positionH>
                <wp:positionV relativeFrom="paragraph">
                  <wp:posOffset>275590</wp:posOffset>
                </wp:positionV>
                <wp:extent cx="1444625" cy="295275"/>
                <wp:effectExtent l="718185" t="4445" r="8890" b="5080"/>
                <wp:wrapNone/>
                <wp:docPr id="7" name="自选图形 41"/>
                <wp:cNvGraphicFramePr/>
                <a:graphic xmlns:a="http://schemas.openxmlformats.org/drawingml/2006/main">
                  <a:graphicData uri="http://schemas.microsoft.com/office/word/2010/wordprocessingShape">
                    <wps:wsp>
                      <wps:cNvSpPr/>
                      <wps:spPr>
                        <a:xfrm>
                          <a:off x="0" y="0"/>
                          <a:ext cx="1444625" cy="295275"/>
                        </a:xfrm>
                        <a:prstGeom prst="wedgeRectCallout">
                          <a:avLst>
                            <a:gd name="adj1" fmla="val -97074"/>
                            <a:gd name="adj2" fmla="val -11745"/>
                          </a:avLst>
                        </a:prstGeom>
                        <a:solidFill>
                          <a:srgbClr val="FFFFFF"/>
                        </a:solidFill>
                        <a:ln w="9525" cap="flat" cmpd="sng">
                          <a:solidFill>
                            <a:srgbClr val="000000"/>
                          </a:solidFill>
                          <a:prstDash val="solid"/>
                          <a:miter/>
                          <a:headEnd type="none" w="med" len="med"/>
                          <a:tailEnd type="none" w="med" len="med"/>
                        </a:ln>
                      </wps:spPr>
                      <wps:txbx>
                        <w:txbxContent>
                          <w:p>
                            <w:pPr/>
                            <w:r>
                              <w:rPr>
                                <w:rFonts w:hint="eastAsia"/>
                              </w:rPr>
                              <w:t>事发单位</w:t>
                            </w:r>
                          </w:p>
                        </w:txbxContent>
                      </wps:txbx>
                      <wps:bodyPr wrap="square" upright="1"/>
                    </wps:wsp>
                  </a:graphicData>
                </a:graphic>
              </wp:anchor>
            </w:drawing>
          </mc:Choice>
          <mc:Fallback>
            <w:pict>
              <v:shape id="自选图形 41" o:spid="_x0000_s1026" o:spt="61" type="#_x0000_t61" style="position:absolute;left:0pt;margin-left:319.35pt;margin-top:21.7pt;height:23.25pt;width:113.75pt;z-index:251665408;mso-width-relative:page;mso-height-relative:page;" fillcolor="#FFFFFF" filled="t" stroked="t" coordsize="21600,21600" o:gfxdata="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ZvwptsAAAAJAQAADwAAAAAAAAABACAAAAAiAAAAZHJzL2Rvd25yZXYueG1sUEsBAhQA&#10;FAAAAAgAh07iQJW+jjEoAgAATwQAAA4AAAAAAAAAAQAgAAAAKgEAAGRycy9lMm9Eb2MueG1sUEsF&#10;BgAAAAAGAAYAWQEAAMQFAAAAAA==&#10;" adj="-10168,8263">
                <v:fill on="t" focussize="0,0"/>
                <v:stroke color="#000000" joinstyle="miter"/>
                <v:imagedata o:title=""/>
                <o:lock v:ext="edit" aspectratio="f"/>
                <v:textbox>
                  <w:txbxContent>
                    <w:p>
                      <w:pPr/>
                      <w:r>
                        <w:rPr>
                          <w:rFonts w:hint="eastAsia"/>
                        </w:rPr>
                        <w:t>事发单位</w:t>
                      </w:r>
                    </w:p>
                  </w:txbxContent>
                </v:textbox>
              </v:shape>
            </w:pict>
          </mc:Fallback>
        </mc:AlternateContent>
      </w:r>
      <w:bookmarkEnd w:id="659"/>
      <w:bookmarkEnd w:id="660"/>
      <w:bookmarkEnd w:id="661"/>
      <w:bookmarkEnd w:id="662"/>
      <w:bookmarkEnd w:id="663"/>
      <w:bookmarkEnd w:id="664"/>
      <w:bookmarkEnd w:id="665"/>
      <w:bookmarkEnd w:id="666"/>
      <w:r>
        <w:rPr>
          <w:rFonts w:hint="eastAsia"/>
          <w:color w:val="auto"/>
        </w:rPr>
        <w:t xml:space="preserve">  </w:t>
      </w:r>
    </w:p>
    <w:p>
      <w:pPr/>
      <w:r>
        <w:rPr>
          <w:sz w:val="32"/>
        </w:rPr>
        <mc:AlternateContent>
          <mc:Choice Requires="wps">
            <w:drawing>
              <wp:anchor distT="0" distB="0" distL="114300" distR="114300" simplePos="0" relativeHeight="251674624" behindDoc="0" locked="0" layoutInCell="1" allowOverlap="1">
                <wp:simplePos x="0" y="0"/>
                <wp:positionH relativeFrom="column">
                  <wp:posOffset>2165350</wp:posOffset>
                </wp:positionH>
                <wp:positionV relativeFrom="paragraph">
                  <wp:posOffset>1475740</wp:posOffset>
                </wp:positionV>
                <wp:extent cx="913130" cy="373380"/>
                <wp:effectExtent l="4445" t="4445" r="15875" b="22225"/>
                <wp:wrapNone/>
                <wp:docPr id="16" name="矩形 51"/>
                <wp:cNvGraphicFramePr/>
                <a:graphic xmlns:a="http://schemas.openxmlformats.org/drawingml/2006/main">
                  <a:graphicData uri="http://schemas.microsoft.com/office/word/2010/wordprocessingShape">
                    <wps:wsp>
                      <wps:cNvSpPr/>
                      <wps:spPr>
                        <a:xfrm>
                          <a:off x="0" y="0"/>
                          <a:ext cx="91313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b/>
                                <w:bCs/>
                              </w:rPr>
                              <w:t>应急处置</w:t>
                            </w:r>
                          </w:p>
                        </w:txbxContent>
                      </wps:txbx>
                      <wps:bodyPr wrap="square" upright="1"/>
                    </wps:wsp>
                  </a:graphicData>
                </a:graphic>
              </wp:anchor>
            </w:drawing>
          </mc:Choice>
          <mc:Fallback>
            <w:pict>
              <v:rect id="矩形 51" o:spid="_x0000_s1026" o:spt="1" style="position:absolute;left:0pt;margin-left:170.5pt;margin-top:116.2pt;height:29.4pt;width:71.9pt;z-index:251674624;mso-width-relative:page;mso-height-relative:page;" fillcolor="#FFFFFF" filled="t" stroked="t" coordsize="21600,21600" o:gfxdata="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npnUTZAAAACwEAAA8AAAAAAAAAAQAgAAAAIgAAAGRycy9kb3ducmV2LnhtbFBLAQIU&#10;ABQAAAAIAIdO4kAiRFOx8gEAAOoDAAAOAAAAAAAAAAEAIAAAACgBAABkcnMvZTJvRG9jLnhtbFBL&#10;BQYAAAAABgAGAFkBAACMBQAAAAA=&#10;">
                <v:fill on="t" focussize="0,0"/>
                <v:stroke color="#000000" joinstyle="miter"/>
                <v:imagedata o:title=""/>
                <o:lock v:ext="edit" aspectratio="f"/>
                <v:textbox>
                  <w:txbxContent>
                    <w:p>
                      <w:pPr>
                        <w:spacing w:line="360" w:lineRule="auto"/>
                        <w:jc w:val="center"/>
                        <w:rPr>
                          <w:b/>
                          <w:bCs/>
                        </w:rPr>
                      </w:pPr>
                      <w:r>
                        <w:rPr>
                          <w:rFonts w:hint="eastAsia"/>
                          <w:b/>
                          <w:bCs/>
                        </w:rPr>
                        <w:t>应急处置</w:t>
                      </w:r>
                    </w:p>
                  </w:txbxContent>
                </v:textbox>
              </v:rect>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4142740</wp:posOffset>
                </wp:positionH>
                <wp:positionV relativeFrom="paragraph">
                  <wp:posOffset>4232275</wp:posOffset>
                </wp:positionV>
                <wp:extent cx="1444625" cy="295275"/>
                <wp:effectExtent l="835660" t="4445" r="5715" b="5080"/>
                <wp:wrapNone/>
                <wp:docPr id="31" name="自选图形 66"/>
                <wp:cNvGraphicFramePr/>
                <a:graphic xmlns:a="http://schemas.openxmlformats.org/drawingml/2006/main">
                  <a:graphicData uri="http://schemas.microsoft.com/office/word/2010/wordprocessingShape">
                    <wps:wsp>
                      <wps:cNvSpPr/>
                      <wps:spPr>
                        <a:xfrm>
                          <a:off x="0" y="0"/>
                          <a:ext cx="1444625" cy="295275"/>
                        </a:xfrm>
                        <a:prstGeom prst="wedgeRectCallout">
                          <a:avLst>
                            <a:gd name="adj1" fmla="val -105204"/>
                            <a:gd name="adj2" fmla="val -17097"/>
                          </a:avLst>
                        </a:prstGeom>
                        <a:solidFill>
                          <a:srgbClr val="FFFFFF"/>
                        </a:solidFill>
                        <a:ln w="9525" cap="flat" cmpd="sng">
                          <a:solidFill>
                            <a:srgbClr val="000000"/>
                          </a:solidFill>
                          <a:prstDash val="solid"/>
                          <a:miter/>
                          <a:headEnd type="none" w="med" len="med"/>
                          <a:tailEnd type="none" w="med" len="med"/>
                        </a:ln>
                      </wps:spPr>
                      <wps:txbx>
                        <w:txbxContent>
                          <w:p>
                            <w:pPr/>
                            <w:r>
                              <w:rPr>
                                <w:rFonts w:hint="eastAsia"/>
                              </w:rPr>
                              <w:t>调查评估</w:t>
                            </w:r>
                          </w:p>
                        </w:txbxContent>
                      </wps:txbx>
                      <wps:bodyPr wrap="square" upright="1"/>
                    </wps:wsp>
                  </a:graphicData>
                </a:graphic>
              </wp:anchor>
            </w:drawing>
          </mc:Choice>
          <mc:Fallback>
            <w:pict>
              <v:shape id="自选图形 66" o:spid="_x0000_s1026" o:spt="61" type="#_x0000_t61" style="position:absolute;left:0pt;margin-left:326.2pt;margin-top:333.25pt;height:23.25pt;width:113.75pt;z-index:251689984;mso-width-relative:page;mso-height-relative:page;" fillcolor="#FFFFFF" filled="t" stroked="t" coordsize="21600,21600" o:gfxdata="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ctRb9oAAAALAQAADwAAAAAAAAABACAAAAAiAAAAZHJzL2Rvd25yZXYueG1sUEsBAhQA&#10;FAAAAAgAh07iQCFQtMwpAgAAUQQAAA4AAAAAAAAAAQAgAAAAKQEAAGRycy9lMm9Eb2MueG1sUEsF&#10;BgAAAAAGAAYAWQEAAMQFAAAAAA==&#10;" adj="-11924,7107">
                <v:fill on="t" focussize="0,0"/>
                <v:stroke color="#000000" joinstyle="miter"/>
                <v:imagedata o:title=""/>
                <o:lock v:ext="edit" aspectratio="f"/>
                <v:textbox>
                  <w:txbxContent>
                    <w:p>
                      <w:pPr/>
                      <w:r>
                        <w:rPr>
                          <w:rFonts w:hint="eastAsia"/>
                        </w:rPr>
                        <w:t>调查评估</w:t>
                      </w:r>
                    </w:p>
                  </w:txbxContent>
                </v:textbox>
              </v:shap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367030</wp:posOffset>
                </wp:positionH>
                <wp:positionV relativeFrom="paragraph">
                  <wp:posOffset>4257040</wp:posOffset>
                </wp:positionV>
                <wp:extent cx="1459865" cy="396875"/>
                <wp:effectExtent l="5080" t="4445" r="363855" b="17780"/>
                <wp:wrapNone/>
                <wp:docPr id="30" name="自选图形 65"/>
                <wp:cNvGraphicFramePr/>
                <a:graphic xmlns:a="http://schemas.openxmlformats.org/drawingml/2006/main">
                  <a:graphicData uri="http://schemas.microsoft.com/office/word/2010/wordprocessingShape">
                    <wps:wsp>
                      <wps:cNvSpPr/>
                      <wps:spPr>
                        <a:xfrm>
                          <a:off x="0" y="0"/>
                          <a:ext cx="1459865" cy="396875"/>
                        </a:xfrm>
                        <a:prstGeom prst="wedgeRectCallout">
                          <a:avLst>
                            <a:gd name="adj1" fmla="val 72662"/>
                            <a:gd name="adj2" fmla="val -9838"/>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pPr>
                            <w:r>
                              <w:rPr>
                                <w:rFonts w:hint="eastAsia"/>
                              </w:rPr>
                              <w:t>相关部门、事发单位、基层政府</w:t>
                            </w:r>
                          </w:p>
                          <w:p>
                            <w:pPr>
                              <w:spacing w:line="240" w:lineRule="exact"/>
                              <w:jc w:val="center"/>
                              <w:rPr>
                                <w:rFonts w:hint="eastAsia"/>
                              </w:rPr>
                            </w:pPr>
                            <w:r>
                              <w:rPr>
                                <w:rFonts w:hint="eastAsia"/>
                              </w:rPr>
                              <w:t>由区应急指挥部委派</w:t>
                            </w:r>
                          </w:p>
                        </w:txbxContent>
                      </wps:txbx>
                      <wps:bodyPr wrap="square" upright="1"/>
                    </wps:wsp>
                  </a:graphicData>
                </a:graphic>
              </wp:anchor>
            </w:drawing>
          </mc:Choice>
          <mc:Fallback>
            <w:pict>
              <v:shape id="自选图形 65" o:spid="_x0000_s1026" o:spt="61" type="#_x0000_t61" style="position:absolute;left:0pt;margin-left:28.9pt;margin-top:335.2pt;height:31.25pt;width:114.95pt;z-index:251688960;mso-width-relative:page;mso-height-relative:page;" fillcolor="#FFFFFF" filled="t" stroked="t" coordsize="21600,21600" o:gfxdata="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sWq67YAAAACgEAAA8AAAAAAAAAAQAgAAAAIgAAAGRycy9kb3ducmV2LnhtbFBLAQIUABQA&#10;AAAIAIdO4kAxiKV5KQIAAE4EAAAOAAAAAAAAAAEAIAAAACcBAABkcnMvZTJvRG9jLnhtbFBLBQYA&#10;AAAABgAGAFkBAADCBQAAAAA=&#10;" adj="26495,8675">
                <v:fill on="t" focussize="0,0"/>
                <v:stroke color="#000000" joinstyle="miter"/>
                <v:imagedata o:title=""/>
                <o:lock v:ext="edit" aspectratio="f"/>
                <v:textbox>
                  <w:txbxContent>
                    <w:p>
                      <w:pPr>
                        <w:spacing w:line="240" w:lineRule="exact"/>
                        <w:jc w:val="center"/>
                      </w:pPr>
                      <w:r>
                        <w:rPr>
                          <w:rFonts w:hint="eastAsia"/>
                        </w:rPr>
                        <w:t>相关部门、事发单位、基层政府</w:t>
                      </w:r>
                    </w:p>
                    <w:p>
                      <w:pPr>
                        <w:spacing w:line="240" w:lineRule="exact"/>
                        <w:jc w:val="center"/>
                        <w:rPr>
                          <w:rFonts w:hint="eastAsia"/>
                        </w:rPr>
                      </w:pPr>
                      <w:r>
                        <w:rPr>
                          <w:rFonts w:hint="eastAsia"/>
                        </w:rPr>
                        <w:t>由区应急指挥部委派</w:t>
                      </w:r>
                    </w:p>
                  </w:txbxContent>
                </v:textbox>
              </v:shap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2650490</wp:posOffset>
                </wp:positionH>
                <wp:positionV relativeFrom="paragraph">
                  <wp:posOffset>3963670</wp:posOffset>
                </wp:positionV>
                <wp:extent cx="635" cy="214630"/>
                <wp:effectExtent l="48895" t="0" r="64770" b="13970"/>
                <wp:wrapNone/>
                <wp:docPr id="29" name="直线 64"/>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4" o:spid="_x0000_s1026" o:spt="20" style="position:absolute;left:0pt;margin-left:208.7pt;margin-top:312.1pt;height:16.9pt;width:0.05pt;z-index:251687936;mso-width-relative:page;mso-height-relative:page;" filled="f" stroked="t" coordsize="21600,21600" o:gfxdata="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bPzKHaAAAACwEAAA8AAAAAAAAA&#10;AQAgAAAAIgAAAGRycy9kb3ducmV2LnhtbFBLAQIUABQAAAAIAIdO4kCW4OQQ1gEAAJEDAAAOAAAA&#10;AAAAAAEAIAAAACkBAABkcnMvZTJvRG9jLnhtbFBLBQYAAAAABgAGAFkBAABx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2199005</wp:posOffset>
                </wp:positionH>
                <wp:positionV relativeFrom="paragraph">
                  <wp:posOffset>4190365</wp:posOffset>
                </wp:positionV>
                <wp:extent cx="928370" cy="373380"/>
                <wp:effectExtent l="5080" t="4445" r="19050" b="22225"/>
                <wp:wrapNone/>
                <wp:docPr id="28" name="矩形 63"/>
                <wp:cNvGraphicFramePr/>
                <a:graphic xmlns:a="http://schemas.openxmlformats.org/drawingml/2006/main">
                  <a:graphicData uri="http://schemas.microsoft.com/office/word/2010/wordprocessingShape">
                    <wps:wsp>
                      <wps:cNvSpPr/>
                      <wps:spPr>
                        <a:xfrm>
                          <a:off x="0" y="0"/>
                          <a:ext cx="92837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b/>
                                <w:bCs/>
                              </w:rPr>
                              <w:t>恢复重建</w:t>
                            </w:r>
                          </w:p>
                        </w:txbxContent>
                      </wps:txbx>
                      <wps:bodyPr wrap="square" upright="1"/>
                    </wps:wsp>
                  </a:graphicData>
                </a:graphic>
              </wp:anchor>
            </w:drawing>
          </mc:Choice>
          <mc:Fallback>
            <w:pict>
              <v:rect id="矩形 63" o:spid="_x0000_s1026" o:spt="1" style="position:absolute;left:0pt;margin-left:173.15pt;margin-top:329.95pt;height:29.4pt;width:73.1pt;z-index:251686912;mso-width-relative:page;mso-height-relative:page;" fillcolor="#FFFFFF" filled="t" stroked="t" coordsize="21600,21600" o:gfxdata="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lVEmraAAAACwEAAA8AAAAAAAAAAQAgAAAAIgAAAGRycy9kb3ducmV2LnhtbFBL&#10;AQIUABQAAAAIAIdO4kCUc3It9AEAAOoDAAAOAAAAAAAAAAEAIAAAACkBAABkcnMvZTJvRG9jLnht&#10;bFBLBQYAAAAABgAGAFkBAACPBQAAAAA=&#10;">
                <v:fill on="t" focussize="0,0"/>
                <v:stroke color="#000000" joinstyle="miter"/>
                <v:imagedata o:title=""/>
                <o:lock v:ext="edit" aspectratio="f"/>
                <v:textbox>
                  <w:txbxContent>
                    <w:p>
                      <w:pPr>
                        <w:spacing w:line="360" w:lineRule="auto"/>
                        <w:jc w:val="center"/>
                        <w:rPr>
                          <w:b/>
                          <w:bCs/>
                        </w:rPr>
                      </w:pPr>
                      <w:r>
                        <w:rPr>
                          <w:rFonts w:hint="eastAsia"/>
                          <w:b/>
                          <w:bCs/>
                        </w:rPr>
                        <w:t>恢复重建</w:t>
                      </w:r>
                    </w:p>
                  </w:txbxContent>
                </v:textbox>
              </v:rect>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374650</wp:posOffset>
                </wp:positionH>
                <wp:positionV relativeFrom="paragraph">
                  <wp:posOffset>3622040</wp:posOffset>
                </wp:positionV>
                <wp:extent cx="1459865" cy="396875"/>
                <wp:effectExtent l="5080" t="4445" r="344805" b="17780"/>
                <wp:wrapNone/>
                <wp:docPr id="27" name="自选图形 62"/>
                <wp:cNvGraphicFramePr/>
                <a:graphic xmlns:a="http://schemas.openxmlformats.org/drawingml/2006/main">
                  <a:graphicData uri="http://schemas.microsoft.com/office/word/2010/wordprocessingShape">
                    <wps:wsp>
                      <wps:cNvSpPr/>
                      <wps:spPr>
                        <a:xfrm>
                          <a:off x="0" y="0"/>
                          <a:ext cx="1459865" cy="396875"/>
                        </a:xfrm>
                        <a:prstGeom prst="wedgeRectCallout">
                          <a:avLst>
                            <a:gd name="adj1" fmla="val 70968"/>
                            <a:gd name="adj2" fmla="val -23921"/>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pPr>
                            <w:r>
                              <w:rPr>
                                <w:rFonts w:hint="eastAsia"/>
                              </w:rPr>
                              <w:t>相关部门、事发单位、基层政府</w:t>
                            </w:r>
                          </w:p>
                          <w:p>
                            <w:pPr>
                              <w:spacing w:line="240" w:lineRule="exact"/>
                              <w:jc w:val="center"/>
                              <w:rPr>
                                <w:rFonts w:hint="eastAsia"/>
                              </w:rPr>
                            </w:pPr>
                            <w:r>
                              <w:rPr>
                                <w:rFonts w:hint="eastAsia"/>
                              </w:rPr>
                              <w:t>由区应急指挥部委派</w:t>
                            </w:r>
                          </w:p>
                        </w:txbxContent>
                      </wps:txbx>
                      <wps:bodyPr wrap="square" upright="1"/>
                    </wps:wsp>
                  </a:graphicData>
                </a:graphic>
              </wp:anchor>
            </w:drawing>
          </mc:Choice>
          <mc:Fallback>
            <w:pict>
              <v:shape id="自选图形 62" o:spid="_x0000_s1026" o:spt="61" type="#_x0000_t61" style="position:absolute;left:0pt;margin-left:29.5pt;margin-top:285.2pt;height:31.25pt;width:114.95pt;z-index:251685888;mso-width-relative:page;mso-height-relative:page;" fillcolor="#FFFFFF" filled="t" stroked="t" coordsize="21600,21600" o:gfxdata="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6Za2wAAAAoBAAAPAAAAAAAAAAEAIAAAACIAAABkcnMvZG93bnJldi54bWxQSwEC&#10;FAAUAAAACACHTuJAOsL1eSoCAABPBAAADgAAAAAAAAABACAAAAAqAQAAZHJzL2Uyb0RvYy54bWxQ&#10;SwUGAAAAAAYABgBZAQAAxgUAAAAA&#10;" adj="26129,5633">
                <v:fill on="t" focussize="0,0"/>
                <v:stroke color="#000000" joinstyle="miter"/>
                <v:imagedata o:title=""/>
                <o:lock v:ext="edit" aspectratio="f"/>
                <v:textbox>
                  <w:txbxContent>
                    <w:p>
                      <w:pPr>
                        <w:spacing w:line="240" w:lineRule="exact"/>
                        <w:jc w:val="center"/>
                      </w:pPr>
                      <w:r>
                        <w:rPr>
                          <w:rFonts w:hint="eastAsia"/>
                        </w:rPr>
                        <w:t>相关部门、事发单位、基层政府</w:t>
                      </w:r>
                    </w:p>
                    <w:p>
                      <w:pPr>
                        <w:spacing w:line="240" w:lineRule="exact"/>
                        <w:jc w:val="center"/>
                        <w:rPr>
                          <w:rFonts w:hint="eastAsia"/>
                        </w:rPr>
                      </w:pPr>
                      <w:r>
                        <w:rPr>
                          <w:rFonts w:hint="eastAsia"/>
                        </w:rPr>
                        <w:t>由区应急指挥部委派</w:t>
                      </w:r>
                    </w:p>
                  </w:txbxContent>
                </v:textbox>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2199005</wp:posOffset>
                </wp:positionH>
                <wp:positionV relativeFrom="paragraph">
                  <wp:posOffset>3569970</wp:posOffset>
                </wp:positionV>
                <wp:extent cx="928370" cy="373380"/>
                <wp:effectExtent l="5080" t="4445" r="19050" b="22225"/>
                <wp:wrapNone/>
                <wp:docPr id="25" name="矩形 60"/>
                <wp:cNvGraphicFramePr/>
                <a:graphic xmlns:a="http://schemas.openxmlformats.org/drawingml/2006/main">
                  <a:graphicData uri="http://schemas.microsoft.com/office/word/2010/wordprocessingShape">
                    <wps:wsp>
                      <wps:cNvSpPr/>
                      <wps:spPr>
                        <a:xfrm>
                          <a:off x="0" y="0"/>
                          <a:ext cx="92837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b/>
                                <w:bCs/>
                              </w:rPr>
                              <w:t>善后处理</w:t>
                            </w:r>
                          </w:p>
                        </w:txbxContent>
                      </wps:txbx>
                      <wps:bodyPr wrap="square" upright="1"/>
                    </wps:wsp>
                  </a:graphicData>
                </a:graphic>
              </wp:anchor>
            </w:drawing>
          </mc:Choice>
          <mc:Fallback>
            <w:pict>
              <v:rect id="矩形 60" o:spid="_x0000_s1026" o:spt="1" style="position:absolute;left:0pt;margin-left:173.15pt;margin-top:281.1pt;height:29.4pt;width:73.1pt;z-index:251683840;mso-width-relative:page;mso-height-relative:page;" fillcolor="#FFFFFF" filled="t" stroked="t" coordsize="21600,21600" o:gfxdata="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HPMdkAAAALAQAADwAAAAAAAAABACAAAAAiAAAAZHJzL2Rvd25yZXYueG1sUEsBAhQA&#10;FAAAAAgAh07iQLs6n+3xAQAA6gMAAA4AAAAAAAAAAQAgAAAAKAEAAGRycy9lMm9Eb2MueG1sUEsF&#10;BgAAAAAGAAYAWQEAAIsFAAAAAA==&#10;">
                <v:fill on="t" focussize="0,0"/>
                <v:stroke color="#000000" joinstyle="miter"/>
                <v:imagedata o:title=""/>
                <o:lock v:ext="edit" aspectratio="f"/>
                <v:textbox>
                  <w:txbxContent>
                    <w:p>
                      <w:pPr>
                        <w:spacing w:line="360" w:lineRule="auto"/>
                        <w:jc w:val="center"/>
                        <w:rPr>
                          <w:b/>
                          <w:bCs/>
                        </w:rPr>
                      </w:pPr>
                      <w:r>
                        <w:rPr>
                          <w:rFonts w:hint="eastAsia"/>
                          <w:b/>
                          <w:bCs/>
                        </w:rPr>
                        <w:t>善后处理</w:t>
                      </w:r>
                    </w:p>
                  </w:txbxContent>
                </v:textbox>
              </v:rect>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2650490</wp:posOffset>
                </wp:positionH>
                <wp:positionV relativeFrom="paragraph">
                  <wp:posOffset>3366135</wp:posOffset>
                </wp:positionV>
                <wp:extent cx="635" cy="214630"/>
                <wp:effectExtent l="48895" t="0" r="64770" b="13970"/>
                <wp:wrapNone/>
                <wp:docPr id="26" name="直线 61"/>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1" o:spid="_x0000_s1026" o:spt="20" style="position:absolute;left:0pt;margin-left:208.7pt;margin-top:265.05pt;height:16.9pt;width:0.05pt;z-index:251684864;mso-width-relative:page;mso-height-relative:page;" filled="f" stroked="t" coordsize="21600,21600" o:gfxdata="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n39q2wAAAAsBAAAPAAAAAAAA&#10;AAEAIAAAACIAAABkcnMvZG93bnJldi54bWxQSwECFAAUAAAACACHTuJA2st+VdYBAACRAwAADgAA&#10;AAAAAAABACAAAAAqAQAAZHJzL2Uyb0RvYy54bWxQSwUGAAAAAAYABgBZAQAAcg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2642235</wp:posOffset>
                </wp:positionH>
                <wp:positionV relativeFrom="paragraph">
                  <wp:posOffset>2778760</wp:posOffset>
                </wp:positionV>
                <wp:extent cx="635" cy="214630"/>
                <wp:effectExtent l="48895" t="0" r="64770" b="13970"/>
                <wp:wrapNone/>
                <wp:docPr id="24" name="直线 59"/>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9" o:spid="_x0000_s1026" o:spt="20" style="position:absolute;left:0pt;margin-left:208.05pt;margin-top:218.8pt;height:16.9pt;width:0.05pt;z-index:251682816;mso-width-relative:page;mso-height-relative:page;" filled="f" stroked="t" coordsize="21600,21600" o:gfxdata="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Sq/H2gAAAAsBAAAPAAAAAAAA&#10;AAEAIAAAACIAAABkcnMvZG93bnJldi54bWxQSwECFAAUAAAACACHTuJAAYzyKdcBAACRAwAADgAA&#10;AAAAAAABACAAAAApAQAAZHJzL2Uyb0RvYy54bWxQSwUGAAAAAAYABgBZAQAAcg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2619375</wp:posOffset>
                </wp:positionH>
                <wp:positionV relativeFrom="paragraph">
                  <wp:posOffset>1874520</wp:posOffset>
                </wp:positionV>
                <wp:extent cx="635" cy="214630"/>
                <wp:effectExtent l="48895" t="0" r="64770" b="13970"/>
                <wp:wrapNone/>
                <wp:docPr id="21" name="直线 56"/>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6" o:spid="_x0000_s1026" o:spt="20" style="position:absolute;left:0pt;margin-left:206.25pt;margin-top:147.6pt;height:16.9pt;width:0.05pt;z-index:251679744;mso-width-relative:page;mso-height-relative:page;" filled="f" stroked="t" coordsize="21600,21600" o:gfxdata="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dx4v2wAAAAsBAAAPAAAAAAAA&#10;AAEAIAAAACIAAABkcnMvZG93bnJldi54bWxQSwECFAAUAAAACACHTuJA5VAaOtYBAACRAwAADgAA&#10;AAAAAAABACAAAAAqAQAAZHJzL2Uyb0RvYy54bWxQSwUGAAAAAAYABgBZAQAAcg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2621280</wp:posOffset>
                </wp:positionH>
                <wp:positionV relativeFrom="paragraph">
                  <wp:posOffset>1263650</wp:posOffset>
                </wp:positionV>
                <wp:extent cx="635" cy="214630"/>
                <wp:effectExtent l="48895" t="0" r="64770" b="13970"/>
                <wp:wrapNone/>
                <wp:docPr id="13" name="直线 48"/>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8" o:spid="_x0000_s1026" o:spt="20" style="position:absolute;left:0pt;margin-left:206.4pt;margin-top:99.5pt;height:16.9pt;width:0.05pt;z-index:251671552;mso-width-relative:page;mso-height-relative:page;" filled="f" stroked="t" coordsize="21600,21600" o:gfxdata="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SsVWa2QAAAAsBAAAPAAAAAAAAAAEA&#10;IAAAACIAAABkcnMvZG93bnJldi54bWxQSwECFAAUAAAACACHTuJAtyNdxtUBAACRAwAADgAAAAAA&#10;AAABACAAAAAoAQAAZHJzL2Uyb0RvYy54bWxQSwUGAAAAAAYABgBZAQAAbw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2159000</wp:posOffset>
                </wp:positionH>
                <wp:positionV relativeFrom="paragraph">
                  <wp:posOffset>892175</wp:posOffset>
                </wp:positionV>
                <wp:extent cx="928370" cy="373380"/>
                <wp:effectExtent l="5080" t="4445" r="19050" b="22225"/>
                <wp:wrapNone/>
                <wp:docPr id="12" name="矩形 47"/>
                <wp:cNvGraphicFramePr/>
                <a:graphic xmlns:a="http://schemas.openxmlformats.org/drawingml/2006/main">
                  <a:graphicData uri="http://schemas.microsoft.com/office/word/2010/wordprocessingShape">
                    <wps:wsp>
                      <wps:cNvSpPr/>
                      <wps:spPr>
                        <a:xfrm>
                          <a:off x="0" y="0"/>
                          <a:ext cx="92837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b/>
                                <w:bCs/>
                              </w:rPr>
                              <w:t>现场指挥</w:t>
                            </w:r>
                          </w:p>
                        </w:txbxContent>
                      </wps:txbx>
                      <wps:bodyPr wrap="square" upright="1"/>
                    </wps:wsp>
                  </a:graphicData>
                </a:graphic>
              </wp:anchor>
            </w:drawing>
          </mc:Choice>
          <mc:Fallback>
            <w:pict>
              <v:rect id="矩形 47" o:spid="_x0000_s1026" o:spt="1" style="position:absolute;left:0pt;margin-left:170pt;margin-top:70.25pt;height:29.4pt;width:73.1pt;z-index:251670528;mso-width-relative:page;mso-height-relative:page;" fillcolor="#FFFFFF" filled="t" stroked="t" coordsize="21600,21600" o:gfxdata="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14zO2QAAAAsBAAAPAAAAAAAAAAEAIAAAACIAAABkcnMvZG93bnJldi54bWxQSwEC&#10;FAAUAAAACACHTuJAr4zh4PMBAADqAwAADgAAAAAAAAABACAAAAAoAQAAZHJzL2Uyb0RvYy54bWxQ&#10;SwUGAAAAAAYABgBZAQAAjQUAAAAA&#10;">
                <v:fill on="t" focussize="0,0"/>
                <v:stroke color="#000000" joinstyle="miter"/>
                <v:imagedata o:title=""/>
                <o:lock v:ext="edit" aspectratio="f"/>
                <v:textbox>
                  <w:txbxContent>
                    <w:p>
                      <w:pPr>
                        <w:spacing w:line="360" w:lineRule="auto"/>
                        <w:jc w:val="center"/>
                        <w:rPr>
                          <w:b/>
                          <w:bCs/>
                        </w:rPr>
                      </w:pPr>
                      <w:r>
                        <w:rPr>
                          <w:rFonts w:hint="eastAsia"/>
                          <w:b/>
                          <w:bCs/>
                        </w:rPr>
                        <w:t>现场指挥</w:t>
                      </w:r>
                    </w:p>
                  </w:txbxContent>
                </v:textbox>
              </v:rect>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2183130</wp:posOffset>
                </wp:positionH>
                <wp:positionV relativeFrom="paragraph">
                  <wp:posOffset>2980690</wp:posOffset>
                </wp:positionV>
                <wp:extent cx="928370" cy="373380"/>
                <wp:effectExtent l="5080" t="4445" r="19050" b="22225"/>
                <wp:wrapNone/>
                <wp:docPr id="20" name="矩形 55"/>
                <wp:cNvGraphicFramePr/>
                <a:graphic xmlns:a="http://schemas.openxmlformats.org/drawingml/2006/main">
                  <a:graphicData uri="http://schemas.microsoft.com/office/word/2010/wordprocessingShape">
                    <wps:wsp>
                      <wps:cNvSpPr/>
                      <wps:spPr>
                        <a:xfrm>
                          <a:off x="0" y="0"/>
                          <a:ext cx="92837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b/>
                                <w:bCs/>
                              </w:rPr>
                              <w:t>应急结束</w:t>
                            </w:r>
                          </w:p>
                        </w:txbxContent>
                      </wps:txbx>
                      <wps:bodyPr wrap="square" upright="1"/>
                    </wps:wsp>
                  </a:graphicData>
                </a:graphic>
              </wp:anchor>
            </w:drawing>
          </mc:Choice>
          <mc:Fallback>
            <w:pict>
              <v:rect id="矩形 55" o:spid="_x0000_s1026" o:spt="1" style="position:absolute;left:0pt;margin-left:171.9pt;margin-top:234.7pt;height:29.4pt;width:73.1pt;z-index:251678720;mso-width-relative:page;mso-height-relative:page;" fillcolor="#FFFFFF" filled="t" stroked="t" coordsize="21600,21600" o:gfxdata="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0psV72QAAAAsBAAAPAAAAAAAAAAEAIAAAACIAAABkcnMvZG93bnJldi54bWxQSwEC&#10;FAAUAAAACACHTuJAzAPS6vMBAADqAwAADgAAAAAAAAABACAAAAAoAQAAZHJzL2Uyb0RvYy54bWxQ&#10;SwUGAAAAAAYABgBZAQAAjQUAAAAA&#10;">
                <v:fill on="t" focussize="0,0"/>
                <v:stroke color="#000000" joinstyle="miter"/>
                <v:imagedata o:title=""/>
                <o:lock v:ext="edit" aspectratio="f"/>
                <v:textbox>
                  <w:txbxContent>
                    <w:p>
                      <w:pPr>
                        <w:spacing w:line="360" w:lineRule="auto"/>
                        <w:jc w:val="center"/>
                        <w:rPr>
                          <w:b/>
                          <w:bCs/>
                        </w:rPr>
                      </w:pPr>
                      <w:r>
                        <w:rPr>
                          <w:rFonts w:hint="eastAsia"/>
                          <w:b/>
                          <w:bCs/>
                        </w:rPr>
                        <w:t>应急结束</w:t>
                      </w:r>
                    </w:p>
                  </w:txbxContent>
                </v:textbox>
              </v:rect>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4128770</wp:posOffset>
                </wp:positionH>
                <wp:positionV relativeFrom="paragraph">
                  <wp:posOffset>2160905</wp:posOffset>
                </wp:positionV>
                <wp:extent cx="1459865" cy="579120"/>
                <wp:effectExtent l="470535" t="4445" r="12700" b="6985"/>
                <wp:wrapNone/>
                <wp:docPr id="23" name="自选图形 58"/>
                <wp:cNvGraphicFramePr/>
                <a:graphic xmlns:a="http://schemas.openxmlformats.org/drawingml/2006/main">
                  <a:graphicData uri="http://schemas.microsoft.com/office/word/2010/wordprocessingShape">
                    <wps:wsp>
                      <wps:cNvSpPr/>
                      <wps:spPr>
                        <a:xfrm>
                          <a:off x="0" y="0"/>
                          <a:ext cx="1459865" cy="579120"/>
                        </a:xfrm>
                        <a:prstGeom prst="wedgeRectCallout">
                          <a:avLst>
                            <a:gd name="adj1" fmla="val -80181"/>
                            <a:gd name="adj2" fmla="val -5375"/>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left"/>
                              <w:rPr>
                                <w:b/>
                                <w:bCs/>
                              </w:rPr>
                            </w:pPr>
                            <w:r>
                              <w:rPr>
                                <w:rFonts w:hint="eastAsia"/>
                              </w:rPr>
                              <w:t>国家、省级力量（省旅文厅、省应急厅）和社会力量联合处置</w:t>
                            </w:r>
                          </w:p>
                        </w:txbxContent>
                      </wps:txbx>
                      <wps:bodyPr wrap="square" upright="1"/>
                    </wps:wsp>
                  </a:graphicData>
                </a:graphic>
              </wp:anchor>
            </w:drawing>
          </mc:Choice>
          <mc:Fallback>
            <w:pict>
              <v:shape id="自选图形 58" o:spid="_x0000_s1026" o:spt="61" type="#_x0000_t61" style="position:absolute;left:0pt;margin-left:325.1pt;margin-top:170.15pt;height:45.6pt;width:114.95pt;z-index:251681792;mso-width-relative:page;mso-height-relative:page;" fillcolor="#FFFFFF" filled="t" stroked="t" coordsize="21600,21600" o:gfxdata="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LCunA3AAAAAsBAAAPAAAAAAAAAAEAIAAAACIAAABkcnMvZG93bnJldi54bWxQSwEC&#10;FAAUAAAACACHTuJABOFP1ykCAABPBAAADgAAAAAAAAABACAAAAArAQAAZHJzL2Uyb0RvYy54bWxQ&#10;SwUGAAAAAAYABgBZAQAAxgUAAAAA&#10;" adj="-6519,9639">
                <v:fill on="t" focussize="0,0"/>
                <v:stroke color="#000000" joinstyle="miter"/>
                <v:imagedata o:title=""/>
                <o:lock v:ext="edit" aspectratio="f"/>
                <v:textbox>
                  <w:txbxContent>
                    <w:p>
                      <w:pPr>
                        <w:spacing w:line="240" w:lineRule="exact"/>
                        <w:jc w:val="left"/>
                        <w:rPr>
                          <w:b/>
                          <w:bCs/>
                        </w:rPr>
                      </w:pPr>
                      <w:r>
                        <w:rPr>
                          <w:rFonts w:hint="eastAsia"/>
                        </w:rPr>
                        <w:t>国家、省级力量（省旅文厅、省应急厅）和社会力量联合处置</w:t>
                      </w:r>
                    </w:p>
                  </w:txbxContent>
                </v:textbox>
              </v:shape>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4105275</wp:posOffset>
                </wp:positionH>
                <wp:positionV relativeFrom="paragraph">
                  <wp:posOffset>1160145</wp:posOffset>
                </wp:positionV>
                <wp:extent cx="1459865" cy="865505"/>
                <wp:effectExtent l="929005" t="5080" r="11430" b="5715"/>
                <wp:wrapNone/>
                <wp:docPr id="17" name="自选图形 52"/>
                <wp:cNvGraphicFramePr/>
                <a:graphic xmlns:a="http://schemas.openxmlformats.org/drawingml/2006/main">
                  <a:graphicData uri="http://schemas.microsoft.com/office/word/2010/wordprocessingShape">
                    <wps:wsp>
                      <wps:cNvSpPr/>
                      <wps:spPr>
                        <a:xfrm>
                          <a:off x="0" y="0"/>
                          <a:ext cx="1459865" cy="865505"/>
                        </a:xfrm>
                        <a:prstGeom prst="wedgeRectCallout">
                          <a:avLst>
                            <a:gd name="adj1" fmla="val -111065"/>
                            <a:gd name="adj2" fmla="val 5611"/>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hint="eastAsia" w:ascii="Calibri" w:hAnsi="Calibri"/>
                              </w:rPr>
                            </w:pPr>
                            <w:r>
                              <w:rPr>
                                <w:rFonts w:hint="eastAsia" w:ascii="Calibri" w:hAnsi="Calibri"/>
                              </w:rPr>
                              <w:t>综合协调  抢险救援</w:t>
                            </w:r>
                          </w:p>
                          <w:p>
                            <w:pPr>
                              <w:spacing w:line="240" w:lineRule="exact"/>
                              <w:jc w:val="left"/>
                              <w:rPr>
                                <w:rFonts w:ascii="Calibri" w:hAnsi="Calibri"/>
                              </w:rPr>
                            </w:pPr>
                            <w:r>
                              <w:rPr>
                                <w:rFonts w:hint="eastAsia" w:ascii="Calibri" w:hAnsi="Calibri"/>
                              </w:rPr>
                              <w:t>秩序维护  医疗卫生  后勤保障  善后处理  新闻报道  技术专家 其他工作</w:t>
                            </w:r>
                          </w:p>
                        </w:txbxContent>
                      </wps:txbx>
                      <wps:bodyPr wrap="square" upright="1"/>
                    </wps:wsp>
                  </a:graphicData>
                </a:graphic>
              </wp:anchor>
            </w:drawing>
          </mc:Choice>
          <mc:Fallback>
            <w:pict>
              <v:shape id="自选图形 52" o:spid="_x0000_s1026" o:spt="61" type="#_x0000_t61" style="position:absolute;left:0pt;margin-left:323.25pt;margin-top:91.35pt;height:68.15pt;width:114.95pt;z-index:251675648;mso-width-relative:page;mso-height-relative:page;" fillcolor="#FFFFFF" filled="t" stroked="t" coordsize="21600,21600" o:gfxdata="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10mErtwAAAALAQAADwAAAAAAAAABACAAAAAiAAAAZHJzL2Rvd25yZXYueG1sUEsBAhQA&#10;FAAAAAgAh07iQMq2fEsnAgAATwQAAA4AAAAAAAAAAQAgAAAAKwEAAGRycy9lMm9Eb2MueG1sUEsF&#10;BgAAAAAGAAYAWQEAAMQFAAAAAA==&#10;" adj="-13190,12012">
                <v:fill on="t" focussize="0,0"/>
                <v:stroke color="#000000" joinstyle="miter"/>
                <v:imagedata o:title=""/>
                <o:lock v:ext="edit" aspectratio="f"/>
                <v:textbox>
                  <w:txbxContent>
                    <w:p>
                      <w:pPr>
                        <w:spacing w:line="240" w:lineRule="exact"/>
                        <w:rPr>
                          <w:rFonts w:hint="eastAsia" w:ascii="Calibri" w:hAnsi="Calibri"/>
                        </w:rPr>
                      </w:pPr>
                      <w:r>
                        <w:rPr>
                          <w:rFonts w:hint="eastAsia" w:ascii="Calibri" w:hAnsi="Calibri"/>
                        </w:rPr>
                        <w:t>综合协调  抢险救援</w:t>
                      </w:r>
                    </w:p>
                    <w:p>
                      <w:pPr>
                        <w:spacing w:line="240" w:lineRule="exact"/>
                        <w:jc w:val="left"/>
                        <w:rPr>
                          <w:rFonts w:ascii="Calibri" w:hAnsi="Calibri"/>
                        </w:rPr>
                      </w:pPr>
                      <w:r>
                        <w:rPr>
                          <w:rFonts w:hint="eastAsia" w:ascii="Calibri" w:hAnsi="Calibri"/>
                        </w:rPr>
                        <w:t>秩序维护  医疗卫生  后勤保障  善后处理  新闻报道  技术专家 其他工作</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column">
                  <wp:posOffset>311150</wp:posOffset>
                </wp:positionH>
                <wp:positionV relativeFrom="paragraph">
                  <wp:posOffset>923290</wp:posOffset>
                </wp:positionV>
                <wp:extent cx="1459865" cy="396875"/>
                <wp:effectExtent l="5080" t="4445" r="344805" b="17780"/>
                <wp:wrapNone/>
                <wp:docPr id="15" name="自选图形 50"/>
                <wp:cNvGraphicFramePr/>
                <a:graphic xmlns:a="http://schemas.openxmlformats.org/drawingml/2006/main">
                  <a:graphicData uri="http://schemas.microsoft.com/office/word/2010/wordprocessingShape">
                    <wps:wsp>
                      <wps:cNvSpPr/>
                      <wps:spPr>
                        <a:xfrm>
                          <a:off x="0" y="0"/>
                          <a:ext cx="1459865" cy="396875"/>
                        </a:xfrm>
                        <a:prstGeom prst="wedgeRectCallout">
                          <a:avLst>
                            <a:gd name="adj1" fmla="val 70444"/>
                            <a:gd name="adj2" fmla="val -27870"/>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rPr>
                            </w:pPr>
                            <w:r>
                              <w:rPr>
                                <w:rFonts w:hint="eastAsia"/>
                              </w:rPr>
                              <w:t>现场指挥部领导</w:t>
                            </w:r>
                          </w:p>
                          <w:p>
                            <w:pPr>
                              <w:spacing w:line="240" w:lineRule="exact"/>
                              <w:jc w:val="center"/>
                              <w:rPr>
                                <w:rFonts w:hint="eastAsia"/>
                              </w:rPr>
                            </w:pPr>
                            <w:r>
                              <w:rPr>
                                <w:rFonts w:hint="eastAsia"/>
                              </w:rPr>
                              <w:t>由区应急指挥部委派</w:t>
                            </w:r>
                          </w:p>
                        </w:txbxContent>
                      </wps:txbx>
                      <wps:bodyPr wrap="square" upright="1"/>
                    </wps:wsp>
                  </a:graphicData>
                </a:graphic>
              </wp:anchor>
            </w:drawing>
          </mc:Choice>
          <mc:Fallback>
            <w:pict>
              <v:shape id="自选图形 50" o:spid="_x0000_s1026" o:spt="61" type="#_x0000_t61" style="position:absolute;left:0pt;margin-left:24.5pt;margin-top:72.7pt;height:31.25pt;width:114.95pt;z-index:251673600;mso-width-relative:page;mso-height-relative:page;" fillcolor="#FFFFFF" filled="t" stroked="t" coordsize="21600,21600" o:gfxdata="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9lZHs2wAAAAoBAAAPAAAAAAAAAAEAIAAAACIAAABkcnMvZG93bnJldi54bWxQSwEC&#10;FAAUAAAACACHTuJAKMQaRSoCAABPBAAADgAAAAAAAAABACAAAAAqAQAAZHJzL2Uyb0RvYy54bWxQ&#10;SwUGAAAAAAYABgBZAQAAxgUAAAAA&#10;" adj="26016,4780">
                <v:fill on="t" focussize="0,0"/>
                <v:stroke color="#000000" joinstyle="miter"/>
                <v:imagedata o:title=""/>
                <o:lock v:ext="edit" aspectratio="f"/>
                <v:textbox>
                  <w:txbxContent>
                    <w:p>
                      <w:pPr>
                        <w:spacing w:line="240" w:lineRule="exact"/>
                        <w:jc w:val="center"/>
                        <w:rPr>
                          <w:rFonts w:hint="eastAsia"/>
                        </w:rPr>
                      </w:pPr>
                      <w:r>
                        <w:rPr>
                          <w:rFonts w:hint="eastAsia"/>
                        </w:rPr>
                        <w:t>现场指挥部领导</w:t>
                      </w:r>
                    </w:p>
                    <w:p>
                      <w:pPr>
                        <w:spacing w:line="240" w:lineRule="exact"/>
                        <w:jc w:val="center"/>
                        <w:rPr>
                          <w:rFonts w:hint="eastAsia"/>
                        </w:rPr>
                      </w:pPr>
                      <w:r>
                        <w:rPr>
                          <w:rFonts w:hint="eastAsia"/>
                        </w:rPr>
                        <w:t>由区应急指挥部委派</w:t>
                      </w:r>
                    </w:p>
                  </w:txbxContent>
                </v:textbox>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327025</wp:posOffset>
                </wp:positionH>
                <wp:positionV relativeFrom="paragraph">
                  <wp:posOffset>168910</wp:posOffset>
                </wp:positionV>
                <wp:extent cx="983615" cy="381635"/>
                <wp:effectExtent l="5080" t="5080" r="306705" b="13335"/>
                <wp:wrapNone/>
                <wp:docPr id="19" name="自选图形 54"/>
                <wp:cNvGraphicFramePr/>
                <a:graphic xmlns:a="http://schemas.openxmlformats.org/drawingml/2006/main">
                  <a:graphicData uri="http://schemas.microsoft.com/office/word/2010/wordprocessingShape">
                    <wps:wsp>
                      <wps:cNvSpPr/>
                      <wps:spPr>
                        <a:xfrm>
                          <a:off x="0" y="0"/>
                          <a:ext cx="983615" cy="381635"/>
                        </a:xfrm>
                        <a:prstGeom prst="wedgeRectCallout">
                          <a:avLst>
                            <a:gd name="adj1" fmla="val 77759"/>
                            <a:gd name="adj2" fmla="val -25875"/>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rPr>
                            </w:pPr>
                            <w:r>
                              <w:rPr>
                                <w:rFonts w:hint="eastAsia"/>
                              </w:rPr>
                              <w:t>指挥长</w:t>
                            </w:r>
                          </w:p>
                          <w:p>
                            <w:pPr>
                              <w:spacing w:line="240" w:lineRule="exact"/>
                              <w:jc w:val="center"/>
                              <w:rPr>
                                <w:b/>
                                <w:bCs/>
                              </w:rPr>
                            </w:pPr>
                            <w:r>
                              <w:rPr>
                                <w:rFonts w:hint="eastAsia"/>
                              </w:rPr>
                              <w:t>（副区长）</w:t>
                            </w:r>
                          </w:p>
                        </w:txbxContent>
                      </wps:txbx>
                      <wps:bodyPr wrap="square" upright="1"/>
                    </wps:wsp>
                  </a:graphicData>
                </a:graphic>
              </wp:anchor>
            </w:drawing>
          </mc:Choice>
          <mc:Fallback>
            <w:pict>
              <v:shape id="自选图形 54" o:spid="_x0000_s1026" o:spt="61" type="#_x0000_t61" style="position:absolute;left:0pt;margin-left:25.75pt;margin-top:13.3pt;height:30.05pt;width:77.45pt;z-index:251677696;mso-width-relative:page;mso-height-relative:page;" fillcolor="#FFFFFF" filled="t" stroked="t" coordsize="21600,21600" o:gfxdata="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4Hy211wAAAAgBAAAPAAAAAAAAAAEAIAAAACIAAABkcnMvZG93bnJldi54bWxQSwECFAAUAAAA&#10;CACHTuJAx0fCFCgCAABOBAAADgAAAAAAAAABACAAAAAmAQAAZHJzL2Uyb0RvYy54bWxQSwUGAAAA&#10;AAYABgBZAQAAwAUAAAAA&#10;" adj="27596,5211">
                <v:fill on="t" focussize="0,0"/>
                <v:stroke color="#000000" joinstyle="miter"/>
                <v:imagedata o:title=""/>
                <o:lock v:ext="edit" aspectratio="f"/>
                <v:textbox>
                  <w:txbxContent>
                    <w:p>
                      <w:pPr>
                        <w:spacing w:line="240" w:lineRule="exact"/>
                        <w:jc w:val="center"/>
                        <w:rPr>
                          <w:rFonts w:hint="eastAsia"/>
                        </w:rPr>
                      </w:pPr>
                      <w:r>
                        <w:rPr>
                          <w:rFonts w:hint="eastAsia"/>
                        </w:rPr>
                        <w:t>指挥长</w:t>
                      </w:r>
                    </w:p>
                    <w:p>
                      <w:pPr>
                        <w:spacing w:line="240" w:lineRule="exact"/>
                        <w:jc w:val="center"/>
                        <w:rPr>
                          <w:b/>
                          <w:bCs/>
                        </w:rPr>
                      </w:pPr>
                      <w:r>
                        <w:rPr>
                          <w:rFonts w:hint="eastAsia"/>
                        </w:rPr>
                        <w:t>（副区长）</w:t>
                      </w:r>
                    </w:p>
                  </w:txbxContent>
                </v:textbox>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318770</wp:posOffset>
                </wp:positionH>
                <wp:positionV relativeFrom="paragraph">
                  <wp:posOffset>1605280</wp:posOffset>
                </wp:positionV>
                <wp:extent cx="1459865" cy="381635"/>
                <wp:effectExtent l="5080" t="4445" r="344805" b="13970"/>
                <wp:wrapNone/>
                <wp:docPr id="18" name="自选图形 53"/>
                <wp:cNvGraphicFramePr/>
                <a:graphic xmlns:a="http://schemas.openxmlformats.org/drawingml/2006/main">
                  <a:graphicData uri="http://schemas.microsoft.com/office/word/2010/wordprocessingShape">
                    <wps:wsp>
                      <wps:cNvSpPr/>
                      <wps:spPr>
                        <a:xfrm>
                          <a:off x="0" y="0"/>
                          <a:ext cx="1459865" cy="381635"/>
                        </a:xfrm>
                        <a:prstGeom prst="wedgeRectCallout">
                          <a:avLst>
                            <a:gd name="adj1" fmla="val 70444"/>
                            <a:gd name="adj2" fmla="val -27870"/>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jc w:val="center"/>
                              <w:rPr>
                                <w:b/>
                                <w:bCs/>
                              </w:rPr>
                            </w:pPr>
                            <w:r>
                              <w:rPr>
                                <w:rFonts w:hint="eastAsia"/>
                              </w:rPr>
                              <w:t>区应急工作组</w:t>
                            </w:r>
                          </w:p>
                        </w:txbxContent>
                      </wps:txbx>
                      <wps:bodyPr wrap="square" upright="1"/>
                    </wps:wsp>
                  </a:graphicData>
                </a:graphic>
              </wp:anchor>
            </w:drawing>
          </mc:Choice>
          <mc:Fallback>
            <w:pict>
              <v:shape id="自选图形 53" o:spid="_x0000_s1026" o:spt="61" type="#_x0000_t61" style="position:absolute;left:0pt;margin-left:25.1pt;margin-top:126.4pt;height:30.05pt;width:114.95pt;z-index:251676672;mso-width-relative:page;mso-height-relative:page;" fillcolor="#FFFFFF" filled="t" stroked="t" coordsize="21600,21600" o:gfxdata="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2Aif32wAAAAoBAAAPAAAAAAAAAAEAIAAAACIAAABkcnMvZG93bnJldi54bWxQSwEC&#10;FAAUAAAACACHTuJAJzpyjCoCAABPBAAADgAAAAAAAAABACAAAAAqAQAAZHJzL2Uyb0RvYy54bWxQ&#10;SwUGAAAAAAYABgBZAQAAxgUAAAAA&#10;" adj="26016,4780">
                <v:fill on="t" focussize="0,0"/>
                <v:stroke color="#000000" joinstyle="miter"/>
                <v:imagedata o:title=""/>
                <o:lock v:ext="edit" aspectratio="f"/>
                <v:textbox>
                  <w:txbxContent>
                    <w:p>
                      <w:pPr>
                        <w:spacing w:line="360" w:lineRule="auto"/>
                        <w:jc w:val="center"/>
                        <w:rPr>
                          <w:b/>
                          <w:bCs/>
                        </w:rPr>
                      </w:pPr>
                      <w:r>
                        <w:rPr>
                          <w:rFonts w:hint="eastAsia"/>
                        </w:rPr>
                        <w:t>区应急工作组</w:t>
                      </w:r>
                    </w:p>
                  </w:txbxContent>
                </v:textbox>
              </v:shape>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2621280</wp:posOffset>
                </wp:positionH>
                <wp:positionV relativeFrom="paragraph">
                  <wp:posOffset>668020</wp:posOffset>
                </wp:positionV>
                <wp:extent cx="635" cy="214630"/>
                <wp:effectExtent l="48895" t="0" r="64770" b="13970"/>
                <wp:wrapNone/>
                <wp:docPr id="14" name="直线 49"/>
                <wp:cNvGraphicFramePr/>
                <a:graphic xmlns:a="http://schemas.openxmlformats.org/drawingml/2006/main">
                  <a:graphicData uri="http://schemas.microsoft.com/office/word/2010/wordprocessingShape">
                    <wps:wsp>
                      <wps:cNvCnPr/>
                      <wps:spPr>
                        <a:xfrm>
                          <a:off x="0" y="0"/>
                          <a:ext cx="635" cy="21463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9" o:spid="_x0000_s1026" o:spt="20" style="position:absolute;left:0pt;margin-left:206.4pt;margin-top:52.6pt;height:16.9pt;width:0.05pt;z-index:251672576;mso-width-relative:page;mso-height-relative:page;" filled="f" stroked="t" coordsize="21600,21600" o:gfxdata="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s+dkAAAALAQAADwAAAAAAAAAB&#10;ACAAAAAiAAAAZHJzL2Rvd25yZXYueG1sUEsBAhQAFAAAAAgAh07iQMT24V3WAQAAkQMAAA4AAAAA&#10;AAAAAQAgAAAAKAEAAGRycy9lMm9Eb2MueG1sUEsFBgAAAAAGAAYAWQEAAHA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3667125</wp:posOffset>
                </wp:positionH>
                <wp:positionV relativeFrom="paragraph">
                  <wp:posOffset>334645</wp:posOffset>
                </wp:positionV>
                <wp:extent cx="381000" cy="635"/>
                <wp:effectExtent l="0" t="0" r="0" b="0"/>
                <wp:wrapNone/>
                <wp:docPr id="11" name="直线 46"/>
                <wp:cNvGraphicFramePr/>
                <a:graphic xmlns:a="http://schemas.openxmlformats.org/drawingml/2006/main">
                  <a:graphicData uri="http://schemas.microsoft.com/office/word/2010/wordprocessingShape">
                    <wps:wsp>
                      <wps:cNvCnPr/>
                      <wps:spPr>
                        <a:xfrm>
                          <a:off x="0" y="0"/>
                          <a:ext cx="381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288.75pt;margin-top:26.35pt;height:0.05pt;width:30pt;z-index:251669504;mso-width-relative:page;mso-height-relative:page;" filled="f" stroked="t" coordsize="21600,21600" o:gfxdata="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&#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zudntYAAAAJAQAADwAAAAAAAAABACAAAAAiAAAA&#10;ZHJzL2Rvd25yZXYueG1sUEsBAhQAFAAAAAgAh07iQO6IWJ/QAQAAkAMAAA4AAAAAAAAAAQAgAAAA&#10;JQEAAGRycy9lMm9Eb2MueG1sUEsFBgAAAAAGAAYAWQEAAGc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68480" behindDoc="0" locked="0" layoutInCell="1" allowOverlap="1">
                <wp:simplePos x="0" y="0"/>
                <wp:positionH relativeFrom="column">
                  <wp:posOffset>4041775</wp:posOffset>
                </wp:positionH>
                <wp:positionV relativeFrom="paragraph">
                  <wp:posOffset>113030</wp:posOffset>
                </wp:positionV>
                <wp:extent cx="1459865" cy="381635"/>
                <wp:effectExtent l="4445" t="4445" r="21590" b="13970"/>
                <wp:wrapNone/>
                <wp:docPr id="10" name="矩形 44"/>
                <wp:cNvGraphicFramePr/>
                <a:graphic xmlns:a="http://schemas.openxmlformats.org/drawingml/2006/main">
                  <a:graphicData uri="http://schemas.microsoft.com/office/word/2010/wordprocessingShape">
                    <wps:wsp>
                      <wps:cNvSpPr/>
                      <wps:spPr>
                        <a:xfrm>
                          <a:off x="0" y="0"/>
                          <a:ext cx="1459865" cy="381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b/>
                                <w:bCs/>
                              </w:rPr>
                            </w:pPr>
                            <w:r>
                              <w:rPr>
                                <w:rFonts w:hint="eastAsia"/>
                              </w:rPr>
                              <w:t>区大型群众性活动突发事件应急指挥部</w:t>
                            </w:r>
                          </w:p>
                        </w:txbxContent>
                      </wps:txbx>
                      <wps:bodyPr wrap="square" upright="1"/>
                    </wps:wsp>
                  </a:graphicData>
                </a:graphic>
              </wp:anchor>
            </w:drawing>
          </mc:Choice>
          <mc:Fallback>
            <w:pict>
              <v:rect id="矩形 44" o:spid="_x0000_s1026" o:spt="1" style="position:absolute;left:0pt;margin-left:318.25pt;margin-top:8.9pt;height:30.05pt;width:114.95pt;z-index:251668480;mso-width-relative:page;mso-height-relative:page;" fillcolor="#FFFFFF" filled="t" stroked="t" coordsize="21600,21600" o:gfxdata="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f91wAAAAkBAAAPAAAAAAAAAAEAIAAAACIAAABkcnMvZG93bnJldi54bWxQSwECFAAU&#10;AAAACACHTuJArdIa3/IBAADrAwAADgAAAAAAAAABACAAAAAmAQAAZHJzL2Uyb0RvYy54bWxQSwUG&#10;AAAAAAYABgBZAQAAigUAAAAA&#10;">
                <v:fill on="t" focussize="0,0"/>
                <v:stroke color="#000000" joinstyle="miter"/>
                <v:imagedata o:title=""/>
                <o:lock v:ext="edit" aspectratio="f"/>
                <v:textbox>
                  <w:txbxContent>
                    <w:p>
                      <w:pPr>
                        <w:spacing w:line="240" w:lineRule="exact"/>
                        <w:jc w:val="center"/>
                        <w:rPr>
                          <w:b/>
                          <w:bCs/>
                        </w:rPr>
                      </w:pPr>
                      <w:r>
                        <w:rPr>
                          <w:rFonts w:hint="eastAsia"/>
                        </w:rPr>
                        <w:t>区大型群众性活动突发事件应急指挥部</w:t>
                      </w:r>
                    </w:p>
                  </w:txbxContent>
                </v:textbox>
              </v:rect>
            </w:pict>
          </mc:Fallback>
        </mc:AlternateContent>
      </w:r>
    </w:p>
    <w:p>
      <w:pPr>
        <w:pStyle w:val="3"/>
        <w:rPr>
          <w:color w:val="auto"/>
        </w:rPr>
      </w:pPr>
    </w:p>
    <w:p>
      <w:pPr/>
    </w:p>
    <w:p>
      <w:pPr/>
    </w:p>
    <w:p>
      <w:pPr>
        <w:spacing w:line="560" w:lineRule="exact"/>
        <w:rPr>
          <w:rFonts w:hint="eastAsia" w:ascii="楷体" w:hAnsi="楷体" w:eastAsia="楷体"/>
          <w:b/>
          <w:sz w:val="32"/>
          <w:szCs w:val="32"/>
        </w:rPr>
      </w:pPr>
      <w:bookmarkStart w:id="667" w:name="_Toc29534"/>
      <w:bookmarkStart w:id="668" w:name="_Toc28736"/>
      <w:bookmarkStart w:id="669" w:name="_Toc26202"/>
      <w:bookmarkStart w:id="670" w:name="_Toc810"/>
    </w:p>
    <w:p>
      <w:pPr>
        <w:pStyle w:val="3"/>
        <w:rPr>
          <w:rFonts w:hint="eastAsia" w:ascii="楷体" w:hAnsi="楷体" w:eastAsia="楷体"/>
          <w:color w:val="auto"/>
        </w:rPr>
      </w:pPr>
      <w:bookmarkStart w:id="671" w:name="_Toc184131127"/>
      <w:bookmarkStart w:id="672" w:name="_Toc184131523"/>
      <w:bookmarkStart w:id="673" w:name="_Toc184131616"/>
      <w:bookmarkStart w:id="674" w:name="_Toc184131319"/>
      <w:bookmarkStart w:id="675" w:name="_Toc184131412"/>
      <w:bookmarkStart w:id="676" w:name="_Toc184131022"/>
      <w:bookmarkStart w:id="677" w:name="_Toc184137082"/>
      <w:bookmarkStart w:id="678" w:name="_Toc184131223"/>
      <w:r>
        <w:rPr>
          <w:color w:val="auto"/>
        </w:rPr>
        <mc:AlternateContent>
          <mc:Choice Requires="wps">
            <w:drawing>
              <wp:anchor distT="0" distB="0" distL="114300" distR="114300" simplePos="0" relativeHeight="251680768" behindDoc="0" locked="0" layoutInCell="1" allowOverlap="1">
                <wp:simplePos x="0" y="0"/>
                <wp:positionH relativeFrom="column">
                  <wp:posOffset>747395</wp:posOffset>
                </wp:positionH>
                <wp:positionV relativeFrom="paragraph">
                  <wp:posOffset>418465</wp:posOffset>
                </wp:positionV>
                <wp:extent cx="2912745" cy="690880"/>
                <wp:effectExtent l="4445" t="4445" r="16510" b="9525"/>
                <wp:wrapNone/>
                <wp:docPr id="22" name="矩形 57"/>
                <wp:cNvGraphicFramePr/>
                <a:graphic xmlns:a="http://schemas.openxmlformats.org/drawingml/2006/main">
                  <a:graphicData uri="http://schemas.microsoft.com/office/word/2010/wordprocessingShape">
                    <wps:wsp>
                      <wps:cNvSpPr/>
                      <wps:spPr>
                        <a:xfrm>
                          <a:off x="0" y="0"/>
                          <a:ext cx="2912745" cy="690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b/>
                                <w:szCs w:val="21"/>
                              </w:rPr>
                            </w:pPr>
                            <w:r>
                              <w:rPr>
                                <w:rFonts w:hint="eastAsia"/>
                                <w:b/>
                                <w:szCs w:val="21"/>
                              </w:rPr>
                              <w:t>响应升级</w:t>
                            </w:r>
                          </w:p>
                          <w:p>
                            <w:pPr>
                              <w:spacing w:line="240" w:lineRule="exact"/>
                              <w:jc w:val="center"/>
                              <w:rPr>
                                <w:rFonts w:hint="eastAsia"/>
                                <w:b/>
                                <w:szCs w:val="21"/>
                              </w:rPr>
                            </w:pPr>
                            <w:r>
                              <w:rPr>
                                <w:rFonts w:hint="eastAsia"/>
                                <w:b/>
                                <w:szCs w:val="21"/>
                              </w:rPr>
                              <w:t>（省政府和国务院）</w:t>
                            </w:r>
                          </w:p>
                          <w:p>
                            <w:pPr>
                              <w:spacing w:line="240" w:lineRule="exact"/>
                              <w:rPr>
                                <w:szCs w:val="21"/>
                              </w:rPr>
                            </w:pPr>
                            <w:r>
                              <w:rPr>
                                <w:rFonts w:hint="eastAsia"/>
                                <w:szCs w:val="21"/>
                              </w:rPr>
                              <w:t>1.启动三级、二级、一级应急响应；</w:t>
                            </w:r>
                          </w:p>
                          <w:p>
                            <w:pPr>
                              <w:spacing w:line="240" w:lineRule="exact"/>
                              <w:rPr>
                                <w:rFonts w:hint="eastAsia"/>
                                <w:szCs w:val="21"/>
                              </w:rPr>
                            </w:pPr>
                            <w:r>
                              <w:rPr>
                                <w:rFonts w:hint="eastAsia"/>
                                <w:szCs w:val="21"/>
                              </w:rPr>
                              <w:t>2.区委、区政府启动本预案，立即组织先期处置</w:t>
                            </w:r>
                          </w:p>
                          <w:p>
                            <w:pPr>
                              <w:pStyle w:val="3"/>
                              <w:spacing w:before="0" w:after="0" w:line="240" w:lineRule="auto"/>
                            </w:pPr>
                          </w:p>
                        </w:txbxContent>
                      </wps:txbx>
                      <wps:bodyPr wrap="square" upright="1"/>
                    </wps:wsp>
                  </a:graphicData>
                </a:graphic>
              </wp:anchor>
            </w:drawing>
          </mc:Choice>
          <mc:Fallback>
            <w:pict>
              <v:rect id="矩形 57" o:spid="_x0000_s1026" o:spt="1" style="position:absolute;left:0pt;margin-left:58.85pt;margin-top:32.95pt;height:54.4pt;width:229.35pt;z-index:251680768;mso-width-relative:page;mso-height-relative:page;" fillcolor="#FFFFFF" filled="t" stroked="t" coordsize="21600,21600" o:gfxdata="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cHvN9gAAAAKAQAADwAAAAAAAAABACAAAAAiAAAAZHJzL2Rvd25yZXYueG1sUEsB&#10;AhQAFAAAAAgAh07iQDqE3I/1AQAA6wMAAA4AAAAAAAAAAQAgAAAAJwEAAGRycy9lMm9Eb2MueG1s&#10;UEsFBgAAAAAGAAYAWQEAAI4FAAAAAA==&#10;">
                <v:fill on="t" focussize="0,0"/>
                <v:stroke color="#000000" joinstyle="miter"/>
                <v:imagedata o:title=""/>
                <o:lock v:ext="edit" aspectratio="f"/>
                <v:textbox>
                  <w:txbxContent>
                    <w:p>
                      <w:pPr>
                        <w:spacing w:line="240" w:lineRule="exact"/>
                        <w:jc w:val="center"/>
                        <w:rPr>
                          <w:rFonts w:hint="eastAsia"/>
                          <w:b/>
                          <w:szCs w:val="21"/>
                        </w:rPr>
                      </w:pPr>
                      <w:r>
                        <w:rPr>
                          <w:rFonts w:hint="eastAsia"/>
                          <w:b/>
                          <w:szCs w:val="21"/>
                        </w:rPr>
                        <w:t>响应升级</w:t>
                      </w:r>
                    </w:p>
                    <w:p>
                      <w:pPr>
                        <w:spacing w:line="240" w:lineRule="exact"/>
                        <w:jc w:val="center"/>
                        <w:rPr>
                          <w:rFonts w:hint="eastAsia"/>
                          <w:b/>
                          <w:szCs w:val="21"/>
                        </w:rPr>
                      </w:pPr>
                      <w:r>
                        <w:rPr>
                          <w:rFonts w:hint="eastAsia"/>
                          <w:b/>
                          <w:szCs w:val="21"/>
                        </w:rPr>
                        <w:t>（省政府和国务院）</w:t>
                      </w:r>
                    </w:p>
                    <w:p>
                      <w:pPr>
                        <w:spacing w:line="240" w:lineRule="exact"/>
                        <w:rPr>
                          <w:szCs w:val="21"/>
                        </w:rPr>
                      </w:pPr>
                      <w:r>
                        <w:rPr>
                          <w:rFonts w:hint="eastAsia"/>
                          <w:szCs w:val="21"/>
                        </w:rPr>
                        <w:t>1.启动三级、二级、一级应急响应；</w:t>
                      </w:r>
                    </w:p>
                    <w:p>
                      <w:pPr>
                        <w:spacing w:line="240" w:lineRule="exact"/>
                        <w:rPr>
                          <w:rFonts w:hint="eastAsia"/>
                          <w:szCs w:val="21"/>
                        </w:rPr>
                      </w:pPr>
                      <w:r>
                        <w:rPr>
                          <w:rFonts w:hint="eastAsia"/>
                          <w:szCs w:val="21"/>
                        </w:rPr>
                        <w:t>2.区委、区政府启动本预案，立即组织先期处置</w:t>
                      </w:r>
                    </w:p>
                    <w:p>
                      <w:pPr>
                        <w:pStyle w:val="3"/>
                        <w:spacing w:before="0" w:after="0" w:line="240" w:lineRule="auto"/>
                      </w:pPr>
                    </w:p>
                  </w:txbxContent>
                </v:textbox>
              </v:rect>
            </w:pict>
          </mc:Fallback>
        </mc:AlternateContent>
      </w:r>
      <w:bookmarkEnd w:id="671"/>
      <w:bookmarkEnd w:id="672"/>
      <w:bookmarkEnd w:id="673"/>
      <w:bookmarkEnd w:id="674"/>
      <w:bookmarkEnd w:id="675"/>
      <w:bookmarkEnd w:id="676"/>
      <w:bookmarkEnd w:id="677"/>
      <w:bookmarkEnd w:id="678"/>
    </w:p>
    <w:p>
      <w:pPr>
        <w:rPr>
          <w:rFonts w:hint="eastAsia" w:ascii="楷体" w:hAnsi="楷体" w:eastAsia="楷体"/>
          <w:b/>
          <w:sz w:val="32"/>
          <w:szCs w:val="32"/>
        </w:rPr>
      </w:pPr>
    </w:p>
    <w:p>
      <w:pPr>
        <w:pStyle w:val="3"/>
        <w:rPr>
          <w:rFonts w:hint="eastAsia" w:ascii="楷体" w:hAnsi="楷体" w:eastAsia="楷体"/>
          <w:color w:val="auto"/>
        </w:rPr>
      </w:pPr>
    </w:p>
    <w:p>
      <w:pPr>
        <w:rPr>
          <w:rFonts w:hint="eastAsia" w:ascii="楷体" w:hAnsi="楷体" w:eastAsia="楷体"/>
          <w:b/>
          <w:sz w:val="32"/>
          <w:szCs w:val="32"/>
        </w:rPr>
      </w:pPr>
    </w:p>
    <w:p>
      <w:pPr>
        <w:pStyle w:val="3"/>
        <w:rPr>
          <w:rFonts w:hint="eastAsia" w:ascii="楷体" w:hAnsi="楷体" w:eastAsia="楷体"/>
          <w:color w:val="auto"/>
        </w:rPr>
      </w:pPr>
    </w:p>
    <w:p>
      <w:pPr>
        <w:pStyle w:val="3"/>
        <w:rPr>
          <w:rFonts w:hint="eastAsia" w:ascii="楷体" w:hAnsi="楷体" w:eastAsia="楷体"/>
          <w:color w:val="auto"/>
        </w:rPr>
      </w:pPr>
    </w:p>
    <w:p>
      <w:pPr>
        <w:rPr>
          <w:rFonts w:hint="eastAsia"/>
        </w:rPr>
        <w:sectPr>
          <w:pgSz w:w="11906" w:h="16838"/>
          <w:pgMar w:top="1800" w:right="1440" w:bottom="1800" w:left="1440" w:header="851" w:footer="992" w:gutter="0"/>
          <w:cols w:space="720" w:num="1"/>
          <w:docGrid w:type="lines" w:linePitch="312" w:charSpace="0"/>
        </w:sectPr>
      </w:pPr>
    </w:p>
    <w:p>
      <w:pPr>
        <w:pStyle w:val="3"/>
        <w:spacing w:before="0" w:after="0" w:line="600" w:lineRule="exact"/>
        <w:ind w:firstLine="643" w:firstLineChars="200"/>
        <w:rPr>
          <w:rFonts w:hint="eastAsia" w:ascii="宋体" w:hAnsi="宋体" w:cs="宋体"/>
        </w:rPr>
      </w:pPr>
      <w:bookmarkStart w:id="679" w:name="_Toc32389"/>
      <w:bookmarkStart w:id="680" w:name="_Toc21964"/>
      <w:bookmarkStart w:id="681" w:name="_Toc19780"/>
      <w:bookmarkStart w:id="682" w:name="_Toc29117"/>
      <w:bookmarkStart w:id="683" w:name="_Toc184137083"/>
      <w:r>
        <w:rPr>
          <w:rFonts w:hint="eastAsia" w:ascii="宋体" w:hAnsi="宋体" w:cs="宋体"/>
        </w:rPr>
        <w:t>附件2区大型群众性活动突发事件应急指挥机构成员</w:t>
      </w:r>
      <w:bookmarkEnd w:id="679"/>
      <w:bookmarkEnd w:id="680"/>
      <w:bookmarkEnd w:id="681"/>
      <w:bookmarkEnd w:id="682"/>
      <w:r>
        <w:rPr>
          <w:rFonts w:hint="eastAsia" w:ascii="宋体" w:hAnsi="宋体" w:cs="宋体"/>
        </w:rPr>
        <w:t>通信录</w:t>
      </w:r>
      <w:bookmarkEnd w:id="667"/>
      <w:bookmarkEnd w:id="668"/>
      <w:bookmarkEnd w:id="669"/>
      <w:bookmarkEnd w:id="670"/>
      <w:bookmarkEnd w:id="683"/>
    </w:p>
    <w:tbl>
      <w:tblPr>
        <w:tblStyle w:val="24"/>
        <w:tblW w:w="905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539"/>
        <w:gridCol w:w="1695"/>
        <w:gridCol w:w="1961"/>
        <w:gridCol w:w="2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blHeader/>
          <w:jc w:val="center"/>
        </w:trPr>
        <w:tc>
          <w:tcPr>
            <w:tcW w:w="849"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539"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单位/职务</w:t>
            </w:r>
          </w:p>
        </w:tc>
        <w:tc>
          <w:tcPr>
            <w:tcW w:w="1695"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联络员</w:t>
            </w:r>
          </w:p>
        </w:tc>
        <w:tc>
          <w:tcPr>
            <w:tcW w:w="1961"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手机</w:t>
            </w:r>
          </w:p>
        </w:tc>
        <w:tc>
          <w:tcPr>
            <w:tcW w:w="2010" w:type="dxa"/>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kern w:val="0"/>
                <w:sz w:val="24"/>
                <w:szCs w:val="24"/>
              </w:rPr>
              <w:t>24小时应急电话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副指挥长</w:t>
            </w:r>
          </w:p>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区政法委书记</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卢家强</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13876226555</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88818991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副指挥长</w:t>
            </w:r>
          </w:p>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人民武装部部长</w:t>
            </w:r>
          </w:p>
        </w:tc>
        <w:tc>
          <w:tcPr>
            <w:tcW w:w="1695" w:type="dxa"/>
            <w:vAlign w:val="center"/>
          </w:tcPr>
          <w:p>
            <w:pPr>
              <w:jc w:val="center"/>
              <w:rPr>
                <w:rFonts w:hint="eastAsia" w:asciiTheme="minorEastAsia" w:hAnsiTheme="minorEastAsia" w:eastAsiaTheme="minorEastAsia" w:cstheme="minorEastAsia"/>
                <w:kern w:val="1"/>
                <w:sz w:val="24"/>
                <w:szCs w:val="24"/>
                <w:lang w:val="en-US" w:eastAsia="zh-CN"/>
              </w:rPr>
            </w:pPr>
            <w:r>
              <w:rPr>
                <w:rFonts w:hint="eastAsia" w:asciiTheme="minorEastAsia" w:hAnsiTheme="minorEastAsia" w:eastAsiaTheme="minorEastAsia" w:cstheme="minorEastAsia"/>
                <w:kern w:val="1"/>
                <w:sz w:val="24"/>
                <w:szCs w:val="24"/>
                <w:lang w:val="en-US" w:eastAsia="zh-CN"/>
              </w:rPr>
              <w:t>王秀磊</w:t>
            </w:r>
          </w:p>
        </w:tc>
        <w:tc>
          <w:tcPr>
            <w:tcW w:w="1961" w:type="dxa"/>
            <w:vAlign w:val="center"/>
          </w:tcPr>
          <w:p>
            <w:pPr>
              <w:jc w:val="center"/>
              <w:rPr>
                <w:rFonts w:hint="eastAsia" w:asciiTheme="minorEastAsia" w:hAnsiTheme="minorEastAsia" w:eastAsiaTheme="minorEastAsia" w:cstheme="minorEastAsia"/>
                <w:kern w:val="1"/>
                <w:sz w:val="24"/>
                <w:szCs w:val="24"/>
                <w:lang w:val="en-US" w:eastAsia="zh-CN"/>
              </w:rPr>
            </w:pPr>
            <w:r>
              <w:rPr>
                <w:rFonts w:hint="eastAsia" w:asciiTheme="minorEastAsia" w:hAnsiTheme="minorEastAsia" w:eastAsiaTheme="minorEastAsia" w:cstheme="minorEastAsia"/>
                <w:kern w:val="1"/>
                <w:sz w:val="24"/>
                <w:szCs w:val="24"/>
                <w:lang w:val="en-US" w:eastAsia="zh-CN"/>
              </w:rPr>
              <w:t>18689966078</w:t>
            </w:r>
            <w:bookmarkStart w:id="684" w:name="_GoBack"/>
            <w:bookmarkEnd w:id="684"/>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副指挥长</w:t>
            </w:r>
          </w:p>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市公安局海棠分局局长</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梁营</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13907609666</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38273013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副指挥长</w:t>
            </w:r>
          </w:p>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区旅游和文化广电体育局局长</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杨静</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18876082386</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38888046</w:t>
            </w:r>
          </w:p>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区政法委</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卢家强</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13876226555</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88818991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区人民武装部</w:t>
            </w:r>
          </w:p>
        </w:tc>
        <w:tc>
          <w:tcPr>
            <w:tcW w:w="1695" w:type="dxa"/>
            <w:vAlign w:val="center"/>
          </w:tcPr>
          <w:p>
            <w:pPr>
              <w:jc w:val="center"/>
              <w:rPr>
                <w:rFonts w:hint="eastAsia" w:asciiTheme="minorEastAsia" w:hAnsiTheme="minorEastAsia" w:eastAsiaTheme="minorEastAsia" w:cstheme="minorEastAsia"/>
                <w:kern w:val="1"/>
                <w:sz w:val="24"/>
                <w:szCs w:val="24"/>
                <w:lang w:val="en-US" w:eastAsia="zh-CN"/>
              </w:rPr>
            </w:pPr>
            <w:r>
              <w:rPr>
                <w:rFonts w:hint="eastAsia" w:asciiTheme="minorEastAsia" w:hAnsiTheme="minorEastAsia" w:eastAsiaTheme="minorEastAsia" w:cstheme="minorEastAsia"/>
                <w:kern w:val="1"/>
                <w:sz w:val="24"/>
                <w:szCs w:val="24"/>
                <w:lang w:val="en-US" w:eastAsia="zh-CN"/>
              </w:rPr>
              <w:t>杜有为</w:t>
            </w:r>
          </w:p>
        </w:tc>
        <w:tc>
          <w:tcPr>
            <w:tcW w:w="1961" w:type="dxa"/>
            <w:vAlign w:val="center"/>
          </w:tcPr>
          <w:p>
            <w:pPr>
              <w:jc w:val="center"/>
              <w:rPr>
                <w:rFonts w:hint="eastAsia" w:asciiTheme="minorEastAsia" w:hAnsiTheme="minorEastAsia" w:eastAsiaTheme="minorEastAsia" w:cstheme="minorEastAsia"/>
                <w:kern w:val="1"/>
                <w:sz w:val="24"/>
                <w:szCs w:val="24"/>
                <w:lang w:val="en-US" w:eastAsia="zh-CN"/>
              </w:rPr>
            </w:pPr>
            <w:r>
              <w:rPr>
                <w:rFonts w:hint="eastAsia" w:asciiTheme="minorEastAsia" w:hAnsiTheme="minorEastAsia" w:eastAsiaTheme="minorEastAsia" w:cstheme="minorEastAsia"/>
                <w:kern w:val="1"/>
                <w:sz w:val="24"/>
                <w:szCs w:val="24"/>
                <w:lang w:val="en-US" w:eastAsia="zh-CN"/>
              </w:rPr>
              <w:t>17340685603</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市公安局海棠分局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梁营</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13907609666</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38273013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区旅游和文化广电体育局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杨静</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18876082386</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38888046</w:t>
            </w:r>
          </w:p>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区应急管理局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蔡亦广</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13637540701</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区人民政府办公室</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李峻昭</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18976414289</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区委宣传部</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李丽英</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16525876688</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88812566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区教育局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钟向能</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13876841106</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区委统战部（区委外事办、区民政局、区民族事务局）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黄泽纬</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13976844800</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88811341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区总工会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黄锐</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13876567127</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88755311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区司法局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丁舰</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18608985601</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区财政局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游宇清</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13876593836</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38888056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区商务局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阮威</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15607623722</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38888211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区住房和城乡建设局</w:t>
            </w:r>
          </w:p>
        </w:tc>
        <w:tc>
          <w:tcPr>
            <w:tcW w:w="1695" w:type="dxa"/>
            <w:vAlign w:val="center"/>
          </w:tcPr>
          <w:p>
            <w:pPr>
              <w:jc w:val="center"/>
              <w:rPr>
                <w:rFonts w:hint="eastAsia" w:asciiTheme="minorEastAsia" w:hAnsiTheme="minorEastAsia" w:eastAsiaTheme="minorEastAsia" w:cstheme="minorEastAsia"/>
                <w:kern w:val="1"/>
                <w:sz w:val="24"/>
                <w:szCs w:val="24"/>
                <w:lang w:eastAsia="zh-CN"/>
              </w:rPr>
            </w:pPr>
            <w:r>
              <w:rPr>
                <w:rFonts w:hint="eastAsia" w:asciiTheme="minorEastAsia" w:hAnsiTheme="minorEastAsia" w:eastAsiaTheme="minorEastAsia" w:cstheme="minorEastAsia"/>
                <w:kern w:val="1"/>
                <w:sz w:val="24"/>
                <w:szCs w:val="24"/>
                <w:lang w:val="en-US" w:eastAsia="zh-CN"/>
              </w:rPr>
              <w:t>代传军</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 w:val="24"/>
                <w:szCs w:val="28"/>
                <w:lang w:val="en-US" w:eastAsia="zh-CN"/>
              </w:rPr>
              <w:t>13138963261</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38888115</w:t>
            </w:r>
          </w:p>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38888116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区卫生健康委员会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钟铭</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15091996140</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88812580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区交通运输局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简元升</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13976119837</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38232249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市市场监督管理局海棠分局</w:t>
            </w:r>
          </w:p>
        </w:tc>
        <w:tc>
          <w:tcPr>
            <w:tcW w:w="1695" w:type="dxa"/>
            <w:vAlign w:val="center"/>
          </w:tcPr>
          <w:p>
            <w:pPr>
              <w:jc w:val="center"/>
              <w:rPr>
                <w:rFonts w:hint="eastAsia" w:asciiTheme="minorEastAsia" w:hAnsiTheme="minorEastAsia" w:eastAsiaTheme="minorEastAsia" w:cstheme="minorEastAsia"/>
                <w:kern w:val="1"/>
                <w:sz w:val="24"/>
                <w:szCs w:val="24"/>
              </w:rPr>
            </w:pPr>
          </w:p>
        </w:tc>
        <w:tc>
          <w:tcPr>
            <w:tcW w:w="1961" w:type="dxa"/>
            <w:vAlign w:val="center"/>
          </w:tcPr>
          <w:p>
            <w:pPr>
              <w:jc w:val="center"/>
              <w:rPr>
                <w:rFonts w:hint="eastAsia" w:asciiTheme="minorEastAsia" w:hAnsiTheme="minorEastAsia" w:eastAsiaTheme="minorEastAsia" w:cstheme="minorEastAsia"/>
                <w:kern w:val="1"/>
                <w:sz w:val="24"/>
                <w:szCs w:val="24"/>
              </w:rPr>
            </w:pP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三亚市海棠区消防救援大队</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江帅</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13518029644</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88755005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市交警支队海棠大队</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毛向勤</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13379993399</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88813112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市综合行政执法局海棠分局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王文正</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13976976969</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38888101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2539"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海棠湾供电所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Cs w:val="21"/>
              </w:rPr>
              <w:t>周正威</w:t>
            </w:r>
          </w:p>
        </w:tc>
        <w:tc>
          <w:tcPr>
            <w:tcW w:w="1961" w:type="dxa"/>
            <w:vAlign w:val="center"/>
          </w:tcPr>
          <w:p>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18789827466</w:t>
            </w:r>
          </w:p>
        </w:tc>
        <w:tc>
          <w:tcPr>
            <w:tcW w:w="2010"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18976442016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2539" w:type="dxa"/>
            <w:vAlign w:val="center"/>
          </w:tcPr>
          <w:p>
            <w:pPr>
              <w:widowControl/>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Cs w:val="21"/>
              </w:rPr>
              <w:t>藤桥派出所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贾博儒</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13379995992</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88811889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2539" w:type="dxa"/>
            <w:vAlign w:val="center"/>
          </w:tcPr>
          <w:p>
            <w:pPr>
              <w:widowControl/>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Cs w:val="21"/>
              </w:rPr>
              <w:t>林旺派出所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胡俊凯</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15108985295</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88819899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c>
          <w:tcPr>
            <w:tcW w:w="2539" w:type="dxa"/>
            <w:vAlign w:val="center"/>
          </w:tcPr>
          <w:p>
            <w:pPr>
              <w:widowControl/>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Cs w:val="21"/>
              </w:rPr>
              <w:t>藤桥海岸派出所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高伟</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18389747321</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88811027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2539" w:type="dxa"/>
            <w:vAlign w:val="center"/>
          </w:tcPr>
          <w:p>
            <w:pPr>
              <w:widowControl/>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Cs w:val="21"/>
              </w:rPr>
              <w:t>后海边防派出所</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吴育王</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13807531931</w:t>
            </w:r>
          </w:p>
        </w:tc>
        <w:tc>
          <w:tcPr>
            <w:tcW w:w="2010"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88751009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林旺居委会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陈蔚</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13617586166</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永宁居委会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陈文矫</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13907503968</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藤海居委会 </w:t>
            </w:r>
          </w:p>
        </w:tc>
        <w:tc>
          <w:tcPr>
            <w:tcW w:w="1695" w:type="dxa"/>
            <w:vAlign w:val="center"/>
          </w:tcPr>
          <w:p>
            <w:pPr>
              <w:jc w:val="center"/>
              <w:rPr>
                <w:rFonts w:hint="eastAsia" w:asciiTheme="minorEastAsia" w:hAnsiTheme="minorEastAsia" w:eastAsiaTheme="minorEastAsia" w:cstheme="minorEastAsia"/>
                <w:kern w:val="1"/>
                <w:sz w:val="24"/>
                <w:szCs w:val="24"/>
                <w:lang w:eastAsia="zh-CN"/>
              </w:rPr>
            </w:pPr>
            <w:r>
              <w:rPr>
                <w:rFonts w:hint="eastAsia" w:asciiTheme="minorEastAsia" w:hAnsiTheme="minorEastAsia" w:eastAsiaTheme="minorEastAsia" w:cstheme="minorEastAsia"/>
                <w:kern w:val="1"/>
                <w:sz w:val="24"/>
                <w:szCs w:val="24"/>
                <w:lang w:val="en-US" w:eastAsia="zh-CN"/>
              </w:rPr>
              <w:t>林明龙</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 w:val="24"/>
                <w:szCs w:val="28"/>
                <w:lang w:val="en-US" w:eastAsia="zh-CN"/>
              </w:rPr>
              <w:t>15108989879</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升昌村委会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李美双</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15208911503</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东溪村委会 </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林志命</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13876798138</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龙楼村委会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梁平</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18976286181</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营头村委会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陈泰文</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13034967701</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海丰村委会</w:t>
            </w:r>
          </w:p>
        </w:tc>
        <w:tc>
          <w:tcPr>
            <w:tcW w:w="1695" w:type="dxa"/>
            <w:vAlign w:val="center"/>
          </w:tcPr>
          <w:p>
            <w:pPr>
              <w:jc w:val="center"/>
              <w:rPr>
                <w:rFonts w:hint="eastAsia" w:asciiTheme="minorEastAsia" w:hAnsiTheme="minorEastAsia" w:eastAsiaTheme="minorEastAsia" w:cstheme="minorEastAsia"/>
                <w:kern w:val="1"/>
                <w:sz w:val="24"/>
                <w:szCs w:val="24"/>
                <w:lang w:val="en-US" w:eastAsia="zh-CN"/>
              </w:rPr>
            </w:pPr>
            <w:r>
              <w:rPr>
                <w:rFonts w:hint="eastAsia" w:asciiTheme="minorEastAsia" w:hAnsiTheme="minorEastAsia" w:eastAsiaTheme="minorEastAsia" w:cstheme="minorEastAsia"/>
                <w:kern w:val="1"/>
                <w:sz w:val="24"/>
                <w:szCs w:val="24"/>
                <w:lang w:val="en-US" w:eastAsia="zh-CN"/>
              </w:rPr>
              <w:t>苏向荣</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 w:val="24"/>
                <w:szCs w:val="28"/>
                <w:lang w:val="en-US" w:eastAsia="zh-CN"/>
              </w:rPr>
              <w:t>13876595505</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椰林村委会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刘衍洪</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13876203848</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龙海村委会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翟宏维</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18876966664</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藤桥村委会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全业旺</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13876918678</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风塘村委会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陈帮文</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13876203100</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洪李村委会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王康熙</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13518887799</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北山村委会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苏玉花</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13198905731</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龙江村委会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黎育江</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13178920020</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林新村委会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徐翔</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13006077997</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三灶村委会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欧能友</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15103696999</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庄大村委会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杨亮</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18876792486</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湾坡村委会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周其川</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18789968998</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江林村委会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林廷文</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13158975606</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青田村委会</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蒲忠源</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13876420006</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铁炉村委会</w:t>
            </w:r>
          </w:p>
        </w:tc>
        <w:tc>
          <w:tcPr>
            <w:tcW w:w="1695" w:type="dxa"/>
            <w:vAlign w:val="center"/>
          </w:tcPr>
          <w:p>
            <w:pPr>
              <w:jc w:val="center"/>
              <w:rPr>
                <w:rFonts w:hint="eastAsia" w:asciiTheme="minorEastAsia" w:hAnsiTheme="minorEastAsia" w:eastAsiaTheme="minorEastAsia" w:cstheme="minorEastAsia"/>
                <w:kern w:val="1"/>
                <w:sz w:val="24"/>
                <w:szCs w:val="24"/>
                <w:lang w:eastAsia="zh-CN"/>
              </w:rPr>
            </w:pPr>
            <w:r>
              <w:rPr>
                <w:rFonts w:hint="eastAsia" w:asciiTheme="minorEastAsia" w:hAnsiTheme="minorEastAsia" w:eastAsiaTheme="minorEastAsia" w:cstheme="minorEastAsia"/>
                <w:kern w:val="1"/>
                <w:sz w:val="24"/>
                <w:szCs w:val="24"/>
                <w:lang w:val="en-US" w:eastAsia="zh-CN"/>
              </w:rPr>
              <w:t>周志忠</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sz w:val="24"/>
                <w:szCs w:val="28"/>
                <w:lang w:val="en-US" w:eastAsia="zh-CN"/>
              </w:rPr>
              <w:t>18876927487</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南田社区</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符天德</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13907601608</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长海社区</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黎思思</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13976799715</w:t>
            </w:r>
          </w:p>
        </w:tc>
        <w:tc>
          <w:tcPr>
            <w:tcW w:w="2010" w:type="dxa"/>
            <w:vAlign w:val="center"/>
          </w:tcPr>
          <w:p>
            <w:pPr>
              <w:jc w:val="center"/>
              <w:rPr>
                <w:rFonts w:hint="eastAsia" w:asciiTheme="minorEastAsia" w:hAnsiTheme="minorEastAsia" w:eastAsiaTheme="minorEastAsia" w:cstheme="minorEastAsia"/>
                <w:kern w:val="1"/>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49"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w:t>
            </w:r>
          </w:p>
        </w:tc>
        <w:tc>
          <w:tcPr>
            <w:tcW w:w="2539" w:type="dxa"/>
            <w:vAlign w:val="center"/>
          </w:tcPr>
          <w:p>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红旗社区</w:t>
            </w:r>
          </w:p>
        </w:tc>
        <w:tc>
          <w:tcPr>
            <w:tcW w:w="1695"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谢明</w:t>
            </w:r>
          </w:p>
        </w:tc>
        <w:tc>
          <w:tcPr>
            <w:tcW w:w="1961" w:type="dxa"/>
            <w:vAlign w:val="center"/>
          </w:tcPr>
          <w:p>
            <w:pPr>
              <w:jc w:val="center"/>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13876660418</w:t>
            </w:r>
          </w:p>
        </w:tc>
        <w:tc>
          <w:tcPr>
            <w:tcW w:w="2010" w:type="dxa"/>
            <w:vAlign w:val="center"/>
          </w:tcPr>
          <w:p>
            <w:pPr>
              <w:jc w:val="center"/>
              <w:rPr>
                <w:rFonts w:hint="eastAsia" w:asciiTheme="minorEastAsia" w:hAnsiTheme="minorEastAsia" w:eastAsiaTheme="minorEastAsia" w:cstheme="minorEastAsia"/>
                <w:kern w:val="1"/>
                <w:sz w:val="24"/>
                <w:szCs w:val="24"/>
              </w:rPr>
            </w:pPr>
          </w:p>
        </w:tc>
      </w:tr>
    </w:tbl>
    <w:p>
      <w:pPr/>
    </w:p>
    <w:sectPr>
      <w:pgSz w:w="11905" w:h="16838"/>
      <w:pgMar w:top="1417" w:right="1417" w:bottom="1417" w:left="1417"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MingLiU">
    <w:altName w:val="PMingLiU-ExtB"/>
    <w:panose1 w:val="02020509000000000000"/>
    <w:charset w:val="88"/>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MingLiU">
    <w:altName w:val="PMingLiU-ExtB"/>
    <w:panose1 w:val="02020509000000000000"/>
    <w:charset w:val="88"/>
    <w:family w:val="swiss"/>
    <w:pitch w:val="default"/>
    <w:sig w:usb0="00000000" w:usb1="00000000" w:usb2="00000000" w:usb3="00000000" w:csb0="00000000" w:csb1="00000000"/>
  </w:font>
  <w:font w:name="Tahoma">
    <w:panose1 w:val="020B0604030504040204"/>
    <w:charset w:val="00"/>
    <w:family w:val="decorative"/>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MingLiU">
    <w:altName w:val="PMingLiU-ExtB"/>
    <w:panose1 w:val="02020509000000000000"/>
    <w:charset w:val="88"/>
    <w:family w:val="decorative"/>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仿宋_GB2312">
    <w:panose1 w:val="02010609030101010101"/>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方正公文仿宋">
    <w:altName w:val="仿宋"/>
    <w:panose1 w:val="02000500000000000000"/>
    <w:charset w:val="86"/>
    <w:family w:val="auto"/>
    <w:pitch w:val="default"/>
    <w:sig w:usb0="00000000" w:usb1="00000000"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Tahoma">
    <w:panose1 w:val="020B0604030504040204"/>
    <w:charset w:val="00"/>
    <w:family w:val="modern"/>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tabs>
        <w:tab w:val="right" w:pos="7945"/>
        <w:tab w:val="clear" w:pos="8305"/>
      </w:tabs>
      <w:ind w:right="360"/>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fldChar w:fldCharType="end"/>
    </w:r>
  </w:p>
  <w:p>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rPr>
      <w:t>51</w:t>
    </w:r>
    <w:r>
      <w:rPr>
        <w:rFonts w:hint="eastAsia" w:asciiTheme="minorEastAsia" w:hAnsiTheme="minorEastAsia" w:eastAsiaTheme="minorEastAsia" w:cstheme="minorEastAsia"/>
        <w:sz w:val="24"/>
        <w:szCs w:val="24"/>
      </w:rPr>
      <w:fldChar w:fldCharType="end"/>
    </w:r>
  </w:p>
  <w:p>
    <w:pPr>
      <w:pStyle w:val="12"/>
      <w:tabs>
        <w:tab w:val="right" w:pos="7945"/>
        <w:tab w:val="clear" w:pos="8305"/>
      </w:tabs>
      <w:ind w:right="360"/>
      <w:rPr>
        <w:rFonts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ZWNlOTdlODZjNDIwOGU2MTc4ODU3NDQxMmEzMDQifQ=="/>
  </w:docVars>
  <w:rsids>
    <w:rsidRoot w:val="00172A27"/>
    <w:rsid w:val="000801AB"/>
    <w:rsid w:val="000A6FB6"/>
    <w:rsid w:val="00101AE9"/>
    <w:rsid w:val="001C1815"/>
    <w:rsid w:val="00222E6D"/>
    <w:rsid w:val="00415BB6"/>
    <w:rsid w:val="004A4969"/>
    <w:rsid w:val="004C614A"/>
    <w:rsid w:val="006A32A3"/>
    <w:rsid w:val="006C3B96"/>
    <w:rsid w:val="00735D76"/>
    <w:rsid w:val="007A3406"/>
    <w:rsid w:val="007A6F63"/>
    <w:rsid w:val="007D58B1"/>
    <w:rsid w:val="00833309"/>
    <w:rsid w:val="008356C0"/>
    <w:rsid w:val="00944F1F"/>
    <w:rsid w:val="00950A33"/>
    <w:rsid w:val="00A5388B"/>
    <w:rsid w:val="00AD4ED5"/>
    <w:rsid w:val="00B912CD"/>
    <w:rsid w:val="00B92181"/>
    <w:rsid w:val="00C13603"/>
    <w:rsid w:val="00C4598E"/>
    <w:rsid w:val="00CC7DA9"/>
    <w:rsid w:val="00CD2249"/>
    <w:rsid w:val="00D14041"/>
    <w:rsid w:val="00D348C5"/>
    <w:rsid w:val="00D37C44"/>
    <w:rsid w:val="00D46520"/>
    <w:rsid w:val="00DF4DA9"/>
    <w:rsid w:val="00E85F76"/>
    <w:rsid w:val="00F216AF"/>
    <w:rsid w:val="00F57228"/>
    <w:rsid w:val="00F66C5B"/>
    <w:rsid w:val="00F85DB1"/>
    <w:rsid w:val="00F93649"/>
    <w:rsid w:val="013E00C5"/>
    <w:rsid w:val="014C06F1"/>
    <w:rsid w:val="0157090D"/>
    <w:rsid w:val="017B2ECF"/>
    <w:rsid w:val="017B2F92"/>
    <w:rsid w:val="018B2486"/>
    <w:rsid w:val="01907573"/>
    <w:rsid w:val="01A00C4B"/>
    <w:rsid w:val="01AD573E"/>
    <w:rsid w:val="01B6046E"/>
    <w:rsid w:val="01BE4222"/>
    <w:rsid w:val="01E0373D"/>
    <w:rsid w:val="02413D6F"/>
    <w:rsid w:val="025C6318"/>
    <w:rsid w:val="026B2BA1"/>
    <w:rsid w:val="028265A2"/>
    <w:rsid w:val="02942B85"/>
    <w:rsid w:val="029666A4"/>
    <w:rsid w:val="02A67A28"/>
    <w:rsid w:val="02B65D82"/>
    <w:rsid w:val="02C336F1"/>
    <w:rsid w:val="02CD0478"/>
    <w:rsid w:val="02DE6C21"/>
    <w:rsid w:val="03091250"/>
    <w:rsid w:val="030B2A3C"/>
    <w:rsid w:val="032C2BF8"/>
    <w:rsid w:val="03666824"/>
    <w:rsid w:val="038C67AB"/>
    <w:rsid w:val="03E12F49"/>
    <w:rsid w:val="03ED067A"/>
    <w:rsid w:val="040F2893"/>
    <w:rsid w:val="041153DF"/>
    <w:rsid w:val="042A6EF2"/>
    <w:rsid w:val="044E6707"/>
    <w:rsid w:val="045376D3"/>
    <w:rsid w:val="04664F20"/>
    <w:rsid w:val="04804C0A"/>
    <w:rsid w:val="049031F8"/>
    <w:rsid w:val="04AD44A1"/>
    <w:rsid w:val="04C945C0"/>
    <w:rsid w:val="052C279A"/>
    <w:rsid w:val="05300538"/>
    <w:rsid w:val="056D178C"/>
    <w:rsid w:val="056E0F4D"/>
    <w:rsid w:val="05790C28"/>
    <w:rsid w:val="05A21435"/>
    <w:rsid w:val="05A36F5B"/>
    <w:rsid w:val="05C55ED8"/>
    <w:rsid w:val="05D11D1B"/>
    <w:rsid w:val="05F11B6D"/>
    <w:rsid w:val="061614DB"/>
    <w:rsid w:val="06316A76"/>
    <w:rsid w:val="06446F34"/>
    <w:rsid w:val="06681554"/>
    <w:rsid w:val="066F2F46"/>
    <w:rsid w:val="06764670"/>
    <w:rsid w:val="067B57E2"/>
    <w:rsid w:val="06863A6F"/>
    <w:rsid w:val="069D7C35"/>
    <w:rsid w:val="06CB676A"/>
    <w:rsid w:val="06FE3C33"/>
    <w:rsid w:val="07010C71"/>
    <w:rsid w:val="07131EBF"/>
    <w:rsid w:val="07463D81"/>
    <w:rsid w:val="07704B04"/>
    <w:rsid w:val="07707311"/>
    <w:rsid w:val="07822663"/>
    <w:rsid w:val="07BD19B7"/>
    <w:rsid w:val="07C5140B"/>
    <w:rsid w:val="07D93108"/>
    <w:rsid w:val="07E8334B"/>
    <w:rsid w:val="07F10452"/>
    <w:rsid w:val="080E209C"/>
    <w:rsid w:val="08316AA1"/>
    <w:rsid w:val="083F13FA"/>
    <w:rsid w:val="084D31AF"/>
    <w:rsid w:val="084E1AF7"/>
    <w:rsid w:val="084F33CB"/>
    <w:rsid w:val="08526533"/>
    <w:rsid w:val="085817FB"/>
    <w:rsid w:val="08602EE2"/>
    <w:rsid w:val="08B1753D"/>
    <w:rsid w:val="08B514E8"/>
    <w:rsid w:val="08C44A85"/>
    <w:rsid w:val="08E73603"/>
    <w:rsid w:val="08EF6E2E"/>
    <w:rsid w:val="08F8100D"/>
    <w:rsid w:val="090F015E"/>
    <w:rsid w:val="09382467"/>
    <w:rsid w:val="09573DDC"/>
    <w:rsid w:val="09706452"/>
    <w:rsid w:val="09736C45"/>
    <w:rsid w:val="09902DEC"/>
    <w:rsid w:val="0993239A"/>
    <w:rsid w:val="099400E5"/>
    <w:rsid w:val="09975029"/>
    <w:rsid w:val="09AD2157"/>
    <w:rsid w:val="09C6146A"/>
    <w:rsid w:val="09D71FAC"/>
    <w:rsid w:val="0A00672A"/>
    <w:rsid w:val="0A06248F"/>
    <w:rsid w:val="0A067AB9"/>
    <w:rsid w:val="0A1977EC"/>
    <w:rsid w:val="0A2763AD"/>
    <w:rsid w:val="0A2F48AF"/>
    <w:rsid w:val="0A375EC4"/>
    <w:rsid w:val="0A4505E1"/>
    <w:rsid w:val="0A595E3B"/>
    <w:rsid w:val="0A691AF0"/>
    <w:rsid w:val="0A6D3B99"/>
    <w:rsid w:val="0A791D37"/>
    <w:rsid w:val="0A8235E3"/>
    <w:rsid w:val="0A830604"/>
    <w:rsid w:val="0A8E63AE"/>
    <w:rsid w:val="0A993C81"/>
    <w:rsid w:val="0A9A685A"/>
    <w:rsid w:val="0AC059D5"/>
    <w:rsid w:val="0AD16319"/>
    <w:rsid w:val="0AE16099"/>
    <w:rsid w:val="0AE918B4"/>
    <w:rsid w:val="0AEF236F"/>
    <w:rsid w:val="0AFE7B5A"/>
    <w:rsid w:val="0B2C5E24"/>
    <w:rsid w:val="0B554854"/>
    <w:rsid w:val="0B5F1B77"/>
    <w:rsid w:val="0B7F002E"/>
    <w:rsid w:val="0B8D434E"/>
    <w:rsid w:val="0B927856"/>
    <w:rsid w:val="0BC22CD8"/>
    <w:rsid w:val="0BDA0E50"/>
    <w:rsid w:val="0BE02ED6"/>
    <w:rsid w:val="0BEC083A"/>
    <w:rsid w:val="0C022F4C"/>
    <w:rsid w:val="0C0F7A1D"/>
    <w:rsid w:val="0C3E2112"/>
    <w:rsid w:val="0C50396E"/>
    <w:rsid w:val="0C523489"/>
    <w:rsid w:val="0C596848"/>
    <w:rsid w:val="0CBC0473"/>
    <w:rsid w:val="0CF51B40"/>
    <w:rsid w:val="0CF804C6"/>
    <w:rsid w:val="0D0361A2"/>
    <w:rsid w:val="0D0C188A"/>
    <w:rsid w:val="0D133324"/>
    <w:rsid w:val="0D2B61B4"/>
    <w:rsid w:val="0D584ACF"/>
    <w:rsid w:val="0D5E30A2"/>
    <w:rsid w:val="0D6B4803"/>
    <w:rsid w:val="0D7A683F"/>
    <w:rsid w:val="0D904269"/>
    <w:rsid w:val="0D961154"/>
    <w:rsid w:val="0DBA12E6"/>
    <w:rsid w:val="0DDD09CC"/>
    <w:rsid w:val="0E077146"/>
    <w:rsid w:val="0E0C7BC1"/>
    <w:rsid w:val="0E19425F"/>
    <w:rsid w:val="0E237921"/>
    <w:rsid w:val="0E555CC8"/>
    <w:rsid w:val="0E5C239D"/>
    <w:rsid w:val="0E6C0832"/>
    <w:rsid w:val="0E72396F"/>
    <w:rsid w:val="0E841366"/>
    <w:rsid w:val="0E8A0804"/>
    <w:rsid w:val="0E8E25B2"/>
    <w:rsid w:val="0EB70F20"/>
    <w:rsid w:val="0ECB6550"/>
    <w:rsid w:val="0EDB59B8"/>
    <w:rsid w:val="0EED1499"/>
    <w:rsid w:val="0EEE44A6"/>
    <w:rsid w:val="0EF16F8A"/>
    <w:rsid w:val="0EF3685E"/>
    <w:rsid w:val="0F2721A6"/>
    <w:rsid w:val="0F3D21CF"/>
    <w:rsid w:val="0F452E31"/>
    <w:rsid w:val="0F587009"/>
    <w:rsid w:val="0F642218"/>
    <w:rsid w:val="0F863EB3"/>
    <w:rsid w:val="0F9559A3"/>
    <w:rsid w:val="0F9A317D"/>
    <w:rsid w:val="0FD402D6"/>
    <w:rsid w:val="0FD97FCA"/>
    <w:rsid w:val="0FDA7A1E"/>
    <w:rsid w:val="100F5919"/>
    <w:rsid w:val="104345D2"/>
    <w:rsid w:val="10484987"/>
    <w:rsid w:val="10517C6B"/>
    <w:rsid w:val="10545A22"/>
    <w:rsid w:val="105C5E44"/>
    <w:rsid w:val="1067613B"/>
    <w:rsid w:val="10A047CB"/>
    <w:rsid w:val="10CD785D"/>
    <w:rsid w:val="10FF1EB7"/>
    <w:rsid w:val="1111746F"/>
    <w:rsid w:val="111F62D1"/>
    <w:rsid w:val="1130036A"/>
    <w:rsid w:val="1133451A"/>
    <w:rsid w:val="113945C2"/>
    <w:rsid w:val="11457575"/>
    <w:rsid w:val="114E421F"/>
    <w:rsid w:val="11513D10"/>
    <w:rsid w:val="117C31CF"/>
    <w:rsid w:val="11840DA1"/>
    <w:rsid w:val="119D6F55"/>
    <w:rsid w:val="11A07EB4"/>
    <w:rsid w:val="11A859D9"/>
    <w:rsid w:val="11A966BD"/>
    <w:rsid w:val="11AB3A82"/>
    <w:rsid w:val="11B06C88"/>
    <w:rsid w:val="11C6709D"/>
    <w:rsid w:val="12174F59"/>
    <w:rsid w:val="121A05A5"/>
    <w:rsid w:val="1222745A"/>
    <w:rsid w:val="12434776"/>
    <w:rsid w:val="125B69E3"/>
    <w:rsid w:val="12660E55"/>
    <w:rsid w:val="12A0266A"/>
    <w:rsid w:val="12AD1419"/>
    <w:rsid w:val="12CD75E2"/>
    <w:rsid w:val="12D237A9"/>
    <w:rsid w:val="13070B2A"/>
    <w:rsid w:val="13141F14"/>
    <w:rsid w:val="13580061"/>
    <w:rsid w:val="13582396"/>
    <w:rsid w:val="136D5CBC"/>
    <w:rsid w:val="13727D5F"/>
    <w:rsid w:val="13764EDE"/>
    <w:rsid w:val="139364DD"/>
    <w:rsid w:val="13974BA2"/>
    <w:rsid w:val="139C483D"/>
    <w:rsid w:val="13A7230D"/>
    <w:rsid w:val="13B14F39"/>
    <w:rsid w:val="13EF58FB"/>
    <w:rsid w:val="14226B92"/>
    <w:rsid w:val="14301B0C"/>
    <w:rsid w:val="14627FE2"/>
    <w:rsid w:val="14661880"/>
    <w:rsid w:val="14691370"/>
    <w:rsid w:val="146975C2"/>
    <w:rsid w:val="146B50E8"/>
    <w:rsid w:val="14812B5E"/>
    <w:rsid w:val="1492488E"/>
    <w:rsid w:val="149C0A29"/>
    <w:rsid w:val="14AD65CB"/>
    <w:rsid w:val="15255E17"/>
    <w:rsid w:val="154A0C01"/>
    <w:rsid w:val="154D0C92"/>
    <w:rsid w:val="155B282E"/>
    <w:rsid w:val="155B6F0B"/>
    <w:rsid w:val="156C736A"/>
    <w:rsid w:val="156E7876"/>
    <w:rsid w:val="15806971"/>
    <w:rsid w:val="159D573C"/>
    <w:rsid w:val="15A36984"/>
    <w:rsid w:val="15A46B04"/>
    <w:rsid w:val="15A936E9"/>
    <w:rsid w:val="15BE2212"/>
    <w:rsid w:val="15D51305"/>
    <w:rsid w:val="15EB1F13"/>
    <w:rsid w:val="15F372D9"/>
    <w:rsid w:val="16193F6D"/>
    <w:rsid w:val="16205D42"/>
    <w:rsid w:val="16216A0E"/>
    <w:rsid w:val="164E4619"/>
    <w:rsid w:val="16842491"/>
    <w:rsid w:val="169F376F"/>
    <w:rsid w:val="16D276A1"/>
    <w:rsid w:val="16D345D7"/>
    <w:rsid w:val="170C256E"/>
    <w:rsid w:val="17141CFC"/>
    <w:rsid w:val="17145370"/>
    <w:rsid w:val="17375756"/>
    <w:rsid w:val="175C3095"/>
    <w:rsid w:val="175C5528"/>
    <w:rsid w:val="17604CAC"/>
    <w:rsid w:val="17626C76"/>
    <w:rsid w:val="176474A1"/>
    <w:rsid w:val="176D1177"/>
    <w:rsid w:val="17716EB9"/>
    <w:rsid w:val="17AD422E"/>
    <w:rsid w:val="17C942A7"/>
    <w:rsid w:val="17DB07D7"/>
    <w:rsid w:val="17FB2C27"/>
    <w:rsid w:val="18226406"/>
    <w:rsid w:val="18267507"/>
    <w:rsid w:val="183E32F0"/>
    <w:rsid w:val="18586850"/>
    <w:rsid w:val="18877961"/>
    <w:rsid w:val="18B54B84"/>
    <w:rsid w:val="18E3544F"/>
    <w:rsid w:val="18EB6CC3"/>
    <w:rsid w:val="18ED07C2"/>
    <w:rsid w:val="190F5F0D"/>
    <w:rsid w:val="19461C80"/>
    <w:rsid w:val="19467ED2"/>
    <w:rsid w:val="194F4FD8"/>
    <w:rsid w:val="19685B1E"/>
    <w:rsid w:val="199D176C"/>
    <w:rsid w:val="19E0247B"/>
    <w:rsid w:val="19F04CC8"/>
    <w:rsid w:val="1A02204B"/>
    <w:rsid w:val="1A0E769D"/>
    <w:rsid w:val="1A194280"/>
    <w:rsid w:val="1A4B1C44"/>
    <w:rsid w:val="1A5A116C"/>
    <w:rsid w:val="1A7F5449"/>
    <w:rsid w:val="1A8A0ABA"/>
    <w:rsid w:val="1A924B01"/>
    <w:rsid w:val="1A9C0104"/>
    <w:rsid w:val="1AA33901"/>
    <w:rsid w:val="1AD27C6F"/>
    <w:rsid w:val="1AE80F51"/>
    <w:rsid w:val="1B14198F"/>
    <w:rsid w:val="1B2006F5"/>
    <w:rsid w:val="1B6034CD"/>
    <w:rsid w:val="1B605817"/>
    <w:rsid w:val="1B642891"/>
    <w:rsid w:val="1B7F1479"/>
    <w:rsid w:val="1B9C3C37"/>
    <w:rsid w:val="1BAD1FB6"/>
    <w:rsid w:val="1BBD66E5"/>
    <w:rsid w:val="1BBF1E18"/>
    <w:rsid w:val="1BCD48DA"/>
    <w:rsid w:val="1BF754B3"/>
    <w:rsid w:val="1BFD51C0"/>
    <w:rsid w:val="1C177202"/>
    <w:rsid w:val="1C2E61BA"/>
    <w:rsid w:val="1C3D0ABE"/>
    <w:rsid w:val="1C3E520E"/>
    <w:rsid w:val="1C4A110E"/>
    <w:rsid w:val="1C4F0B7D"/>
    <w:rsid w:val="1C5228BB"/>
    <w:rsid w:val="1CA16699"/>
    <w:rsid w:val="1CBA09BB"/>
    <w:rsid w:val="1CED21CB"/>
    <w:rsid w:val="1D221095"/>
    <w:rsid w:val="1D65301C"/>
    <w:rsid w:val="1D785FD6"/>
    <w:rsid w:val="1D7E7C3A"/>
    <w:rsid w:val="1D81597C"/>
    <w:rsid w:val="1DC22612"/>
    <w:rsid w:val="1DCA2E80"/>
    <w:rsid w:val="1DCF52F6"/>
    <w:rsid w:val="1DE008F5"/>
    <w:rsid w:val="1DFA2EB3"/>
    <w:rsid w:val="1E045A95"/>
    <w:rsid w:val="1E0738A7"/>
    <w:rsid w:val="1E246450"/>
    <w:rsid w:val="1E5D3CF4"/>
    <w:rsid w:val="1E6848B0"/>
    <w:rsid w:val="1E7E58E4"/>
    <w:rsid w:val="1E980356"/>
    <w:rsid w:val="1EB31B66"/>
    <w:rsid w:val="1EBF49AE"/>
    <w:rsid w:val="1EC5250C"/>
    <w:rsid w:val="1EC65D3D"/>
    <w:rsid w:val="1ED76968"/>
    <w:rsid w:val="1EE54D3A"/>
    <w:rsid w:val="1F3643E9"/>
    <w:rsid w:val="1F3758BD"/>
    <w:rsid w:val="1FB2006F"/>
    <w:rsid w:val="1FC61D6D"/>
    <w:rsid w:val="1FE91434"/>
    <w:rsid w:val="1FF22B62"/>
    <w:rsid w:val="201721F5"/>
    <w:rsid w:val="201A55F1"/>
    <w:rsid w:val="201B3E66"/>
    <w:rsid w:val="20237DE4"/>
    <w:rsid w:val="20561621"/>
    <w:rsid w:val="2057365A"/>
    <w:rsid w:val="20625416"/>
    <w:rsid w:val="20664FB8"/>
    <w:rsid w:val="20823EE5"/>
    <w:rsid w:val="209B4F30"/>
    <w:rsid w:val="20BE2A44"/>
    <w:rsid w:val="20CD0306"/>
    <w:rsid w:val="20CD5D4C"/>
    <w:rsid w:val="210510A3"/>
    <w:rsid w:val="2116556C"/>
    <w:rsid w:val="21395714"/>
    <w:rsid w:val="218A2E91"/>
    <w:rsid w:val="218C245D"/>
    <w:rsid w:val="21B420FA"/>
    <w:rsid w:val="21C26024"/>
    <w:rsid w:val="21C56A09"/>
    <w:rsid w:val="21E834B8"/>
    <w:rsid w:val="220D693F"/>
    <w:rsid w:val="22114593"/>
    <w:rsid w:val="22121299"/>
    <w:rsid w:val="22187F77"/>
    <w:rsid w:val="221A365E"/>
    <w:rsid w:val="221D2191"/>
    <w:rsid w:val="222F3BF9"/>
    <w:rsid w:val="22737F8A"/>
    <w:rsid w:val="22B1460E"/>
    <w:rsid w:val="22B6440B"/>
    <w:rsid w:val="22B91715"/>
    <w:rsid w:val="22C94D0D"/>
    <w:rsid w:val="22CB0A59"/>
    <w:rsid w:val="22E35DD5"/>
    <w:rsid w:val="22E42C35"/>
    <w:rsid w:val="22F531EC"/>
    <w:rsid w:val="22F92D00"/>
    <w:rsid w:val="23125856"/>
    <w:rsid w:val="232E3C1B"/>
    <w:rsid w:val="23301817"/>
    <w:rsid w:val="234B4A63"/>
    <w:rsid w:val="234B6811"/>
    <w:rsid w:val="23654758"/>
    <w:rsid w:val="23AC4F0D"/>
    <w:rsid w:val="23AF188A"/>
    <w:rsid w:val="23CE7442"/>
    <w:rsid w:val="23FC7B0B"/>
    <w:rsid w:val="240B37F5"/>
    <w:rsid w:val="240C3129"/>
    <w:rsid w:val="24194B61"/>
    <w:rsid w:val="24341998"/>
    <w:rsid w:val="245D2187"/>
    <w:rsid w:val="247032B6"/>
    <w:rsid w:val="2485631A"/>
    <w:rsid w:val="2486202F"/>
    <w:rsid w:val="24AC2947"/>
    <w:rsid w:val="24F627AC"/>
    <w:rsid w:val="250701B2"/>
    <w:rsid w:val="250824DF"/>
    <w:rsid w:val="25745D5C"/>
    <w:rsid w:val="25987D07"/>
    <w:rsid w:val="25B032A3"/>
    <w:rsid w:val="25C52299"/>
    <w:rsid w:val="25E328CE"/>
    <w:rsid w:val="25F25669"/>
    <w:rsid w:val="26197D30"/>
    <w:rsid w:val="26211AAB"/>
    <w:rsid w:val="26695200"/>
    <w:rsid w:val="268F69D3"/>
    <w:rsid w:val="26F64CE5"/>
    <w:rsid w:val="26FD7AFE"/>
    <w:rsid w:val="27042A64"/>
    <w:rsid w:val="27223B87"/>
    <w:rsid w:val="27391F35"/>
    <w:rsid w:val="27614CA1"/>
    <w:rsid w:val="27697726"/>
    <w:rsid w:val="277346FC"/>
    <w:rsid w:val="27B04F38"/>
    <w:rsid w:val="27BF77CD"/>
    <w:rsid w:val="27C00B51"/>
    <w:rsid w:val="281F201A"/>
    <w:rsid w:val="28385963"/>
    <w:rsid w:val="283A6E54"/>
    <w:rsid w:val="284B2E0F"/>
    <w:rsid w:val="284D7865"/>
    <w:rsid w:val="284E28FF"/>
    <w:rsid w:val="285F4B0C"/>
    <w:rsid w:val="28802805"/>
    <w:rsid w:val="28BA1D43"/>
    <w:rsid w:val="28E438A5"/>
    <w:rsid w:val="293F3EBF"/>
    <w:rsid w:val="294E705B"/>
    <w:rsid w:val="2977525D"/>
    <w:rsid w:val="29787C34"/>
    <w:rsid w:val="299655A6"/>
    <w:rsid w:val="29B35110"/>
    <w:rsid w:val="29BA1263"/>
    <w:rsid w:val="29C22C53"/>
    <w:rsid w:val="29C94933"/>
    <w:rsid w:val="29FB0865"/>
    <w:rsid w:val="29FD290F"/>
    <w:rsid w:val="2A102562"/>
    <w:rsid w:val="2A247B33"/>
    <w:rsid w:val="2A3E6896"/>
    <w:rsid w:val="2A5819A2"/>
    <w:rsid w:val="2A6218B5"/>
    <w:rsid w:val="2A6301C1"/>
    <w:rsid w:val="2A71059F"/>
    <w:rsid w:val="2A7A5C2D"/>
    <w:rsid w:val="2A8A2148"/>
    <w:rsid w:val="2A9C5410"/>
    <w:rsid w:val="2A9F5945"/>
    <w:rsid w:val="2A9F7442"/>
    <w:rsid w:val="2AAD13D8"/>
    <w:rsid w:val="2AAE58D7"/>
    <w:rsid w:val="2AB32EED"/>
    <w:rsid w:val="2ABE3D6C"/>
    <w:rsid w:val="2AC87F39"/>
    <w:rsid w:val="2ACA4A59"/>
    <w:rsid w:val="2ACF4E61"/>
    <w:rsid w:val="2ADC41F2"/>
    <w:rsid w:val="2AFA1AAC"/>
    <w:rsid w:val="2B083239"/>
    <w:rsid w:val="2B1E480B"/>
    <w:rsid w:val="2B2D2579"/>
    <w:rsid w:val="2B42499D"/>
    <w:rsid w:val="2B471FB3"/>
    <w:rsid w:val="2B4909D8"/>
    <w:rsid w:val="2B577D1D"/>
    <w:rsid w:val="2B6B5453"/>
    <w:rsid w:val="2B7B1C5D"/>
    <w:rsid w:val="2B832DE2"/>
    <w:rsid w:val="2BAE0117"/>
    <w:rsid w:val="2BBD349B"/>
    <w:rsid w:val="2BCC1169"/>
    <w:rsid w:val="2BD17ACF"/>
    <w:rsid w:val="2BD56553"/>
    <w:rsid w:val="2BD63337"/>
    <w:rsid w:val="2BEE60E5"/>
    <w:rsid w:val="2C132208"/>
    <w:rsid w:val="2C1856FE"/>
    <w:rsid w:val="2C1B2CF0"/>
    <w:rsid w:val="2C520F2D"/>
    <w:rsid w:val="2C750F5B"/>
    <w:rsid w:val="2C797F91"/>
    <w:rsid w:val="2C842D93"/>
    <w:rsid w:val="2C862667"/>
    <w:rsid w:val="2C874F6F"/>
    <w:rsid w:val="2C8763E0"/>
    <w:rsid w:val="2C8F6197"/>
    <w:rsid w:val="2C9034E6"/>
    <w:rsid w:val="2C9A6113"/>
    <w:rsid w:val="2CB43679"/>
    <w:rsid w:val="2CCB2770"/>
    <w:rsid w:val="2CE06447"/>
    <w:rsid w:val="2CE455F1"/>
    <w:rsid w:val="2CE50B3E"/>
    <w:rsid w:val="2CE5579C"/>
    <w:rsid w:val="2CED6B8B"/>
    <w:rsid w:val="2CEF2903"/>
    <w:rsid w:val="2D003E6F"/>
    <w:rsid w:val="2D2F5A8D"/>
    <w:rsid w:val="2D434DF2"/>
    <w:rsid w:val="2D452523"/>
    <w:rsid w:val="2D675D83"/>
    <w:rsid w:val="2D7828F8"/>
    <w:rsid w:val="2D83129D"/>
    <w:rsid w:val="2DAD1E76"/>
    <w:rsid w:val="2DB346A7"/>
    <w:rsid w:val="2DBE0EFA"/>
    <w:rsid w:val="2DDD0E46"/>
    <w:rsid w:val="2DE03FF9"/>
    <w:rsid w:val="2DF74191"/>
    <w:rsid w:val="2E1D0A29"/>
    <w:rsid w:val="2E1D6FFC"/>
    <w:rsid w:val="2E3A195C"/>
    <w:rsid w:val="2E5844D8"/>
    <w:rsid w:val="2E6E40B7"/>
    <w:rsid w:val="2E7A62E9"/>
    <w:rsid w:val="2E855AB1"/>
    <w:rsid w:val="2EB46A04"/>
    <w:rsid w:val="2EC456C9"/>
    <w:rsid w:val="2EC672CB"/>
    <w:rsid w:val="2ED40002"/>
    <w:rsid w:val="2ED51684"/>
    <w:rsid w:val="2EE265FC"/>
    <w:rsid w:val="2EFE30E7"/>
    <w:rsid w:val="2F3740ED"/>
    <w:rsid w:val="2F5727BC"/>
    <w:rsid w:val="2F5F5A27"/>
    <w:rsid w:val="2F656EAC"/>
    <w:rsid w:val="2F697F3B"/>
    <w:rsid w:val="2F8B1E73"/>
    <w:rsid w:val="2F990904"/>
    <w:rsid w:val="2F996B56"/>
    <w:rsid w:val="2FAD43AF"/>
    <w:rsid w:val="2FB83480"/>
    <w:rsid w:val="2FC11C09"/>
    <w:rsid w:val="2FC60D80"/>
    <w:rsid w:val="2FCD436A"/>
    <w:rsid w:val="2FCF4325"/>
    <w:rsid w:val="2FF16992"/>
    <w:rsid w:val="300466C5"/>
    <w:rsid w:val="300E5F95"/>
    <w:rsid w:val="302A5A00"/>
    <w:rsid w:val="30442F65"/>
    <w:rsid w:val="30466CDD"/>
    <w:rsid w:val="304940D8"/>
    <w:rsid w:val="304F36B8"/>
    <w:rsid w:val="3050190A"/>
    <w:rsid w:val="305B2034"/>
    <w:rsid w:val="308C5F1F"/>
    <w:rsid w:val="309B0E6F"/>
    <w:rsid w:val="309D23E8"/>
    <w:rsid w:val="30EC0F07"/>
    <w:rsid w:val="30FC6D48"/>
    <w:rsid w:val="30FD794D"/>
    <w:rsid w:val="31035284"/>
    <w:rsid w:val="31107C6B"/>
    <w:rsid w:val="312B7C81"/>
    <w:rsid w:val="31327262"/>
    <w:rsid w:val="31411253"/>
    <w:rsid w:val="314975D4"/>
    <w:rsid w:val="315D7907"/>
    <w:rsid w:val="317B75D7"/>
    <w:rsid w:val="31861927"/>
    <w:rsid w:val="31915E9F"/>
    <w:rsid w:val="31A1597F"/>
    <w:rsid w:val="31A737AC"/>
    <w:rsid w:val="31B00187"/>
    <w:rsid w:val="31B247C7"/>
    <w:rsid w:val="31CF4AB1"/>
    <w:rsid w:val="31F249B7"/>
    <w:rsid w:val="32012AF5"/>
    <w:rsid w:val="32146967"/>
    <w:rsid w:val="321F327E"/>
    <w:rsid w:val="322272D6"/>
    <w:rsid w:val="322F2A2C"/>
    <w:rsid w:val="323B0A1C"/>
    <w:rsid w:val="326571C3"/>
    <w:rsid w:val="326A2A2B"/>
    <w:rsid w:val="326A5D92"/>
    <w:rsid w:val="32890164"/>
    <w:rsid w:val="32935ADE"/>
    <w:rsid w:val="32C40510"/>
    <w:rsid w:val="32DD0992"/>
    <w:rsid w:val="32E63E44"/>
    <w:rsid w:val="32EE540A"/>
    <w:rsid w:val="33085DAE"/>
    <w:rsid w:val="330B3FA5"/>
    <w:rsid w:val="33370B5F"/>
    <w:rsid w:val="33482D6D"/>
    <w:rsid w:val="334B460B"/>
    <w:rsid w:val="3368056A"/>
    <w:rsid w:val="338F274A"/>
    <w:rsid w:val="33941B0E"/>
    <w:rsid w:val="33953AD8"/>
    <w:rsid w:val="339704A7"/>
    <w:rsid w:val="33A81721"/>
    <w:rsid w:val="33C323F3"/>
    <w:rsid w:val="33F26834"/>
    <w:rsid w:val="340842AA"/>
    <w:rsid w:val="34435C0B"/>
    <w:rsid w:val="34611F6C"/>
    <w:rsid w:val="34617F71"/>
    <w:rsid w:val="34673188"/>
    <w:rsid w:val="346F257B"/>
    <w:rsid w:val="348D248F"/>
    <w:rsid w:val="349077F1"/>
    <w:rsid w:val="34922B4C"/>
    <w:rsid w:val="34931DC5"/>
    <w:rsid w:val="34A55F9D"/>
    <w:rsid w:val="34AD0093"/>
    <w:rsid w:val="34B561E0"/>
    <w:rsid w:val="34D72783"/>
    <w:rsid w:val="34DE4EC0"/>
    <w:rsid w:val="35092088"/>
    <w:rsid w:val="351C000D"/>
    <w:rsid w:val="353416AE"/>
    <w:rsid w:val="353F5167"/>
    <w:rsid w:val="35517EB4"/>
    <w:rsid w:val="355852D2"/>
    <w:rsid w:val="35613C72"/>
    <w:rsid w:val="357E49F8"/>
    <w:rsid w:val="35865B9B"/>
    <w:rsid w:val="358856A2"/>
    <w:rsid w:val="35C46157"/>
    <w:rsid w:val="35CE0152"/>
    <w:rsid w:val="35D00DF7"/>
    <w:rsid w:val="36017203"/>
    <w:rsid w:val="360C1B26"/>
    <w:rsid w:val="36347C3B"/>
    <w:rsid w:val="36624145"/>
    <w:rsid w:val="36B17579"/>
    <w:rsid w:val="36D04E2D"/>
    <w:rsid w:val="36D466C5"/>
    <w:rsid w:val="36E44B5A"/>
    <w:rsid w:val="36ED6AC2"/>
    <w:rsid w:val="370074BA"/>
    <w:rsid w:val="37052D23"/>
    <w:rsid w:val="37145607"/>
    <w:rsid w:val="3724425C"/>
    <w:rsid w:val="372D2946"/>
    <w:rsid w:val="373E4DAD"/>
    <w:rsid w:val="37415715"/>
    <w:rsid w:val="37660D5D"/>
    <w:rsid w:val="37684286"/>
    <w:rsid w:val="3780290D"/>
    <w:rsid w:val="37865C12"/>
    <w:rsid w:val="37A1383F"/>
    <w:rsid w:val="37C06B70"/>
    <w:rsid w:val="37C14E9C"/>
    <w:rsid w:val="37D106EA"/>
    <w:rsid w:val="37D87000"/>
    <w:rsid w:val="37DB4E60"/>
    <w:rsid w:val="384358B1"/>
    <w:rsid w:val="384B0BE8"/>
    <w:rsid w:val="384F06F9"/>
    <w:rsid w:val="38673C95"/>
    <w:rsid w:val="38684613"/>
    <w:rsid w:val="386F3073"/>
    <w:rsid w:val="387B14EE"/>
    <w:rsid w:val="38A0235A"/>
    <w:rsid w:val="38B550EF"/>
    <w:rsid w:val="38EF24BC"/>
    <w:rsid w:val="38FF383F"/>
    <w:rsid w:val="39050DB8"/>
    <w:rsid w:val="390F1C37"/>
    <w:rsid w:val="390F6C68"/>
    <w:rsid w:val="39107A2B"/>
    <w:rsid w:val="39250143"/>
    <w:rsid w:val="392D0336"/>
    <w:rsid w:val="394B7113"/>
    <w:rsid w:val="3951020F"/>
    <w:rsid w:val="396957EB"/>
    <w:rsid w:val="396A3535"/>
    <w:rsid w:val="39800315"/>
    <w:rsid w:val="3982065B"/>
    <w:rsid w:val="39893797"/>
    <w:rsid w:val="398C3287"/>
    <w:rsid w:val="398D22C0"/>
    <w:rsid w:val="3995213C"/>
    <w:rsid w:val="39F257E0"/>
    <w:rsid w:val="3A2D05C6"/>
    <w:rsid w:val="3A35391F"/>
    <w:rsid w:val="3A4C35B7"/>
    <w:rsid w:val="3A5913BB"/>
    <w:rsid w:val="3A5E2E76"/>
    <w:rsid w:val="3A663AD8"/>
    <w:rsid w:val="3A802DEC"/>
    <w:rsid w:val="3AE07ED4"/>
    <w:rsid w:val="3AF4133D"/>
    <w:rsid w:val="3AFB06C4"/>
    <w:rsid w:val="3AFE7314"/>
    <w:rsid w:val="3B0D21A6"/>
    <w:rsid w:val="3B245F93"/>
    <w:rsid w:val="3B3F05AF"/>
    <w:rsid w:val="3B474EF8"/>
    <w:rsid w:val="3B503287"/>
    <w:rsid w:val="3B6049CB"/>
    <w:rsid w:val="3B6E7DD9"/>
    <w:rsid w:val="3B6F43AA"/>
    <w:rsid w:val="3B710987"/>
    <w:rsid w:val="3B804703"/>
    <w:rsid w:val="3B815EBA"/>
    <w:rsid w:val="3BB31CE7"/>
    <w:rsid w:val="3BB94CB3"/>
    <w:rsid w:val="3BC44F5A"/>
    <w:rsid w:val="3BC63897"/>
    <w:rsid w:val="3BC768BF"/>
    <w:rsid w:val="3BD44D53"/>
    <w:rsid w:val="3BE11013"/>
    <w:rsid w:val="3BEE1FD7"/>
    <w:rsid w:val="3BF44347"/>
    <w:rsid w:val="3C0E61B4"/>
    <w:rsid w:val="3C3955C9"/>
    <w:rsid w:val="3C585A53"/>
    <w:rsid w:val="3C606EA2"/>
    <w:rsid w:val="3C67757D"/>
    <w:rsid w:val="3C7E15AD"/>
    <w:rsid w:val="3C8D188F"/>
    <w:rsid w:val="3C9568F7"/>
    <w:rsid w:val="3CA1529C"/>
    <w:rsid w:val="3CBF0783"/>
    <w:rsid w:val="3CC72FD6"/>
    <w:rsid w:val="3CCB2319"/>
    <w:rsid w:val="3CF5326E"/>
    <w:rsid w:val="3CF7310E"/>
    <w:rsid w:val="3D2106A9"/>
    <w:rsid w:val="3D234823"/>
    <w:rsid w:val="3D3A1978"/>
    <w:rsid w:val="3D424389"/>
    <w:rsid w:val="3D7A7FC6"/>
    <w:rsid w:val="3D952175"/>
    <w:rsid w:val="3D984913"/>
    <w:rsid w:val="3DB14A95"/>
    <w:rsid w:val="3DB42DAD"/>
    <w:rsid w:val="3DB66B25"/>
    <w:rsid w:val="3DD516A1"/>
    <w:rsid w:val="3DF106B1"/>
    <w:rsid w:val="3E027FBC"/>
    <w:rsid w:val="3E06781D"/>
    <w:rsid w:val="3E3068D7"/>
    <w:rsid w:val="3E342D63"/>
    <w:rsid w:val="3E4233D6"/>
    <w:rsid w:val="3E453D00"/>
    <w:rsid w:val="3E5325C6"/>
    <w:rsid w:val="3E5441C3"/>
    <w:rsid w:val="3E9543A6"/>
    <w:rsid w:val="3E95498C"/>
    <w:rsid w:val="3E9A2ABD"/>
    <w:rsid w:val="3EA05473"/>
    <w:rsid w:val="3EE576C2"/>
    <w:rsid w:val="3EF73792"/>
    <w:rsid w:val="3EF825F8"/>
    <w:rsid w:val="3EFA44B1"/>
    <w:rsid w:val="3F081602"/>
    <w:rsid w:val="3F2A4682"/>
    <w:rsid w:val="3F450160"/>
    <w:rsid w:val="3F5424FF"/>
    <w:rsid w:val="3F7D224E"/>
    <w:rsid w:val="3F7D67BC"/>
    <w:rsid w:val="3F8F587F"/>
    <w:rsid w:val="3F9E2B53"/>
    <w:rsid w:val="3FA011AF"/>
    <w:rsid w:val="3FBC6EAF"/>
    <w:rsid w:val="3FC079FF"/>
    <w:rsid w:val="3FC165DA"/>
    <w:rsid w:val="3FC217B1"/>
    <w:rsid w:val="3FC94921"/>
    <w:rsid w:val="3FCA4B09"/>
    <w:rsid w:val="3FCF0BD4"/>
    <w:rsid w:val="3FEE2A7D"/>
    <w:rsid w:val="401A339B"/>
    <w:rsid w:val="40544B3B"/>
    <w:rsid w:val="406301E0"/>
    <w:rsid w:val="406D5519"/>
    <w:rsid w:val="40A35A86"/>
    <w:rsid w:val="40A6363D"/>
    <w:rsid w:val="40B7172C"/>
    <w:rsid w:val="40C7284E"/>
    <w:rsid w:val="40CA396E"/>
    <w:rsid w:val="40D13611"/>
    <w:rsid w:val="40D61148"/>
    <w:rsid w:val="40E165AE"/>
    <w:rsid w:val="40F36065"/>
    <w:rsid w:val="40FC6F44"/>
    <w:rsid w:val="41524A2C"/>
    <w:rsid w:val="416B4DC5"/>
    <w:rsid w:val="4174393D"/>
    <w:rsid w:val="417714CA"/>
    <w:rsid w:val="419B0C3A"/>
    <w:rsid w:val="41A164BD"/>
    <w:rsid w:val="41CA7043"/>
    <w:rsid w:val="41E00614"/>
    <w:rsid w:val="41E8453E"/>
    <w:rsid w:val="42100EF9"/>
    <w:rsid w:val="42535E4C"/>
    <w:rsid w:val="42552DB0"/>
    <w:rsid w:val="4268799E"/>
    <w:rsid w:val="428E1E1E"/>
    <w:rsid w:val="42956604"/>
    <w:rsid w:val="42C07826"/>
    <w:rsid w:val="430242C3"/>
    <w:rsid w:val="43044F7A"/>
    <w:rsid w:val="430E71C5"/>
    <w:rsid w:val="43613CF5"/>
    <w:rsid w:val="43750B18"/>
    <w:rsid w:val="43790741"/>
    <w:rsid w:val="43B91888"/>
    <w:rsid w:val="43BD1E12"/>
    <w:rsid w:val="43C71C76"/>
    <w:rsid w:val="43CC326B"/>
    <w:rsid w:val="43E53CC0"/>
    <w:rsid w:val="43F13F9A"/>
    <w:rsid w:val="440A3726"/>
    <w:rsid w:val="44116024"/>
    <w:rsid w:val="44416AB6"/>
    <w:rsid w:val="4442268F"/>
    <w:rsid w:val="44792069"/>
    <w:rsid w:val="448E07FB"/>
    <w:rsid w:val="44B85F15"/>
    <w:rsid w:val="44D03DF3"/>
    <w:rsid w:val="44E24F0C"/>
    <w:rsid w:val="44E919BB"/>
    <w:rsid w:val="44F32D44"/>
    <w:rsid w:val="451E1C75"/>
    <w:rsid w:val="45376531"/>
    <w:rsid w:val="45570BED"/>
    <w:rsid w:val="4565673C"/>
    <w:rsid w:val="457E261E"/>
    <w:rsid w:val="4597548E"/>
    <w:rsid w:val="45AE607F"/>
    <w:rsid w:val="45FC3499"/>
    <w:rsid w:val="464C17F0"/>
    <w:rsid w:val="464E0242"/>
    <w:rsid w:val="4654512D"/>
    <w:rsid w:val="467F664E"/>
    <w:rsid w:val="46956235"/>
    <w:rsid w:val="469E6827"/>
    <w:rsid w:val="46A240EA"/>
    <w:rsid w:val="46AA7F3F"/>
    <w:rsid w:val="46B00E18"/>
    <w:rsid w:val="46C82CA0"/>
    <w:rsid w:val="46E14715"/>
    <w:rsid w:val="46E464B1"/>
    <w:rsid w:val="471B25DC"/>
    <w:rsid w:val="471E2976"/>
    <w:rsid w:val="47217D5C"/>
    <w:rsid w:val="472B2331"/>
    <w:rsid w:val="47843B83"/>
    <w:rsid w:val="47930BBD"/>
    <w:rsid w:val="47A32E56"/>
    <w:rsid w:val="47AC1DCE"/>
    <w:rsid w:val="47B53627"/>
    <w:rsid w:val="47BC11DC"/>
    <w:rsid w:val="47CB7C1B"/>
    <w:rsid w:val="480D1A37"/>
    <w:rsid w:val="48126A4D"/>
    <w:rsid w:val="482D13C8"/>
    <w:rsid w:val="482E20D9"/>
    <w:rsid w:val="484511D1"/>
    <w:rsid w:val="48665BDE"/>
    <w:rsid w:val="4880581D"/>
    <w:rsid w:val="48D77AA7"/>
    <w:rsid w:val="48DB1B35"/>
    <w:rsid w:val="48DD765B"/>
    <w:rsid w:val="49155047"/>
    <w:rsid w:val="492A0810"/>
    <w:rsid w:val="492F31C0"/>
    <w:rsid w:val="49434EF7"/>
    <w:rsid w:val="49492F43"/>
    <w:rsid w:val="49590DDC"/>
    <w:rsid w:val="49757933"/>
    <w:rsid w:val="498961BD"/>
    <w:rsid w:val="49D52684"/>
    <w:rsid w:val="49D61D32"/>
    <w:rsid w:val="49D72217"/>
    <w:rsid w:val="4A190B67"/>
    <w:rsid w:val="4A1F590B"/>
    <w:rsid w:val="4A6A3171"/>
    <w:rsid w:val="4A746B40"/>
    <w:rsid w:val="4A85368F"/>
    <w:rsid w:val="4A8F2BD7"/>
    <w:rsid w:val="4AC10542"/>
    <w:rsid w:val="4AEA0627"/>
    <w:rsid w:val="4AED63CC"/>
    <w:rsid w:val="4AED7781"/>
    <w:rsid w:val="4B09426C"/>
    <w:rsid w:val="4B1C4BE1"/>
    <w:rsid w:val="4B3D45DA"/>
    <w:rsid w:val="4B5736F5"/>
    <w:rsid w:val="4B5E653E"/>
    <w:rsid w:val="4B85737C"/>
    <w:rsid w:val="4BA021F2"/>
    <w:rsid w:val="4BD56694"/>
    <w:rsid w:val="4BE82883"/>
    <w:rsid w:val="4BEC0389"/>
    <w:rsid w:val="4BED4059"/>
    <w:rsid w:val="4C0513A3"/>
    <w:rsid w:val="4C2F01CE"/>
    <w:rsid w:val="4C311273"/>
    <w:rsid w:val="4C653BF0"/>
    <w:rsid w:val="4C6778AD"/>
    <w:rsid w:val="4C883D82"/>
    <w:rsid w:val="4CC176FC"/>
    <w:rsid w:val="4CD07C03"/>
    <w:rsid w:val="4CD14822"/>
    <w:rsid w:val="4CEA7A4E"/>
    <w:rsid w:val="4CFC2730"/>
    <w:rsid w:val="4D0E072B"/>
    <w:rsid w:val="4D333CEE"/>
    <w:rsid w:val="4D5679DC"/>
    <w:rsid w:val="4D5828E6"/>
    <w:rsid w:val="4D595F9C"/>
    <w:rsid w:val="4D77007F"/>
    <w:rsid w:val="4D7B7443"/>
    <w:rsid w:val="4D981DA3"/>
    <w:rsid w:val="4D9E1AAF"/>
    <w:rsid w:val="4D9E2ACF"/>
    <w:rsid w:val="4DF47921"/>
    <w:rsid w:val="4DFF04B8"/>
    <w:rsid w:val="4E046F84"/>
    <w:rsid w:val="4E132653"/>
    <w:rsid w:val="4E282ED2"/>
    <w:rsid w:val="4E630603"/>
    <w:rsid w:val="4EA64116"/>
    <w:rsid w:val="4EB70883"/>
    <w:rsid w:val="4EB737EC"/>
    <w:rsid w:val="4EC95EA5"/>
    <w:rsid w:val="4EE23C1E"/>
    <w:rsid w:val="4EE5726A"/>
    <w:rsid w:val="4F043B94"/>
    <w:rsid w:val="4F04479B"/>
    <w:rsid w:val="4F10098A"/>
    <w:rsid w:val="4F500C99"/>
    <w:rsid w:val="4F5E50CC"/>
    <w:rsid w:val="4F622668"/>
    <w:rsid w:val="4F710059"/>
    <w:rsid w:val="4F7F2214"/>
    <w:rsid w:val="4F8D2468"/>
    <w:rsid w:val="4F941987"/>
    <w:rsid w:val="4F9C71EF"/>
    <w:rsid w:val="4FEB4D54"/>
    <w:rsid w:val="500951DA"/>
    <w:rsid w:val="500A342C"/>
    <w:rsid w:val="500B0F52"/>
    <w:rsid w:val="500D205E"/>
    <w:rsid w:val="5038161B"/>
    <w:rsid w:val="503C110B"/>
    <w:rsid w:val="50414974"/>
    <w:rsid w:val="50422DC3"/>
    <w:rsid w:val="505446A7"/>
    <w:rsid w:val="506B379F"/>
    <w:rsid w:val="50823455"/>
    <w:rsid w:val="508A58C1"/>
    <w:rsid w:val="50C66061"/>
    <w:rsid w:val="50C7131D"/>
    <w:rsid w:val="51025184"/>
    <w:rsid w:val="512F7412"/>
    <w:rsid w:val="51311A50"/>
    <w:rsid w:val="51361FFF"/>
    <w:rsid w:val="51426BF5"/>
    <w:rsid w:val="514414F7"/>
    <w:rsid w:val="51501B1E"/>
    <w:rsid w:val="51542F82"/>
    <w:rsid w:val="5198665F"/>
    <w:rsid w:val="51A76A58"/>
    <w:rsid w:val="51BF1FF4"/>
    <w:rsid w:val="51C23892"/>
    <w:rsid w:val="51E22A1D"/>
    <w:rsid w:val="51EC6E26"/>
    <w:rsid w:val="51EE0B2B"/>
    <w:rsid w:val="520C318F"/>
    <w:rsid w:val="521117AA"/>
    <w:rsid w:val="52293911"/>
    <w:rsid w:val="523F3135"/>
    <w:rsid w:val="526E3596"/>
    <w:rsid w:val="528045E8"/>
    <w:rsid w:val="52B50A93"/>
    <w:rsid w:val="52CD24EF"/>
    <w:rsid w:val="530D6D8F"/>
    <w:rsid w:val="53234805"/>
    <w:rsid w:val="535A6478"/>
    <w:rsid w:val="536D782E"/>
    <w:rsid w:val="537F4FC9"/>
    <w:rsid w:val="538F3C48"/>
    <w:rsid w:val="53D004E8"/>
    <w:rsid w:val="53F008AC"/>
    <w:rsid w:val="54044F01"/>
    <w:rsid w:val="543A3BB4"/>
    <w:rsid w:val="544F1F0A"/>
    <w:rsid w:val="54501629"/>
    <w:rsid w:val="54685E21"/>
    <w:rsid w:val="546E5C98"/>
    <w:rsid w:val="54703A7A"/>
    <w:rsid w:val="54C06D50"/>
    <w:rsid w:val="54CE2E6E"/>
    <w:rsid w:val="54D1675D"/>
    <w:rsid w:val="54EB1352"/>
    <w:rsid w:val="550541C2"/>
    <w:rsid w:val="551C150B"/>
    <w:rsid w:val="55301077"/>
    <w:rsid w:val="553D1BAE"/>
    <w:rsid w:val="556101D6"/>
    <w:rsid w:val="559351F5"/>
    <w:rsid w:val="55DF4A13"/>
    <w:rsid w:val="56460D3D"/>
    <w:rsid w:val="565C7795"/>
    <w:rsid w:val="569A3030"/>
    <w:rsid w:val="569A430A"/>
    <w:rsid w:val="56A87378"/>
    <w:rsid w:val="56C13D53"/>
    <w:rsid w:val="56DA0916"/>
    <w:rsid w:val="56DC71A4"/>
    <w:rsid w:val="56E66275"/>
    <w:rsid w:val="56EF47DB"/>
    <w:rsid w:val="57034731"/>
    <w:rsid w:val="57041A43"/>
    <w:rsid w:val="570861C6"/>
    <w:rsid w:val="5714398D"/>
    <w:rsid w:val="5714436D"/>
    <w:rsid w:val="57184A87"/>
    <w:rsid w:val="571A0371"/>
    <w:rsid w:val="571E77BD"/>
    <w:rsid w:val="57203535"/>
    <w:rsid w:val="573A6470"/>
    <w:rsid w:val="57456B30"/>
    <w:rsid w:val="57476D14"/>
    <w:rsid w:val="57557EB6"/>
    <w:rsid w:val="57853398"/>
    <w:rsid w:val="57B254AD"/>
    <w:rsid w:val="582931C9"/>
    <w:rsid w:val="582E3A30"/>
    <w:rsid w:val="583707F7"/>
    <w:rsid w:val="583C439E"/>
    <w:rsid w:val="584A3370"/>
    <w:rsid w:val="585F1E3B"/>
    <w:rsid w:val="58615783"/>
    <w:rsid w:val="58831FCD"/>
    <w:rsid w:val="588B2C30"/>
    <w:rsid w:val="58976CB7"/>
    <w:rsid w:val="58C13195"/>
    <w:rsid w:val="58D345D7"/>
    <w:rsid w:val="58D52007"/>
    <w:rsid w:val="591D2E59"/>
    <w:rsid w:val="59462FFB"/>
    <w:rsid w:val="598627C4"/>
    <w:rsid w:val="59B753B6"/>
    <w:rsid w:val="59DC051D"/>
    <w:rsid w:val="59E44CEE"/>
    <w:rsid w:val="59EA7E2A"/>
    <w:rsid w:val="59EC1334"/>
    <w:rsid w:val="59F1158D"/>
    <w:rsid w:val="59F4590F"/>
    <w:rsid w:val="5A1153B7"/>
    <w:rsid w:val="5A252C10"/>
    <w:rsid w:val="5A2D79D8"/>
    <w:rsid w:val="5A2E6CD8"/>
    <w:rsid w:val="5A4237C2"/>
    <w:rsid w:val="5A560DC3"/>
    <w:rsid w:val="5A582EB9"/>
    <w:rsid w:val="5A5F51D6"/>
    <w:rsid w:val="5A731BCE"/>
    <w:rsid w:val="5A855465"/>
    <w:rsid w:val="5AA95440"/>
    <w:rsid w:val="5ACB37B8"/>
    <w:rsid w:val="5AE05F59"/>
    <w:rsid w:val="5AE0727D"/>
    <w:rsid w:val="5AE241E4"/>
    <w:rsid w:val="5AE42ACB"/>
    <w:rsid w:val="5AF204B0"/>
    <w:rsid w:val="5B522627"/>
    <w:rsid w:val="5B5C4D58"/>
    <w:rsid w:val="5B6836FC"/>
    <w:rsid w:val="5B6B68A9"/>
    <w:rsid w:val="5B743E4F"/>
    <w:rsid w:val="5BB361C9"/>
    <w:rsid w:val="5BEB34B7"/>
    <w:rsid w:val="5BF353CA"/>
    <w:rsid w:val="5BF53FCD"/>
    <w:rsid w:val="5BFC5BF3"/>
    <w:rsid w:val="5C2238AB"/>
    <w:rsid w:val="5C412946"/>
    <w:rsid w:val="5C515F3F"/>
    <w:rsid w:val="5CA40E56"/>
    <w:rsid w:val="5CAC586B"/>
    <w:rsid w:val="5CB04D5A"/>
    <w:rsid w:val="5CB46BCD"/>
    <w:rsid w:val="5CD821BC"/>
    <w:rsid w:val="5CE35294"/>
    <w:rsid w:val="5CEA4493"/>
    <w:rsid w:val="5CEF05A9"/>
    <w:rsid w:val="5CF323B1"/>
    <w:rsid w:val="5D042330"/>
    <w:rsid w:val="5D0631CD"/>
    <w:rsid w:val="5D1256CE"/>
    <w:rsid w:val="5D445C4B"/>
    <w:rsid w:val="5D447BED"/>
    <w:rsid w:val="5D637A40"/>
    <w:rsid w:val="5D6677C8"/>
    <w:rsid w:val="5DB8383E"/>
    <w:rsid w:val="5DBD48C7"/>
    <w:rsid w:val="5DC5321D"/>
    <w:rsid w:val="5DC60CCB"/>
    <w:rsid w:val="5DE415B0"/>
    <w:rsid w:val="5E113BD7"/>
    <w:rsid w:val="5E133E89"/>
    <w:rsid w:val="5E145476"/>
    <w:rsid w:val="5E1B4A56"/>
    <w:rsid w:val="5E391380"/>
    <w:rsid w:val="5E6F724E"/>
    <w:rsid w:val="5E8343A9"/>
    <w:rsid w:val="5E8720EC"/>
    <w:rsid w:val="5E8F45D0"/>
    <w:rsid w:val="5ED5506D"/>
    <w:rsid w:val="5EE11CD1"/>
    <w:rsid w:val="5F03707F"/>
    <w:rsid w:val="5F22563B"/>
    <w:rsid w:val="5F3545E4"/>
    <w:rsid w:val="5F493ED9"/>
    <w:rsid w:val="5F767659"/>
    <w:rsid w:val="5FDD67C9"/>
    <w:rsid w:val="5FF139AA"/>
    <w:rsid w:val="5FF97F03"/>
    <w:rsid w:val="601410A2"/>
    <w:rsid w:val="601A7A35"/>
    <w:rsid w:val="60311C3A"/>
    <w:rsid w:val="6037369D"/>
    <w:rsid w:val="604A5A0A"/>
    <w:rsid w:val="604D4C6F"/>
    <w:rsid w:val="60705471"/>
    <w:rsid w:val="608763D3"/>
    <w:rsid w:val="608D176B"/>
    <w:rsid w:val="609D5BF6"/>
    <w:rsid w:val="60A32AE1"/>
    <w:rsid w:val="60A800F7"/>
    <w:rsid w:val="60F03F78"/>
    <w:rsid w:val="60FA0F2D"/>
    <w:rsid w:val="61050B14"/>
    <w:rsid w:val="610B0DB2"/>
    <w:rsid w:val="61101AC6"/>
    <w:rsid w:val="612B4FB0"/>
    <w:rsid w:val="6134036B"/>
    <w:rsid w:val="615A18F4"/>
    <w:rsid w:val="616D55C9"/>
    <w:rsid w:val="618A73DD"/>
    <w:rsid w:val="618A7935"/>
    <w:rsid w:val="619C5EAE"/>
    <w:rsid w:val="619F5FD1"/>
    <w:rsid w:val="61A86601"/>
    <w:rsid w:val="61AB7E9F"/>
    <w:rsid w:val="61B41449"/>
    <w:rsid w:val="61D373F6"/>
    <w:rsid w:val="61DA4314"/>
    <w:rsid w:val="61F061FA"/>
    <w:rsid w:val="61F16ABA"/>
    <w:rsid w:val="61F21FBB"/>
    <w:rsid w:val="61F56D34"/>
    <w:rsid w:val="621517BC"/>
    <w:rsid w:val="621C0B77"/>
    <w:rsid w:val="623E51B7"/>
    <w:rsid w:val="624F4CCE"/>
    <w:rsid w:val="627806C9"/>
    <w:rsid w:val="62820FDE"/>
    <w:rsid w:val="628C6EF7"/>
    <w:rsid w:val="62AD7C47"/>
    <w:rsid w:val="62AE5E99"/>
    <w:rsid w:val="62C0797A"/>
    <w:rsid w:val="62E33FF5"/>
    <w:rsid w:val="62FC713F"/>
    <w:rsid w:val="636B5B38"/>
    <w:rsid w:val="637A30A6"/>
    <w:rsid w:val="637F6CFA"/>
    <w:rsid w:val="639A01CB"/>
    <w:rsid w:val="63A77B42"/>
    <w:rsid w:val="63B53257"/>
    <w:rsid w:val="63C070C0"/>
    <w:rsid w:val="63E91153"/>
    <w:rsid w:val="63F55D49"/>
    <w:rsid w:val="642E73AF"/>
    <w:rsid w:val="643C490D"/>
    <w:rsid w:val="64630959"/>
    <w:rsid w:val="646D3B32"/>
    <w:rsid w:val="649E3AB0"/>
    <w:rsid w:val="64C14FFD"/>
    <w:rsid w:val="64DE67DD"/>
    <w:rsid w:val="64DF4A2F"/>
    <w:rsid w:val="64E2007C"/>
    <w:rsid w:val="6502427A"/>
    <w:rsid w:val="65326B1A"/>
    <w:rsid w:val="6533605F"/>
    <w:rsid w:val="653D03E7"/>
    <w:rsid w:val="654518E8"/>
    <w:rsid w:val="655705CF"/>
    <w:rsid w:val="656F4510"/>
    <w:rsid w:val="65812E98"/>
    <w:rsid w:val="65B8702E"/>
    <w:rsid w:val="65BA4B55"/>
    <w:rsid w:val="65F13345"/>
    <w:rsid w:val="65F209F1"/>
    <w:rsid w:val="66065FEC"/>
    <w:rsid w:val="660B583D"/>
    <w:rsid w:val="663012BB"/>
    <w:rsid w:val="66415276"/>
    <w:rsid w:val="667431B0"/>
    <w:rsid w:val="667B0788"/>
    <w:rsid w:val="6698458E"/>
    <w:rsid w:val="669F14F9"/>
    <w:rsid w:val="66E005EB"/>
    <w:rsid w:val="66F7221C"/>
    <w:rsid w:val="6709759A"/>
    <w:rsid w:val="670A5668"/>
    <w:rsid w:val="67477424"/>
    <w:rsid w:val="676905E0"/>
    <w:rsid w:val="679A4C3E"/>
    <w:rsid w:val="67A97EED"/>
    <w:rsid w:val="67AD3651"/>
    <w:rsid w:val="67B77F04"/>
    <w:rsid w:val="67D238FE"/>
    <w:rsid w:val="67EE6F14"/>
    <w:rsid w:val="68110444"/>
    <w:rsid w:val="68164583"/>
    <w:rsid w:val="6828049B"/>
    <w:rsid w:val="68294213"/>
    <w:rsid w:val="683B1B4D"/>
    <w:rsid w:val="683D39DA"/>
    <w:rsid w:val="68566393"/>
    <w:rsid w:val="685E3EBD"/>
    <w:rsid w:val="688222C7"/>
    <w:rsid w:val="68C47A98"/>
    <w:rsid w:val="68C66D80"/>
    <w:rsid w:val="68D128E1"/>
    <w:rsid w:val="69026F3E"/>
    <w:rsid w:val="692844CB"/>
    <w:rsid w:val="69676DA1"/>
    <w:rsid w:val="69766FE4"/>
    <w:rsid w:val="698649FA"/>
    <w:rsid w:val="69964E32"/>
    <w:rsid w:val="69B46F0D"/>
    <w:rsid w:val="69DE3175"/>
    <w:rsid w:val="69E001E7"/>
    <w:rsid w:val="6A16113C"/>
    <w:rsid w:val="6A284E43"/>
    <w:rsid w:val="6A770ADC"/>
    <w:rsid w:val="6A920216"/>
    <w:rsid w:val="6A9A31A7"/>
    <w:rsid w:val="6A9B4491"/>
    <w:rsid w:val="6A9F1CE8"/>
    <w:rsid w:val="6AAE7282"/>
    <w:rsid w:val="6AB75B07"/>
    <w:rsid w:val="6AB914D6"/>
    <w:rsid w:val="6ABC5E2E"/>
    <w:rsid w:val="6AC124E1"/>
    <w:rsid w:val="6ACE1274"/>
    <w:rsid w:val="6ADC4142"/>
    <w:rsid w:val="6B0D363F"/>
    <w:rsid w:val="6B225676"/>
    <w:rsid w:val="6B293C1E"/>
    <w:rsid w:val="6B3057ED"/>
    <w:rsid w:val="6B4355EC"/>
    <w:rsid w:val="6B453112"/>
    <w:rsid w:val="6B4F1994"/>
    <w:rsid w:val="6B5477F9"/>
    <w:rsid w:val="6B5D13E6"/>
    <w:rsid w:val="6B7357E7"/>
    <w:rsid w:val="6B874B2B"/>
    <w:rsid w:val="6B8754D9"/>
    <w:rsid w:val="6B875A40"/>
    <w:rsid w:val="6B91642A"/>
    <w:rsid w:val="6BA51E03"/>
    <w:rsid w:val="6BBC7226"/>
    <w:rsid w:val="6BC423DA"/>
    <w:rsid w:val="6BE40B7D"/>
    <w:rsid w:val="6C326A9A"/>
    <w:rsid w:val="6C367618"/>
    <w:rsid w:val="6C3C728A"/>
    <w:rsid w:val="6C4E249B"/>
    <w:rsid w:val="6C837AE7"/>
    <w:rsid w:val="6C8A3E98"/>
    <w:rsid w:val="6C931B6E"/>
    <w:rsid w:val="6C951E77"/>
    <w:rsid w:val="6C9C49BD"/>
    <w:rsid w:val="6CAB0638"/>
    <w:rsid w:val="6CC42B94"/>
    <w:rsid w:val="6CC762EC"/>
    <w:rsid w:val="6CCB5899"/>
    <w:rsid w:val="6CE955EC"/>
    <w:rsid w:val="6D1C6D87"/>
    <w:rsid w:val="6D1D6C3D"/>
    <w:rsid w:val="6D232D2C"/>
    <w:rsid w:val="6D42106D"/>
    <w:rsid w:val="6D677AE1"/>
    <w:rsid w:val="6D68758C"/>
    <w:rsid w:val="6D7B222A"/>
    <w:rsid w:val="6D7C337B"/>
    <w:rsid w:val="6D8C5028"/>
    <w:rsid w:val="6D901B30"/>
    <w:rsid w:val="6D9E4CCD"/>
    <w:rsid w:val="6DAB4FF7"/>
    <w:rsid w:val="6DC01176"/>
    <w:rsid w:val="6DD93FE6"/>
    <w:rsid w:val="6E07229E"/>
    <w:rsid w:val="6E1A7E88"/>
    <w:rsid w:val="6E4C0C5C"/>
    <w:rsid w:val="6E600F53"/>
    <w:rsid w:val="6E663ACB"/>
    <w:rsid w:val="6E7D71CC"/>
    <w:rsid w:val="6E894432"/>
    <w:rsid w:val="6E8F51E0"/>
    <w:rsid w:val="6E8F56CD"/>
    <w:rsid w:val="6E9C4D95"/>
    <w:rsid w:val="6EAF6592"/>
    <w:rsid w:val="6ED053E9"/>
    <w:rsid w:val="6ED30A35"/>
    <w:rsid w:val="6EEB6C7A"/>
    <w:rsid w:val="6F212D8B"/>
    <w:rsid w:val="6F2B4810"/>
    <w:rsid w:val="6F5E29F5"/>
    <w:rsid w:val="6F63000B"/>
    <w:rsid w:val="6F742218"/>
    <w:rsid w:val="6F781DE4"/>
    <w:rsid w:val="6F854425"/>
    <w:rsid w:val="6F9957DB"/>
    <w:rsid w:val="6FA2015D"/>
    <w:rsid w:val="6FAB550E"/>
    <w:rsid w:val="6FB24AEE"/>
    <w:rsid w:val="6FBF6B97"/>
    <w:rsid w:val="6FC00AB8"/>
    <w:rsid w:val="6FDD7EDD"/>
    <w:rsid w:val="70294385"/>
    <w:rsid w:val="703915A3"/>
    <w:rsid w:val="704C6CF1"/>
    <w:rsid w:val="70735112"/>
    <w:rsid w:val="7081133E"/>
    <w:rsid w:val="709F32C5"/>
    <w:rsid w:val="70A408DB"/>
    <w:rsid w:val="70A67126"/>
    <w:rsid w:val="70CA3376"/>
    <w:rsid w:val="7104186B"/>
    <w:rsid w:val="711C707A"/>
    <w:rsid w:val="71224712"/>
    <w:rsid w:val="712F289B"/>
    <w:rsid w:val="714858B8"/>
    <w:rsid w:val="714F096B"/>
    <w:rsid w:val="71A14E1B"/>
    <w:rsid w:val="71AB5C99"/>
    <w:rsid w:val="71D46BA0"/>
    <w:rsid w:val="71DB032D"/>
    <w:rsid w:val="71DE7D41"/>
    <w:rsid w:val="71E3257D"/>
    <w:rsid w:val="71E573FD"/>
    <w:rsid w:val="721C6818"/>
    <w:rsid w:val="72206B8C"/>
    <w:rsid w:val="722F0678"/>
    <w:rsid w:val="726058EE"/>
    <w:rsid w:val="72654AAB"/>
    <w:rsid w:val="72681783"/>
    <w:rsid w:val="727D13E4"/>
    <w:rsid w:val="7290512F"/>
    <w:rsid w:val="72B61CC0"/>
    <w:rsid w:val="72CC4119"/>
    <w:rsid w:val="72DF772F"/>
    <w:rsid w:val="72FE3C98"/>
    <w:rsid w:val="731D25EF"/>
    <w:rsid w:val="73280CCD"/>
    <w:rsid w:val="732D2E0A"/>
    <w:rsid w:val="733D0B73"/>
    <w:rsid w:val="73463ECB"/>
    <w:rsid w:val="736D76AA"/>
    <w:rsid w:val="73922C6D"/>
    <w:rsid w:val="73A35352"/>
    <w:rsid w:val="73AA26AC"/>
    <w:rsid w:val="73B91BEF"/>
    <w:rsid w:val="73C01851"/>
    <w:rsid w:val="73C123F0"/>
    <w:rsid w:val="740A314B"/>
    <w:rsid w:val="74242CF8"/>
    <w:rsid w:val="74344681"/>
    <w:rsid w:val="74501DEE"/>
    <w:rsid w:val="74514836"/>
    <w:rsid w:val="74546174"/>
    <w:rsid w:val="749D3FBF"/>
    <w:rsid w:val="74B17A6A"/>
    <w:rsid w:val="74B44E65"/>
    <w:rsid w:val="74ED1183"/>
    <w:rsid w:val="74EE7509"/>
    <w:rsid w:val="74F8738F"/>
    <w:rsid w:val="74F90775"/>
    <w:rsid w:val="751029E3"/>
    <w:rsid w:val="75265D63"/>
    <w:rsid w:val="75463EA5"/>
    <w:rsid w:val="7560440F"/>
    <w:rsid w:val="756643B1"/>
    <w:rsid w:val="758D51FB"/>
    <w:rsid w:val="759D0D09"/>
    <w:rsid w:val="75A1188D"/>
    <w:rsid w:val="75A6550D"/>
    <w:rsid w:val="75AA3CAB"/>
    <w:rsid w:val="75AF1ADD"/>
    <w:rsid w:val="75B21A9F"/>
    <w:rsid w:val="75C3095B"/>
    <w:rsid w:val="75E55C1E"/>
    <w:rsid w:val="7610256F"/>
    <w:rsid w:val="76102CAA"/>
    <w:rsid w:val="7610431D"/>
    <w:rsid w:val="761A3A2A"/>
    <w:rsid w:val="761C0247"/>
    <w:rsid w:val="767572DB"/>
    <w:rsid w:val="767945B8"/>
    <w:rsid w:val="767E3458"/>
    <w:rsid w:val="768C42EB"/>
    <w:rsid w:val="769120BE"/>
    <w:rsid w:val="769136B0"/>
    <w:rsid w:val="76A41635"/>
    <w:rsid w:val="76AC30F7"/>
    <w:rsid w:val="76C837E8"/>
    <w:rsid w:val="76E77774"/>
    <w:rsid w:val="77057BFA"/>
    <w:rsid w:val="771D3195"/>
    <w:rsid w:val="77453882"/>
    <w:rsid w:val="774D4AD7"/>
    <w:rsid w:val="77690189"/>
    <w:rsid w:val="77812AE0"/>
    <w:rsid w:val="778B6351"/>
    <w:rsid w:val="77BD2282"/>
    <w:rsid w:val="77E078F6"/>
    <w:rsid w:val="77E7707B"/>
    <w:rsid w:val="77ED0865"/>
    <w:rsid w:val="78C7225F"/>
    <w:rsid w:val="78D41F79"/>
    <w:rsid w:val="78F13662"/>
    <w:rsid w:val="791E0C51"/>
    <w:rsid w:val="79455C0B"/>
    <w:rsid w:val="79563CE2"/>
    <w:rsid w:val="797B41A3"/>
    <w:rsid w:val="799C4965"/>
    <w:rsid w:val="79B620A0"/>
    <w:rsid w:val="79B920F2"/>
    <w:rsid w:val="79C21DD2"/>
    <w:rsid w:val="79C6725A"/>
    <w:rsid w:val="79C93160"/>
    <w:rsid w:val="79D25462"/>
    <w:rsid w:val="79E306C6"/>
    <w:rsid w:val="79EB507E"/>
    <w:rsid w:val="79F07B2C"/>
    <w:rsid w:val="7A016D9E"/>
    <w:rsid w:val="7A0B19D8"/>
    <w:rsid w:val="7A1C5986"/>
    <w:rsid w:val="7A252A8D"/>
    <w:rsid w:val="7A4819F3"/>
    <w:rsid w:val="7A753BF7"/>
    <w:rsid w:val="7A772BBC"/>
    <w:rsid w:val="7ABB2A50"/>
    <w:rsid w:val="7ABB40DA"/>
    <w:rsid w:val="7AD65B35"/>
    <w:rsid w:val="7AEA338E"/>
    <w:rsid w:val="7B1672EE"/>
    <w:rsid w:val="7B1B79EC"/>
    <w:rsid w:val="7B292109"/>
    <w:rsid w:val="7B2C05FE"/>
    <w:rsid w:val="7B2F3497"/>
    <w:rsid w:val="7B310FBD"/>
    <w:rsid w:val="7B4056A4"/>
    <w:rsid w:val="7B66357A"/>
    <w:rsid w:val="7B711D02"/>
    <w:rsid w:val="7B8C6E50"/>
    <w:rsid w:val="7B95779E"/>
    <w:rsid w:val="7B971768"/>
    <w:rsid w:val="7BA23C69"/>
    <w:rsid w:val="7BAD174C"/>
    <w:rsid w:val="7BB32DF2"/>
    <w:rsid w:val="7BB61791"/>
    <w:rsid w:val="7BC71922"/>
    <w:rsid w:val="7BD341C3"/>
    <w:rsid w:val="7BEC727A"/>
    <w:rsid w:val="7C3972C6"/>
    <w:rsid w:val="7C4200AE"/>
    <w:rsid w:val="7C6B2214"/>
    <w:rsid w:val="7C6B6751"/>
    <w:rsid w:val="7C6F58D5"/>
    <w:rsid w:val="7C7575D0"/>
    <w:rsid w:val="7C812734"/>
    <w:rsid w:val="7C877D82"/>
    <w:rsid w:val="7CB023B6"/>
    <w:rsid w:val="7D0821F2"/>
    <w:rsid w:val="7D3B4375"/>
    <w:rsid w:val="7D6257E2"/>
    <w:rsid w:val="7D7A3B00"/>
    <w:rsid w:val="7D91263D"/>
    <w:rsid w:val="7DA55C93"/>
    <w:rsid w:val="7DA72406"/>
    <w:rsid w:val="7DC97BD3"/>
    <w:rsid w:val="7DCA01BA"/>
    <w:rsid w:val="7DCA74A7"/>
    <w:rsid w:val="7DCC76C3"/>
    <w:rsid w:val="7DDD542C"/>
    <w:rsid w:val="7DE400C9"/>
    <w:rsid w:val="7DEE13E8"/>
    <w:rsid w:val="7E206640"/>
    <w:rsid w:val="7E4F3EAA"/>
    <w:rsid w:val="7E6C128B"/>
    <w:rsid w:val="7E8A55B4"/>
    <w:rsid w:val="7E93223C"/>
    <w:rsid w:val="7E9C0E44"/>
    <w:rsid w:val="7EB6280A"/>
    <w:rsid w:val="7EFA43CF"/>
    <w:rsid w:val="7F0E2B74"/>
    <w:rsid w:val="7F144E7E"/>
    <w:rsid w:val="7F192494"/>
    <w:rsid w:val="7F482D79"/>
    <w:rsid w:val="7F556C77"/>
    <w:rsid w:val="7F5C6816"/>
    <w:rsid w:val="7F6A0F42"/>
    <w:rsid w:val="7F8204DC"/>
    <w:rsid w:val="7F914720"/>
    <w:rsid w:val="7F9621E1"/>
    <w:rsid w:val="7FB00C6D"/>
    <w:rsid w:val="7FBF303C"/>
    <w:rsid w:val="7FC5019C"/>
    <w:rsid w:val="7FF01447"/>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beforeLines="0" w:after="330" w:afterLines="0" w:line="578" w:lineRule="auto"/>
      <w:outlineLvl w:val="0"/>
    </w:pPr>
    <w:rPr>
      <w:rFonts w:ascii="Calibri" w:hAnsi="Calibri" w:eastAsia="宋体" w:cs="Calibri"/>
      <w:b/>
      <w:bCs/>
      <w:color w:val="000000"/>
      <w:kern w:val="44"/>
      <w:sz w:val="44"/>
      <w:szCs w:val="44"/>
    </w:rPr>
  </w:style>
  <w:style w:type="paragraph" w:styleId="3">
    <w:name w:val="heading 2"/>
    <w:basedOn w:val="1"/>
    <w:next w:val="1"/>
    <w:link w:val="27"/>
    <w:qFormat/>
    <w:uiPriority w:val="0"/>
    <w:pPr>
      <w:keepNext/>
      <w:keepLines/>
      <w:spacing w:before="260" w:beforeLines="0" w:after="260" w:afterLines="0" w:line="416" w:lineRule="auto"/>
      <w:outlineLvl w:val="1"/>
    </w:pPr>
    <w:rPr>
      <w:rFonts w:ascii="Cambria" w:hAnsi="Cambria" w:eastAsia="宋体" w:cs="Times New Roman"/>
      <w:b/>
      <w:bCs/>
      <w:color w:val="000000"/>
      <w:kern w:val="0"/>
      <w:sz w:val="32"/>
      <w:szCs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Body Text"/>
    <w:basedOn w:val="1"/>
    <w:link w:val="28"/>
    <w:qFormat/>
    <w:uiPriority w:val="0"/>
    <w:pPr>
      <w:spacing w:after="120" w:afterLines="0"/>
    </w:pPr>
    <w:rPr>
      <w:sz w:val="24"/>
    </w:rPr>
  </w:style>
  <w:style w:type="paragraph" w:styleId="8">
    <w:name w:val="Body Text Indent"/>
    <w:basedOn w:val="1"/>
    <w:qFormat/>
    <w:uiPriority w:val="0"/>
    <w:pPr>
      <w:spacing w:after="120"/>
      <w:ind w:left="420" w:leftChars="200"/>
      <w:jc w:val="both"/>
    </w:pPr>
    <w:rPr>
      <w:rFonts w:eastAsia="宋体"/>
      <w:color w:val="auto"/>
      <w:kern w:val="2"/>
      <w:sz w:val="21"/>
      <w:lang w:eastAsia="zh-CN" w:bidi="ar-SA"/>
    </w:rPr>
  </w:style>
  <w:style w:type="paragraph" w:styleId="9">
    <w:name w:val="toc 5"/>
    <w:basedOn w:val="1"/>
    <w:next w:val="1"/>
    <w:qFormat/>
    <w:uiPriority w:val="39"/>
    <w:pPr>
      <w:ind w:left="1680" w:leftChars="800"/>
    </w:pPr>
  </w:style>
  <w:style w:type="paragraph" w:styleId="10">
    <w:name w:val="toc 3"/>
    <w:basedOn w:val="1"/>
    <w:next w:val="1"/>
    <w:qFormat/>
    <w:uiPriority w:val="39"/>
    <w:pPr>
      <w:ind w:left="840" w:leftChars="400"/>
    </w:pPr>
  </w:style>
  <w:style w:type="paragraph" w:styleId="11">
    <w:name w:val="toc 8"/>
    <w:basedOn w:val="1"/>
    <w:next w:val="1"/>
    <w:uiPriority w:val="39"/>
    <w:pPr>
      <w:ind w:left="2940" w:leftChars="1400"/>
    </w:pPr>
  </w:style>
  <w:style w:type="paragraph" w:styleId="12">
    <w:name w:val="footer"/>
    <w:basedOn w:val="1"/>
    <w:link w:val="29"/>
    <w:uiPriority w:val="99"/>
    <w:pPr>
      <w:tabs>
        <w:tab w:val="center" w:pos="4153"/>
        <w:tab w:val="right" w:pos="8305"/>
      </w:tabs>
      <w:jc w:val="left"/>
    </w:pPr>
    <w:rPr>
      <w:rFonts w:ascii="Calibri" w:hAnsi="Calibri" w:eastAsia="宋体" w:cs="Calibri"/>
      <w:color w:val="000000"/>
      <w:kern w:val="1"/>
      <w:sz w:val="18"/>
      <w:szCs w:val="18"/>
    </w:rPr>
  </w:style>
  <w:style w:type="paragraph" w:styleId="13">
    <w:name w:val="Body Text First Indent 2"/>
    <w:basedOn w:val="8"/>
    <w:qFormat/>
    <w:uiPriority w:val="0"/>
    <w:pPr>
      <w:ind w:firstLine="420" w:firstLineChars="200"/>
    </w:pPr>
  </w:style>
  <w:style w:type="paragraph" w:styleId="14">
    <w:name w:val="header"/>
    <w:basedOn w:val="1"/>
    <w:link w:val="30"/>
    <w:qFormat/>
    <w:uiPriority w:val="0"/>
    <w:pPr>
      <w:pBdr>
        <w:bottom w:val="single" w:color="000000" w:sz="6" w:space="1"/>
      </w:pBdr>
      <w:tabs>
        <w:tab w:val="center" w:pos="4153"/>
        <w:tab w:val="right" w:pos="8305"/>
      </w:tabs>
      <w:jc w:val="center"/>
    </w:pPr>
    <w:rPr>
      <w:rFonts w:ascii="Calibri" w:hAnsi="Calibri" w:eastAsia="宋体" w:cs="Calibri"/>
      <w:color w:val="000000"/>
      <w:kern w:val="1"/>
      <w:sz w:val="18"/>
      <w:szCs w:val="18"/>
    </w:rPr>
  </w:style>
  <w:style w:type="paragraph" w:styleId="15">
    <w:name w:val="toc 1"/>
    <w:basedOn w:val="1"/>
    <w:next w:val="1"/>
    <w:qFormat/>
    <w:uiPriority w:val="39"/>
  </w:style>
  <w:style w:type="paragraph" w:styleId="16">
    <w:name w:val="toc 4"/>
    <w:basedOn w:val="1"/>
    <w:next w:val="1"/>
    <w:qFormat/>
    <w:uiPriority w:val="39"/>
    <w:pPr>
      <w:ind w:left="1260" w:leftChars="600"/>
    </w:pPr>
  </w:style>
  <w:style w:type="paragraph" w:styleId="17">
    <w:name w:val="toc 6"/>
    <w:basedOn w:val="1"/>
    <w:next w:val="1"/>
    <w:uiPriority w:val="39"/>
    <w:pPr>
      <w:ind w:left="2100" w:leftChars="1000"/>
    </w:pPr>
  </w:style>
  <w:style w:type="paragraph" w:styleId="18">
    <w:name w:val="toc 2"/>
    <w:basedOn w:val="1"/>
    <w:next w:val="1"/>
    <w:uiPriority w:val="39"/>
    <w:pPr>
      <w:ind w:left="420" w:leftChars="200"/>
    </w:pPr>
  </w:style>
  <w:style w:type="paragraph" w:styleId="19">
    <w:name w:val="toc 9"/>
    <w:basedOn w:val="1"/>
    <w:next w:val="1"/>
    <w:uiPriority w:val="39"/>
    <w:pPr>
      <w:ind w:left="3360" w:leftChars="1600"/>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cs="宋体"/>
      <w:sz w:val="24"/>
      <w:szCs w:val="24"/>
    </w:rPr>
  </w:style>
  <w:style w:type="character" w:styleId="22">
    <w:name w:val="page number"/>
    <w:qFormat/>
    <w:uiPriority w:val="0"/>
    <w:rPr>
      <w:rFonts w:ascii="Times New Roman" w:hAnsi="Times New Roman"/>
    </w:rPr>
  </w:style>
  <w:style w:type="character" w:styleId="23">
    <w:name w:val="Hyperlink"/>
    <w:qFormat/>
    <w:uiPriority w:val="99"/>
    <w:rPr>
      <w:color w:val="0000FF"/>
      <w:u w:val="single"/>
    </w:rPr>
  </w:style>
  <w:style w:type="table" w:styleId="25">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6">
    <w:name w:val="标题 1 Char"/>
    <w:link w:val="2"/>
    <w:qFormat/>
    <w:uiPriority w:val="0"/>
    <w:rPr>
      <w:rFonts w:ascii="Calibri" w:hAnsi="Calibri" w:eastAsia="宋体" w:cs="Calibri"/>
      <w:b/>
      <w:bCs/>
      <w:color w:val="000000"/>
      <w:kern w:val="44"/>
      <w:sz w:val="44"/>
      <w:szCs w:val="44"/>
    </w:rPr>
  </w:style>
  <w:style w:type="character" w:customStyle="1" w:styleId="27">
    <w:name w:val="标题 2 Char"/>
    <w:link w:val="3"/>
    <w:qFormat/>
    <w:uiPriority w:val="0"/>
    <w:rPr>
      <w:rFonts w:ascii="Cambria" w:hAnsi="Cambria" w:eastAsia="宋体" w:cs="Times New Roman"/>
      <w:b/>
      <w:bCs/>
      <w:color w:val="000000"/>
      <w:kern w:val="0"/>
      <w:sz w:val="32"/>
      <w:szCs w:val="32"/>
    </w:rPr>
  </w:style>
  <w:style w:type="character" w:customStyle="1" w:styleId="28">
    <w:name w:val="正文文本 Char"/>
    <w:link w:val="7"/>
    <w:qFormat/>
    <w:uiPriority w:val="0"/>
    <w:rPr>
      <w:sz w:val="24"/>
    </w:rPr>
  </w:style>
  <w:style w:type="character" w:customStyle="1" w:styleId="29">
    <w:name w:val="页脚 Char"/>
    <w:link w:val="12"/>
    <w:qFormat/>
    <w:uiPriority w:val="99"/>
    <w:rPr>
      <w:rFonts w:ascii="Calibri" w:hAnsi="Calibri" w:eastAsia="宋体" w:cs="Calibri"/>
      <w:color w:val="000000"/>
      <w:kern w:val="1"/>
      <w:sz w:val="18"/>
      <w:szCs w:val="18"/>
    </w:rPr>
  </w:style>
  <w:style w:type="character" w:customStyle="1" w:styleId="30">
    <w:name w:val="页眉 Char"/>
    <w:link w:val="14"/>
    <w:qFormat/>
    <w:uiPriority w:val="0"/>
    <w:rPr>
      <w:rFonts w:ascii="Calibri" w:hAnsi="Calibri" w:eastAsia="宋体" w:cs="Calibri"/>
      <w:color w:val="000000"/>
      <w:kern w:val="1"/>
      <w:sz w:val="18"/>
      <w:szCs w:val="18"/>
    </w:rPr>
  </w:style>
  <w:style w:type="character" w:customStyle="1" w:styleId="31">
    <w:name w:val="正文文本 Char1"/>
    <w:qFormat/>
    <w:uiPriority w:val="0"/>
    <w:rPr>
      <w:rFonts w:ascii="Calibri" w:hAnsi="Calibri" w:eastAsia="宋体" w:cs="Calibri"/>
      <w:color w:val="000000"/>
      <w:kern w:val="0"/>
    </w:rPr>
  </w:style>
  <w:style w:type="paragraph" w:customStyle="1" w:styleId="32">
    <w:name w:val="_Style 31"/>
    <w:basedOn w:val="2"/>
    <w:next w:val="1"/>
    <w:qFormat/>
    <w:uiPriority w:val="0"/>
    <w:pPr>
      <w:widowControl/>
      <w:spacing w:before="480" w:beforeLines="0" w:after="0" w:afterLines="0" w:line="276" w:lineRule="auto"/>
      <w:jc w:val="left"/>
      <w:outlineLvl w:val="9"/>
    </w:pPr>
    <w:rPr>
      <w:rFonts w:ascii="Cambria" w:hAnsi="Cambria" w:cs="Times New Roman"/>
      <w:color w:val="365F91"/>
      <w:kern w:val="0"/>
      <w:sz w:val="28"/>
      <w:szCs w:val="28"/>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WPSOffice手动目录 2"/>
    <w:qFormat/>
    <w:uiPriority w:val="0"/>
    <w:pPr>
      <w:ind w:leftChars="200"/>
    </w:pPr>
    <w:rPr>
      <w:rFonts w:ascii="Times New Roman" w:hAnsi="Times New Roman" w:eastAsia="宋体" w:cs="Times New Roman"/>
      <w:lang w:val="en-US" w:eastAsia="zh-CN" w:bidi="ar-SA"/>
    </w:rPr>
  </w:style>
  <w:style w:type="paragraph" w:customStyle="1" w:styleId="35">
    <w:name w:val="Table Text"/>
    <w:semiHidden/>
    <w:qFormat/>
    <w:uiPriority w:val="0"/>
    <w:pPr>
      <w:kinsoku w:val="0"/>
      <w:autoSpaceDE w:val="0"/>
      <w:autoSpaceDN w:val="0"/>
      <w:adjustRightInd w:val="0"/>
      <w:snapToGrid w:val="0"/>
      <w:textAlignment w:val="baseline"/>
    </w:pPr>
    <w:rPr>
      <w:rFonts w:ascii="仿宋" w:hAnsi="仿宋" w:eastAsia="仿宋" w:cs="仿宋"/>
      <w:snapToGrid w:val="0"/>
      <w:color w:val="000000"/>
      <w:sz w:val="24"/>
      <w:szCs w:val="24"/>
      <w:lang w:val="en-US" w:eastAsia="en-US" w:bidi="ar-SA"/>
    </w:rPr>
  </w:style>
  <w:style w:type="paragraph" w:customStyle="1" w:styleId="36">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21317</Words>
  <Characters>22676</Characters>
  <Lines>207</Lines>
  <Paragraphs>58</Paragraphs>
  <ScaleCrop>false</ScaleCrop>
  <LinksUpToDate>false</LinksUpToDate>
  <CharactersWithSpaces>22955</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2017-07-10T07:57:00Z</dcterms:created>
  <dc:creator>Administrator</dc:creator>
  <cp:lastModifiedBy>Lenovo</cp:lastModifiedBy>
  <cp:lastPrinted>2024-07-26T08:03:00Z</cp:lastPrinted>
  <dcterms:modified xsi:type="dcterms:W3CDTF">2025-05-26T08:22:23Z</dcterms:modified>
  <dc:title>陵水黎族自治县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189E3B56456140979FF5A39F7C11725D_13</vt:lpwstr>
  </property>
</Properties>
</file>