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cs="黑体"/>
          <w:b/>
          <w:bCs/>
          <w:sz w:val="44"/>
          <w:szCs w:val="44"/>
        </w:rPr>
      </w:pPr>
    </w:p>
    <w:p>
      <w:pPr>
        <w:spacing w:line="600" w:lineRule="exact"/>
        <w:rPr>
          <w:rFonts w:ascii="黑体" w:hAnsi="黑体" w:eastAsia="黑体" w:cs="黑体"/>
          <w:b/>
          <w:bCs/>
          <w:sz w:val="44"/>
          <w:szCs w:val="44"/>
        </w:rPr>
      </w:pPr>
    </w:p>
    <w:p>
      <w:pPr>
        <w:pStyle w:val="2"/>
      </w:pPr>
    </w:p>
    <w:p>
      <w:pPr>
        <w:spacing w:line="700" w:lineRule="exact"/>
        <w:jc w:val="center"/>
        <w:rPr>
          <w:rFonts w:ascii="黑体" w:hAnsi="黑体" w:eastAsia="黑体" w:cs="黑体"/>
          <w:b/>
          <w:bCs/>
          <w:sz w:val="44"/>
          <w:szCs w:val="44"/>
        </w:rPr>
      </w:pPr>
      <w:r>
        <w:rPr>
          <w:rFonts w:hint="eastAsia" w:ascii="黑体" w:hAnsi="黑体" w:eastAsia="黑体" w:cs="黑体"/>
          <w:b/>
          <w:bCs/>
          <w:sz w:val="44"/>
          <w:szCs w:val="44"/>
        </w:rPr>
        <w:t>三亚市海棠区自然灾害救助应急预案</w:t>
      </w:r>
    </w:p>
    <w:p>
      <w:pPr>
        <w:spacing w:line="700" w:lineRule="exact"/>
        <w:jc w:val="center"/>
        <w:rPr>
          <w:rFonts w:ascii="宋体" w:hAnsi="宋体" w:eastAsia="宋体" w:cs="宋体"/>
          <w:b/>
          <w:bCs/>
          <w:spacing w:val="-3"/>
          <w:sz w:val="44"/>
          <w:szCs w:val="44"/>
        </w:rPr>
      </w:pPr>
      <w:r>
        <w:rPr>
          <w:rFonts w:hint="eastAsia" w:ascii="黑体" w:hAnsi="黑体" w:eastAsia="黑体" w:cs="宋体"/>
          <w:sz w:val="36"/>
          <w:szCs w:val="36"/>
        </w:rPr>
        <w:t>（</w:t>
      </w:r>
      <w:r>
        <w:rPr>
          <w:rFonts w:ascii="黑体" w:hAnsi="黑体" w:eastAsia="黑体" w:cs="宋体"/>
          <w:sz w:val="36"/>
          <w:szCs w:val="36"/>
        </w:rPr>
        <w:t>1.0</w:t>
      </w:r>
      <w:r>
        <w:rPr>
          <w:rFonts w:hint="eastAsia" w:ascii="黑体" w:hAnsi="黑体" w:eastAsia="黑体" w:cs="宋体"/>
          <w:sz w:val="36"/>
          <w:szCs w:val="36"/>
        </w:rPr>
        <w:t>版）</w:t>
      </w:r>
    </w:p>
    <w:p>
      <w:pPr>
        <w:spacing w:line="600" w:lineRule="exact"/>
        <w:jc w:val="center"/>
        <w:rPr>
          <w:rFonts w:ascii="宋体" w:hAnsi="宋体" w:eastAsia="宋体" w:cs="宋体"/>
          <w:b/>
          <w:bCs/>
          <w:spacing w:val="-3"/>
          <w:sz w:val="44"/>
          <w:szCs w:val="44"/>
        </w:rPr>
      </w:pPr>
    </w:p>
    <w:p>
      <w:pPr>
        <w:spacing w:line="600" w:lineRule="exact"/>
        <w:jc w:val="center"/>
        <w:rPr>
          <w:rFonts w:ascii="宋体" w:hAnsi="宋体" w:eastAsia="宋体" w:cs="宋体"/>
          <w:b/>
          <w:bCs/>
          <w:spacing w:val="-3"/>
          <w:sz w:val="44"/>
          <w:szCs w:val="44"/>
        </w:rPr>
      </w:pPr>
    </w:p>
    <w:p>
      <w:pPr>
        <w:spacing w:line="600" w:lineRule="exact"/>
        <w:jc w:val="center"/>
        <w:rPr>
          <w:rFonts w:ascii="宋体" w:hAnsi="宋体" w:eastAsia="宋体" w:cs="宋体"/>
          <w:b/>
          <w:bCs/>
          <w:spacing w:val="-3"/>
          <w:sz w:val="44"/>
          <w:szCs w:val="44"/>
        </w:rPr>
      </w:pPr>
    </w:p>
    <w:p>
      <w:pPr>
        <w:spacing w:line="600" w:lineRule="exact"/>
        <w:jc w:val="both"/>
        <w:rPr>
          <w:rFonts w:ascii="宋体" w:hAnsi="宋体" w:eastAsia="宋体" w:cs="宋体"/>
          <w:b/>
          <w:bCs/>
          <w:spacing w:val="-3"/>
          <w:sz w:val="44"/>
          <w:szCs w:val="44"/>
        </w:rPr>
      </w:pPr>
    </w:p>
    <w:p>
      <w:pPr>
        <w:spacing w:line="600" w:lineRule="exact"/>
        <w:jc w:val="center"/>
        <w:rPr>
          <w:rFonts w:ascii="宋体" w:hAnsi="宋体" w:eastAsia="宋体" w:cs="宋体"/>
          <w:b/>
          <w:bCs/>
          <w:spacing w:val="-3"/>
          <w:sz w:val="44"/>
          <w:szCs w:val="44"/>
        </w:rPr>
      </w:pPr>
    </w:p>
    <w:p>
      <w:pPr>
        <w:spacing w:line="600" w:lineRule="exact"/>
        <w:rPr>
          <w:rFonts w:ascii="宋体" w:hAnsi="宋体" w:eastAsia="宋体" w:cs="宋体"/>
          <w:b/>
          <w:bCs/>
          <w:spacing w:val="-3"/>
          <w:sz w:val="44"/>
          <w:szCs w:val="44"/>
        </w:rPr>
      </w:pPr>
    </w:p>
    <w:p>
      <w:pPr>
        <w:spacing w:line="600" w:lineRule="exact"/>
        <w:rPr>
          <w:rFonts w:ascii="宋体" w:hAnsi="宋体" w:eastAsia="宋体" w:cs="宋体"/>
          <w:b/>
          <w:bCs/>
          <w:spacing w:val="-3"/>
          <w:sz w:val="44"/>
          <w:szCs w:val="44"/>
        </w:rPr>
      </w:pPr>
    </w:p>
    <w:p>
      <w:pPr>
        <w:spacing w:line="600" w:lineRule="exact"/>
        <w:jc w:val="center"/>
        <w:rPr>
          <w:rFonts w:ascii="宋体" w:hAnsi="宋体" w:eastAsia="宋体" w:cs="宋体"/>
          <w:b/>
          <w:bCs/>
          <w:spacing w:val="-3"/>
          <w:sz w:val="44"/>
          <w:szCs w:val="44"/>
        </w:rPr>
      </w:pPr>
    </w:p>
    <w:p>
      <w:pPr>
        <w:pStyle w:val="2"/>
        <w:rPr>
          <w:rFonts w:ascii="宋体" w:hAnsi="宋体" w:eastAsia="宋体" w:cs="宋体"/>
          <w:b/>
          <w:bCs/>
          <w:spacing w:val="-3"/>
          <w:sz w:val="44"/>
          <w:szCs w:val="44"/>
        </w:rPr>
      </w:pPr>
    </w:p>
    <w:p>
      <w:pPr>
        <w:rPr>
          <w:rFonts w:ascii="宋体" w:hAnsi="宋体" w:eastAsia="宋体" w:cs="宋体"/>
          <w:b/>
          <w:bCs/>
          <w:spacing w:val="-3"/>
          <w:sz w:val="44"/>
          <w:szCs w:val="44"/>
        </w:rPr>
      </w:pPr>
    </w:p>
    <w:p>
      <w:pPr>
        <w:pStyle w:val="2"/>
        <w:rPr>
          <w:rFonts w:ascii="宋体" w:hAnsi="宋体" w:eastAsia="宋体" w:cs="宋体"/>
          <w:b/>
          <w:bCs/>
          <w:spacing w:val="-3"/>
          <w:sz w:val="44"/>
          <w:szCs w:val="44"/>
        </w:rPr>
      </w:pPr>
    </w:p>
    <w:p>
      <w:pPr>
        <w:rPr>
          <w:rFonts w:ascii="宋体" w:hAnsi="宋体" w:eastAsia="宋体" w:cs="宋体"/>
          <w:b/>
          <w:bCs/>
          <w:spacing w:val="-3"/>
          <w:sz w:val="44"/>
          <w:szCs w:val="44"/>
        </w:rPr>
      </w:pPr>
    </w:p>
    <w:p>
      <w:pPr>
        <w:pStyle w:val="2"/>
      </w:pPr>
    </w:p>
    <w:p/>
    <w:p>
      <w:pPr>
        <w:pStyle w:val="2"/>
      </w:pPr>
    </w:p>
    <w:p/>
    <w:p>
      <w:pPr>
        <w:pStyle w:val="12"/>
        <w:kinsoku/>
        <w:autoSpaceDE/>
        <w:autoSpaceDN/>
        <w:adjustRightInd/>
        <w:snapToGrid/>
        <w:spacing w:line="700" w:lineRule="exact"/>
        <w:jc w:val="center"/>
        <w:textAlignment w:val="auto"/>
        <w:rPr>
          <w:rFonts w:cs="MingLiU" w:asciiTheme="minorEastAsia" w:hAnsiTheme="minorEastAsia" w:eastAsiaTheme="minorEastAsia"/>
          <w:b/>
          <w:snapToGrid/>
          <w:color w:val="auto"/>
          <w:sz w:val="32"/>
          <w:szCs w:val="32"/>
        </w:rPr>
      </w:pPr>
      <w:r>
        <w:rPr>
          <w:rFonts w:hint="eastAsia" w:cs="MingLiU" w:asciiTheme="minorEastAsia" w:hAnsiTheme="minorEastAsia" w:eastAsiaTheme="minorEastAsia"/>
          <w:b/>
          <w:snapToGrid/>
          <w:color w:val="auto"/>
          <w:sz w:val="32"/>
          <w:szCs w:val="32"/>
        </w:rPr>
        <w:t>三亚市海棠区人民政府</w:t>
      </w:r>
    </w:p>
    <w:p>
      <w:pPr>
        <w:pStyle w:val="12"/>
        <w:kinsoku/>
        <w:autoSpaceDE/>
        <w:autoSpaceDN/>
        <w:adjustRightInd/>
        <w:snapToGrid/>
        <w:spacing w:line="700" w:lineRule="exact"/>
        <w:jc w:val="center"/>
        <w:textAlignment w:val="auto"/>
        <w:rPr>
          <w:rFonts w:cs="MingLiU" w:asciiTheme="minorEastAsia" w:hAnsiTheme="minorEastAsia" w:eastAsiaTheme="minorEastAsia"/>
          <w:b/>
          <w:snapToGrid/>
          <w:color w:val="auto"/>
          <w:sz w:val="32"/>
          <w:szCs w:val="32"/>
        </w:rPr>
      </w:pPr>
      <w:r>
        <w:rPr>
          <w:rFonts w:hint="eastAsia" w:cs="MingLiU" w:asciiTheme="minorEastAsia" w:hAnsiTheme="minorEastAsia" w:eastAsiaTheme="minorEastAsia"/>
          <w:b/>
          <w:snapToGrid/>
          <w:color w:val="auto"/>
          <w:sz w:val="32"/>
          <w:szCs w:val="32"/>
        </w:rPr>
        <w:t>2</w:t>
      </w:r>
      <w:r>
        <w:rPr>
          <w:rFonts w:cs="MingLiU" w:asciiTheme="minorEastAsia" w:hAnsiTheme="minorEastAsia" w:eastAsiaTheme="minorEastAsia"/>
          <w:b/>
          <w:snapToGrid/>
          <w:color w:val="auto"/>
          <w:sz w:val="32"/>
          <w:szCs w:val="32"/>
        </w:rPr>
        <w:t>02</w:t>
      </w:r>
      <w:r>
        <w:rPr>
          <w:rFonts w:hint="eastAsia" w:cs="MingLiU" w:asciiTheme="minorEastAsia" w:hAnsiTheme="minorEastAsia" w:eastAsiaTheme="minorEastAsia"/>
          <w:b/>
          <w:snapToGrid/>
          <w:color w:val="auto"/>
          <w:sz w:val="32"/>
          <w:szCs w:val="32"/>
          <w:lang w:val="en-US" w:eastAsia="zh-CN"/>
        </w:rPr>
        <w:t>5</w:t>
      </w:r>
      <w:r>
        <w:rPr>
          <w:rFonts w:hint="eastAsia" w:cs="MingLiU" w:asciiTheme="minorEastAsia" w:hAnsiTheme="minorEastAsia" w:eastAsiaTheme="minorEastAsia"/>
          <w:b/>
          <w:snapToGrid/>
          <w:color w:val="auto"/>
          <w:sz w:val="32"/>
          <w:szCs w:val="32"/>
        </w:rPr>
        <w:t>年</w:t>
      </w:r>
      <w:r>
        <w:rPr>
          <w:rFonts w:hint="eastAsia" w:cs="MingLiU" w:asciiTheme="minorEastAsia" w:hAnsiTheme="minorEastAsia" w:eastAsiaTheme="minorEastAsia"/>
          <w:b/>
          <w:snapToGrid/>
          <w:color w:val="auto"/>
          <w:sz w:val="32"/>
          <w:szCs w:val="32"/>
          <w:lang w:val="en-US" w:eastAsia="zh-CN"/>
        </w:rPr>
        <w:t>5</w:t>
      </w:r>
      <w:r>
        <w:rPr>
          <w:rFonts w:hint="eastAsia" w:cs="MingLiU" w:asciiTheme="minorEastAsia" w:hAnsiTheme="minorEastAsia" w:eastAsiaTheme="minorEastAsia"/>
          <w:b/>
          <w:snapToGrid/>
          <w:color w:val="auto"/>
          <w:sz w:val="32"/>
          <w:szCs w:val="32"/>
        </w:rPr>
        <w:t>月</w:t>
      </w:r>
    </w:p>
    <w:p>
      <w:pPr>
        <w:pStyle w:val="12"/>
        <w:kinsoku/>
        <w:autoSpaceDE/>
        <w:autoSpaceDN/>
        <w:adjustRightInd/>
        <w:snapToGrid/>
        <w:spacing w:before="100" w:beforeAutospacing="1" w:after="100" w:afterAutospacing="1" w:line="240" w:lineRule="atLeast"/>
        <w:jc w:val="center"/>
        <w:textAlignment w:val="auto"/>
        <w:rPr>
          <w:rFonts w:cs="MingLiU" w:asciiTheme="minorEastAsia" w:hAnsiTheme="minorEastAsia" w:eastAsiaTheme="minorEastAsia"/>
          <w:b/>
          <w:snapToGrid/>
          <w:color w:val="auto"/>
          <w:sz w:val="28"/>
          <w:szCs w:val="28"/>
        </w:rPr>
      </w:pPr>
    </w:p>
    <w:p>
      <w:pPr>
        <w:spacing w:line="600" w:lineRule="exact"/>
        <w:jc w:val="center"/>
        <w:rPr>
          <w:rFonts w:ascii="宋体" w:hAnsi="宋体" w:eastAsia="宋体" w:cs="宋体"/>
          <w:b/>
          <w:bCs/>
          <w:spacing w:val="-3"/>
          <w:sz w:val="44"/>
          <w:szCs w:val="44"/>
        </w:rPr>
        <w:sectPr>
          <w:pgSz w:w="11906" w:h="16838"/>
          <w:pgMar w:top="1814" w:right="1474" w:bottom="1814" w:left="1587" w:header="851" w:footer="992" w:gutter="0"/>
          <w:cols w:space="425" w:num="1"/>
          <w:docGrid w:type="lines" w:linePitch="312" w:charSpace="0"/>
        </w:sectPr>
      </w:pPr>
    </w:p>
    <w:p>
      <w:pPr>
        <w:spacing w:line="600" w:lineRule="exact"/>
        <w:jc w:val="center"/>
        <w:rPr>
          <w:rFonts w:asciiTheme="minorEastAsia" w:hAnsiTheme="minorEastAsia" w:eastAsiaTheme="minorEastAsia" w:cstheme="minorEastAsia"/>
          <w:b/>
          <w:bCs/>
          <w:spacing w:val="-3"/>
          <w:sz w:val="32"/>
          <w:szCs w:val="32"/>
        </w:rPr>
      </w:pPr>
      <w:r>
        <w:rPr>
          <w:rFonts w:hint="eastAsia" w:asciiTheme="minorEastAsia" w:hAnsiTheme="minorEastAsia" w:eastAsiaTheme="minorEastAsia" w:cstheme="minorEastAsia"/>
          <w:b/>
          <w:bCs/>
          <w:spacing w:val="-3"/>
          <w:sz w:val="32"/>
          <w:szCs w:val="32"/>
        </w:rPr>
        <w:t>目 录</w:t>
      </w:r>
    </w:p>
    <w:p>
      <w:pPr>
        <w:pStyle w:val="10"/>
        <w:tabs>
          <w:tab w:val="right" w:leader="dot" w:pos="8845"/>
        </w:tabs>
        <w:spacing w:line="360" w:lineRule="auto"/>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bCs/>
          <w:spacing w:val="-3"/>
          <w:sz w:val="28"/>
          <w:szCs w:val="28"/>
        </w:rPr>
        <w:fldChar w:fldCharType="begin"/>
      </w:r>
      <w:r>
        <w:rPr>
          <w:rFonts w:hint="eastAsia" w:asciiTheme="minorEastAsia" w:hAnsiTheme="minorEastAsia" w:eastAsiaTheme="minorEastAsia" w:cstheme="minorEastAsia"/>
          <w:b/>
          <w:bCs/>
          <w:spacing w:val="-3"/>
          <w:sz w:val="28"/>
          <w:szCs w:val="28"/>
        </w:rPr>
        <w:instrText xml:space="preserve">TOC \o "1-3" \h \u </w:instrText>
      </w:r>
      <w:r>
        <w:rPr>
          <w:rFonts w:hint="eastAsia" w:asciiTheme="minorEastAsia" w:hAnsiTheme="minorEastAsia" w:eastAsiaTheme="minorEastAsia" w:cstheme="minorEastAsia"/>
          <w:b/>
          <w:bCs/>
          <w:spacing w:val="-3"/>
          <w:sz w:val="28"/>
          <w:szCs w:val="28"/>
        </w:rPr>
        <w:fldChar w:fldCharType="separate"/>
      </w:r>
      <w:r>
        <w:fldChar w:fldCharType="begin"/>
      </w:r>
      <w:r>
        <w:instrText xml:space="preserve"> HYPERLINK \l "_Toc13854" </w:instrText>
      </w:r>
      <w:r>
        <w:fldChar w:fldCharType="separate"/>
      </w:r>
      <w:r>
        <w:rPr>
          <w:rFonts w:hint="eastAsia" w:asciiTheme="minorEastAsia" w:hAnsiTheme="minorEastAsia" w:eastAsiaTheme="minorEastAsia" w:cstheme="minorEastAsia"/>
          <w:b/>
          <w:sz w:val="28"/>
          <w:szCs w:val="28"/>
        </w:rPr>
        <w:t>1 总则</w:t>
      </w:r>
      <w:r>
        <w:rPr>
          <w:rFonts w:hint="eastAsia" w:asciiTheme="minorEastAsia" w:hAnsiTheme="minorEastAsia" w:eastAsiaTheme="minorEastAsia" w:cstheme="minorEastAsia"/>
          <w:b/>
          <w:sz w:val="28"/>
          <w:szCs w:val="28"/>
        </w:rPr>
        <w:tab/>
      </w:r>
      <w:r>
        <w:rPr>
          <w:rFonts w:hint="eastAsia" w:asciiTheme="minorEastAsia" w:hAnsiTheme="minorEastAsia" w:eastAsiaTheme="minorEastAsia" w:cstheme="minorEastAsia"/>
          <w:b/>
          <w:sz w:val="28"/>
          <w:szCs w:val="28"/>
        </w:rPr>
        <w:fldChar w:fldCharType="begin"/>
      </w:r>
      <w:r>
        <w:rPr>
          <w:rFonts w:hint="eastAsia" w:asciiTheme="minorEastAsia" w:hAnsiTheme="minorEastAsia" w:eastAsiaTheme="minorEastAsia" w:cstheme="minorEastAsia"/>
          <w:b/>
          <w:sz w:val="28"/>
          <w:szCs w:val="28"/>
        </w:rPr>
        <w:instrText xml:space="preserve"> PAGEREF _Toc13854 \h </w:instrText>
      </w:r>
      <w:r>
        <w:rPr>
          <w:rFonts w:hint="eastAsia" w:asciiTheme="minorEastAsia" w:hAnsiTheme="minorEastAsia" w:eastAsiaTheme="minorEastAsia" w:cstheme="minorEastAsia"/>
          <w:b/>
          <w:sz w:val="28"/>
          <w:szCs w:val="28"/>
        </w:rPr>
        <w:fldChar w:fldCharType="separate"/>
      </w:r>
      <w:r>
        <w:rPr>
          <w:rFonts w:hint="eastAsia" w:asciiTheme="minorEastAsia" w:hAnsiTheme="minorEastAsia" w:eastAsiaTheme="minorEastAsia" w:cstheme="minorEastAsia"/>
          <w:b/>
          <w:sz w:val="28"/>
          <w:szCs w:val="28"/>
        </w:rPr>
        <w:t>4</w:t>
      </w:r>
      <w:r>
        <w:rPr>
          <w:rFonts w:hint="eastAsia" w:asciiTheme="minorEastAsia" w:hAnsiTheme="minorEastAsia" w:eastAsiaTheme="minorEastAsia" w:cstheme="minorEastAsia"/>
          <w:b/>
          <w:sz w:val="28"/>
          <w:szCs w:val="28"/>
        </w:rPr>
        <w:fldChar w:fldCharType="end"/>
      </w:r>
      <w:r>
        <w:rPr>
          <w:rFonts w:hint="eastAsia" w:asciiTheme="minorEastAsia" w:hAnsiTheme="minorEastAsia" w:eastAsiaTheme="minorEastAsia" w:cstheme="minorEastAsia"/>
          <w:b/>
          <w:sz w:val="28"/>
          <w:szCs w:val="28"/>
        </w:rPr>
        <w:fldChar w:fldCharType="end"/>
      </w:r>
    </w:p>
    <w:p>
      <w:pPr>
        <w:pStyle w:val="11"/>
        <w:tabs>
          <w:tab w:val="right" w:leader="dot" w:pos="8845"/>
        </w:tabs>
        <w:spacing w:line="360" w:lineRule="auto"/>
        <w:rPr>
          <w:rFonts w:asciiTheme="minorEastAsia" w:hAnsiTheme="minorEastAsia" w:eastAsiaTheme="minorEastAsia" w:cstheme="minorEastAsia"/>
          <w:sz w:val="28"/>
          <w:szCs w:val="28"/>
        </w:rPr>
      </w:pPr>
      <w:r>
        <w:fldChar w:fldCharType="begin"/>
      </w:r>
      <w:r>
        <w:instrText xml:space="preserve"> HYPERLINK \l "_Toc24528" </w:instrText>
      </w:r>
      <w:r>
        <w:fldChar w:fldCharType="separate"/>
      </w:r>
      <w:r>
        <w:rPr>
          <w:rFonts w:hint="eastAsia" w:asciiTheme="minorEastAsia" w:hAnsiTheme="minorEastAsia" w:eastAsiaTheme="minorEastAsia" w:cstheme="minorEastAsia"/>
          <w:sz w:val="28"/>
          <w:szCs w:val="28"/>
        </w:rPr>
        <w:t>1.1 编制目的</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_Toc24528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1"/>
        <w:tabs>
          <w:tab w:val="right" w:leader="dot" w:pos="8845"/>
        </w:tabs>
        <w:spacing w:line="360" w:lineRule="auto"/>
        <w:rPr>
          <w:rFonts w:asciiTheme="minorEastAsia" w:hAnsiTheme="minorEastAsia" w:eastAsiaTheme="minorEastAsia" w:cstheme="minorEastAsia"/>
          <w:sz w:val="28"/>
          <w:szCs w:val="28"/>
        </w:rPr>
      </w:pPr>
      <w:r>
        <w:fldChar w:fldCharType="begin"/>
      </w:r>
      <w:r>
        <w:instrText xml:space="preserve"> HYPERLINK \l "_Toc3045" </w:instrText>
      </w:r>
      <w:r>
        <w:fldChar w:fldCharType="separate"/>
      </w:r>
      <w:r>
        <w:rPr>
          <w:rFonts w:hint="eastAsia" w:asciiTheme="minorEastAsia" w:hAnsiTheme="minorEastAsia" w:eastAsiaTheme="minorEastAsia" w:cstheme="minorEastAsia"/>
          <w:sz w:val="28"/>
          <w:szCs w:val="28"/>
        </w:rPr>
        <w:t>1.2 编制依据</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_Toc3045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1"/>
        <w:tabs>
          <w:tab w:val="right" w:leader="dot" w:pos="8845"/>
        </w:tabs>
        <w:spacing w:line="360" w:lineRule="auto"/>
        <w:rPr>
          <w:rFonts w:asciiTheme="minorEastAsia" w:hAnsiTheme="minorEastAsia" w:eastAsiaTheme="minorEastAsia" w:cstheme="minorEastAsia"/>
          <w:sz w:val="28"/>
          <w:szCs w:val="28"/>
        </w:rPr>
      </w:pPr>
      <w:r>
        <w:fldChar w:fldCharType="begin"/>
      </w:r>
      <w:r>
        <w:instrText xml:space="preserve"> HYPERLINK \l "_Toc27413" </w:instrText>
      </w:r>
      <w:r>
        <w:fldChar w:fldCharType="separate"/>
      </w:r>
      <w:r>
        <w:rPr>
          <w:rFonts w:hint="eastAsia" w:asciiTheme="minorEastAsia" w:hAnsiTheme="minorEastAsia" w:eastAsiaTheme="minorEastAsia" w:cstheme="minorEastAsia"/>
          <w:sz w:val="28"/>
          <w:szCs w:val="28"/>
        </w:rPr>
        <w:t>1.3 适用范围</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_Toc27413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1"/>
        <w:tabs>
          <w:tab w:val="right" w:leader="dot" w:pos="8845"/>
        </w:tabs>
        <w:spacing w:line="360" w:lineRule="auto"/>
        <w:rPr>
          <w:rFonts w:asciiTheme="minorEastAsia" w:hAnsiTheme="minorEastAsia" w:eastAsiaTheme="minorEastAsia" w:cstheme="minorEastAsia"/>
          <w:sz w:val="28"/>
          <w:szCs w:val="28"/>
        </w:rPr>
      </w:pPr>
      <w:r>
        <w:fldChar w:fldCharType="begin"/>
      </w:r>
      <w:r>
        <w:instrText xml:space="preserve"> HYPERLINK \l "_Toc18025" </w:instrText>
      </w:r>
      <w:r>
        <w:fldChar w:fldCharType="separate"/>
      </w:r>
      <w:r>
        <w:rPr>
          <w:rFonts w:hint="eastAsia" w:asciiTheme="minorEastAsia" w:hAnsiTheme="minorEastAsia" w:eastAsiaTheme="minorEastAsia" w:cstheme="minorEastAsia"/>
          <w:sz w:val="28"/>
          <w:szCs w:val="28"/>
        </w:rPr>
        <w:t>1.4 工作原则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_Toc18025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0"/>
        <w:tabs>
          <w:tab w:val="right" w:leader="dot" w:pos="8845"/>
        </w:tabs>
        <w:spacing w:line="360" w:lineRule="auto"/>
        <w:rPr>
          <w:rFonts w:asciiTheme="minorEastAsia" w:hAnsiTheme="minorEastAsia" w:eastAsiaTheme="minorEastAsia" w:cstheme="minorEastAsia"/>
          <w:b/>
          <w:sz w:val="28"/>
          <w:szCs w:val="28"/>
        </w:rPr>
      </w:pPr>
      <w:r>
        <w:fldChar w:fldCharType="begin"/>
      </w:r>
      <w:r>
        <w:instrText xml:space="preserve"> HYPERLINK \l "_Toc8245" </w:instrText>
      </w:r>
      <w:r>
        <w:fldChar w:fldCharType="separate"/>
      </w:r>
      <w:r>
        <w:rPr>
          <w:rFonts w:hint="eastAsia" w:asciiTheme="minorEastAsia" w:hAnsiTheme="minorEastAsia" w:eastAsiaTheme="minorEastAsia" w:cstheme="minorEastAsia"/>
          <w:b/>
          <w:sz w:val="28"/>
          <w:szCs w:val="28"/>
        </w:rPr>
        <w:t>2 组织机构和职责</w:t>
      </w:r>
      <w:r>
        <w:rPr>
          <w:rFonts w:hint="eastAsia" w:asciiTheme="minorEastAsia" w:hAnsiTheme="minorEastAsia" w:eastAsiaTheme="minorEastAsia" w:cstheme="minorEastAsia"/>
          <w:b/>
          <w:sz w:val="28"/>
          <w:szCs w:val="28"/>
        </w:rPr>
        <w:tab/>
      </w:r>
      <w:r>
        <w:rPr>
          <w:rFonts w:hint="eastAsia" w:asciiTheme="minorEastAsia" w:hAnsiTheme="minorEastAsia" w:eastAsiaTheme="minorEastAsia" w:cstheme="minorEastAsia"/>
          <w:b/>
          <w:sz w:val="28"/>
          <w:szCs w:val="28"/>
        </w:rPr>
        <w:fldChar w:fldCharType="begin"/>
      </w:r>
      <w:r>
        <w:rPr>
          <w:rFonts w:hint="eastAsia" w:asciiTheme="minorEastAsia" w:hAnsiTheme="minorEastAsia" w:eastAsiaTheme="minorEastAsia" w:cstheme="minorEastAsia"/>
          <w:b/>
          <w:sz w:val="28"/>
          <w:szCs w:val="28"/>
        </w:rPr>
        <w:instrText xml:space="preserve"> PAGEREF _Toc8245 \h </w:instrText>
      </w:r>
      <w:r>
        <w:rPr>
          <w:rFonts w:hint="eastAsia" w:asciiTheme="minorEastAsia" w:hAnsiTheme="minorEastAsia" w:eastAsiaTheme="minorEastAsia" w:cstheme="minorEastAsia"/>
          <w:b/>
          <w:sz w:val="28"/>
          <w:szCs w:val="28"/>
        </w:rPr>
        <w:fldChar w:fldCharType="separate"/>
      </w:r>
      <w:r>
        <w:rPr>
          <w:rFonts w:hint="eastAsia" w:asciiTheme="minorEastAsia" w:hAnsiTheme="minorEastAsia" w:eastAsiaTheme="minorEastAsia" w:cstheme="minorEastAsia"/>
          <w:b/>
          <w:sz w:val="28"/>
          <w:szCs w:val="28"/>
        </w:rPr>
        <w:t>5</w:t>
      </w:r>
      <w:r>
        <w:rPr>
          <w:rFonts w:hint="eastAsia" w:asciiTheme="minorEastAsia" w:hAnsiTheme="minorEastAsia" w:eastAsiaTheme="minorEastAsia" w:cstheme="minorEastAsia"/>
          <w:b/>
          <w:sz w:val="28"/>
          <w:szCs w:val="28"/>
        </w:rPr>
        <w:fldChar w:fldCharType="end"/>
      </w:r>
      <w:r>
        <w:rPr>
          <w:rFonts w:hint="eastAsia" w:asciiTheme="minorEastAsia" w:hAnsiTheme="minorEastAsia" w:eastAsiaTheme="minorEastAsia" w:cstheme="minorEastAsia"/>
          <w:b/>
          <w:sz w:val="28"/>
          <w:szCs w:val="28"/>
        </w:rPr>
        <w:fldChar w:fldCharType="end"/>
      </w:r>
    </w:p>
    <w:p>
      <w:pPr>
        <w:pStyle w:val="11"/>
        <w:tabs>
          <w:tab w:val="right" w:leader="dot" w:pos="8845"/>
        </w:tabs>
        <w:spacing w:line="360" w:lineRule="auto"/>
        <w:rPr>
          <w:rFonts w:asciiTheme="minorEastAsia" w:hAnsiTheme="minorEastAsia" w:eastAsiaTheme="minorEastAsia" w:cstheme="minorEastAsia"/>
          <w:sz w:val="28"/>
          <w:szCs w:val="28"/>
        </w:rPr>
      </w:pPr>
      <w:r>
        <w:fldChar w:fldCharType="begin"/>
      </w:r>
      <w:r>
        <w:instrText xml:space="preserve"> HYPERLINK \l "_Toc3113" </w:instrText>
      </w:r>
      <w:r>
        <w:fldChar w:fldCharType="separate"/>
      </w:r>
      <w:r>
        <w:rPr>
          <w:rFonts w:hint="eastAsia" w:asciiTheme="minorEastAsia" w:hAnsiTheme="minorEastAsia" w:eastAsiaTheme="minorEastAsia" w:cstheme="minorEastAsia"/>
          <w:sz w:val="28"/>
          <w:szCs w:val="28"/>
        </w:rPr>
        <w:t>2.1 区减灾委</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_Toc3113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1"/>
        <w:tabs>
          <w:tab w:val="right" w:leader="dot" w:pos="8845"/>
        </w:tabs>
        <w:spacing w:line="360" w:lineRule="auto"/>
        <w:rPr>
          <w:rFonts w:asciiTheme="minorEastAsia" w:hAnsiTheme="minorEastAsia" w:eastAsiaTheme="minorEastAsia" w:cstheme="minorEastAsia"/>
          <w:sz w:val="28"/>
          <w:szCs w:val="28"/>
        </w:rPr>
      </w:pPr>
      <w:r>
        <w:fldChar w:fldCharType="begin"/>
      </w:r>
      <w:r>
        <w:instrText xml:space="preserve"> HYPERLINK \l "_Toc26161" </w:instrText>
      </w:r>
      <w:r>
        <w:fldChar w:fldCharType="separate"/>
      </w:r>
      <w:r>
        <w:rPr>
          <w:rFonts w:hint="eastAsia" w:asciiTheme="minorEastAsia" w:hAnsiTheme="minorEastAsia" w:eastAsiaTheme="minorEastAsia" w:cstheme="minorEastAsia"/>
          <w:sz w:val="28"/>
          <w:szCs w:val="28"/>
        </w:rPr>
        <w:t>2.2 区减灾委办公室</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_Toc26161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1"/>
        <w:tabs>
          <w:tab w:val="right" w:leader="dot" w:pos="8845"/>
        </w:tabs>
        <w:spacing w:line="360" w:lineRule="auto"/>
        <w:rPr>
          <w:rFonts w:asciiTheme="minorEastAsia" w:hAnsiTheme="minorEastAsia" w:eastAsiaTheme="minorEastAsia" w:cstheme="minorEastAsia"/>
          <w:sz w:val="28"/>
          <w:szCs w:val="28"/>
        </w:rPr>
      </w:pPr>
      <w:r>
        <w:fldChar w:fldCharType="begin"/>
      </w:r>
      <w:r>
        <w:instrText xml:space="preserve"> HYPERLINK \l "_Toc8353" </w:instrText>
      </w:r>
      <w:r>
        <w:fldChar w:fldCharType="separate"/>
      </w:r>
      <w:r>
        <w:rPr>
          <w:rFonts w:hint="eastAsia" w:asciiTheme="minorEastAsia" w:hAnsiTheme="minorEastAsia" w:eastAsiaTheme="minorEastAsia" w:cstheme="minorEastAsia"/>
          <w:sz w:val="28"/>
          <w:szCs w:val="28"/>
        </w:rPr>
        <w:t>2.3 各部门和单位职责</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_Toc8353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1"/>
        <w:tabs>
          <w:tab w:val="right" w:leader="dot" w:pos="8845"/>
        </w:tabs>
        <w:spacing w:line="360" w:lineRule="auto"/>
        <w:rPr>
          <w:rFonts w:asciiTheme="minorEastAsia" w:hAnsiTheme="minorEastAsia" w:eastAsiaTheme="minorEastAsia" w:cstheme="minorEastAsia"/>
          <w:sz w:val="28"/>
          <w:szCs w:val="28"/>
        </w:rPr>
      </w:pPr>
      <w:r>
        <w:fldChar w:fldCharType="begin"/>
      </w:r>
      <w:r>
        <w:instrText xml:space="preserve"> HYPERLINK \l "_Toc28970" </w:instrText>
      </w:r>
      <w:r>
        <w:fldChar w:fldCharType="separate"/>
      </w:r>
      <w:r>
        <w:rPr>
          <w:rFonts w:hint="eastAsia" w:asciiTheme="minorEastAsia" w:hAnsiTheme="minorEastAsia" w:eastAsiaTheme="minorEastAsia" w:cstheme="minorEastAsia"/>
          <w:sz w:val="28"/>
          <w:szCs w:val="28"/>
        </w:rPr>
        <w:t>2.4 工作组及其职责</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_Toc28970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0"/>
        <w:tabs>
          <w:tab w:val="right" w:leader="dot" w:pos="8845"/>
        </w:tabs>
        <w:spacing w:line="360" w:lineRule="auto"/>
        <w:rPr>
          <w:rFonts w:asciiTheme="minorEastAsia" w:hAnsiTheme="minorEastAsia" w:eastAsiaTheme="minorEastAsia" w:cstheme="minorEastAsia"/>
          <w:b/>
          <w:sz w:val="28"/>
          <w:szCs w:val="28"/>
        </w:rPr>
      </w:pPr>
      <w:r>
        <w:fldChar w:fldCharType="begin"/>
      </w:r>
      <w:r>
        <w:instrText xml:space="preserve"> HYPERLINK \l "_Toc13235" </w:instrText>
      </w:r>
      <w:r>
        <w:fldChar w:fldCharType="separate"/>
      </w:r>
      <w:r>
        <w:rPr>
          <w:rFonts w:hint="eastAsia" w:asciiTheme="minorEastAsia" w:hAnsiTheme="minorEastAsia" w:eastAsiaTheme="minorEastAsia" w:cstheme="minorEastAsia"/>
          <w:b/>
          <w:sz w:val="28"/>
          <w:szCs w:val="28"/>
        </w:rPr>
        <w:t>3 灾害救助准备</w:t>
      </w:r>
      <w:r>
        <w:rPr>
          <w:rFonts w:hint="eastAsia" w:asciiTheme="minorEastAsia" w:hAnsiTheme="minorEastAsia" w:eastAsiaTheme="minorEastAsia" w:cstheme="minorEastAsia"/>
          <w:b/>
          <w:sz w:val="28"/>
          <w:szCs w:val="28"/>
        </w:rPr>
        <w:tab/>
      </w:r>
      <w:r>
        <w:rPr>
          <w:rFonts w:hint="eastAsia" w:asciiTheme="minorEastAsia" w:hAnsiTheme="minorEastAsia" w:eastAsiaTheme="minorEastAsia" w:cstheme="minorEastAsia"/>
          <w:b/>
          <w:sz w:val="28"/>
          <w:szCs w:val="28"/>
        </w:rPr>
        <w:fldChar w:fldCharType="begin"/>
      </w:r>
      <w:r>
        <w:rPr>
          <w:rFonts w:hint="eastAsia" w:asciiTheme="minorEastAsia" w:hAnsiTheme="minorEastAsia" w:eastAsiaTheme="minorEastAsia" w:cstheme="minorEastAsia"/>
          <w:b/>
          <w:sz w:val="28"/>
          <w:szCs w:val="28"/>
        </w:rPr>
        <w:instrText xml:space="preserve"> PAGEREF _Toc13235 \h </w:instrText>
      </w:r>
      <w:r>
        <w:rPr>
          <w:rFonts w:hint="eastAsia" w:asciiTheme="minorEastAsia" w:hAnsiTheme="minorEastAsia" w:eastAsiaTheme="minorEastAsia" w:cstheme="minorEastAsia"/>
          <w:b/>
          <w:sz w:val="28"/>
          <w:szCs w:val="28"/>
        </w:rPr>
        <w:fldChar w:fldCharType="separate"/>
      </w:r>
      <w:r>
        <w:rPr>
          <w:rFonts w:hint="eastAsia" w:asciiTheme="minorEastAsia" w:hAnsiTheme="minorEastAsia" w:eastAsiaTheme="minorEastAsia" w:cstheme="minorEastAsia"/>
          <w:b/>
          <w:sz w:val="28"/>
          <w:szCs w:val="28"/>
        </w:rPr>
        <w:t>14</w:t>
      </w:r>
      <w:r>
        <w:rPr>
          <w:rFonts w:hint="eastAsia" w:asciiTheme="minorEastAsia" w:hAnsiTheme="minorEastAsia" w:eastAsiaTheme="minorEastAsia" w:cstheme="minorEastAsia"/>
          <w:b/>
          <w:sz w:val="28"/>
          <w:szCs w:val="28"/>
        </w:rPr>
        <w:fldChar w:fldCharType="end"/>
      </w:r>
      <w:r>
        <w:rPr>
          <w:rFonts w:hint="eastAsia" w:asciiTheme="minorEastAsia" w:hAnsiTheme="minorEastAsia" w:eastAsiaTheme="minorEastAsia" w:cstheme="minorEastAsia"/>
          <w:b/>
          <w:sz w:val="28"/>
          <w:szCs w:val="28"/>
        </w:rPr>
        <w:fldChar w:fldCharType="end"/>
      </w:r>
    </w:p>
    <w:p>
      <w:pPr>
        <w:pStyle w:val="11"/>
        <w:tabs>
          <w:tab w:val="right" w:leader="dot" w:pos="8845"/>
        </w:tabs>
        <w:spacing w:line="360" w:lineRule="auto"/>
        <w:rPr>
          <w:rFonts w:asciiTheme="minorEastAsia" w:hAnsiTheme="minorEastAsia" w:eastAsiaTheme="minorEastAsia" w:cstheme="minorEastAsia"/>
          <w:sz w:val="28"/>
          <w:szCs w:val="28"/>
        </w:rPr>
      </w:pPr>
      <w:r>
        <w:fldChar w:fldCharType="begin"/>
      </w:r>
      <w:r>
        <w:instrText xml:space="preserve"> HYPERLINK \l "_Toc29852" </w:instrText>
      </w:r>
      <w:r>
        <w:fldChar w:fldCharType="separate"/>
      </w:r>
      <w:r>
        <w:rPr>
          <w:rFonts w:hint="eastAsia" w:asciiTheme="minorEastAsia" w:hAnsiTheme="minorEastAsia" w:eastAsiaTheme="minorEastAsia" w:cstheme="minorEastAsia"/>
          <w:sz w:val="28"/>
          <w:szCs w:val="28"/>
        </w:rPr>
        <w:t>3.1 预警信息</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_Toc29852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1"/>
        <w:tabs>
          <w:tab w:val="right" w:leader="dot" w:pos="8845"/>
        </w:tabs>
        <w:spacing w:line="360" w:lineRule="auto"/>
        <w:rPr>
          <w:rFonts w:asciiTheme="minorEastAsia" w:hAnsiTheme="minorEastAsia" w:eastAsiaTheme="minorEastAsia" w:cstheme="minorEastAsia"/>
          <w:sz w:val="28"/>
          <w:szCs w:val="28"/>
        </w:rPr>
      </w:pPr>
      <w:r>
        <w:fldChar w:fldCharType="begin"/>
      </w:r>
      <w:r>
        <w:instrText xml:space="preserve"> HYPERLINK \l "_Toc27015" </w:instrText>
      </w:r>
      <w:r>
        <w:fldChar w:fldCharType="separate"/>
      </w:r>
      <w:r>
        <w:rPr>
          <w:rFonts w:hint="eastAsia" w:asciiTheme="minorEastAsia" w:hAnsiTheme="minorEastAsia" w:eastAsiaTheme="minorEastAsia" w:cstheme="minorEastAsia"/>
          <w:sz w:val="28"/>
          <w:szCs w:val="28"/>
        </w:rPr>
        <w:t>3.2 预警响应措施</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_Toc27015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1"/>
        <w:tabs>
          <w:tab w:val="right" w:leader="dot" w:pos="8845"/>
        </w:tabs>
        <w:spacing w:line="360" w:lineRule="auto"/>
        <w:rPr>
          <w:rFonts w:asciiTheme="minorEastAsia" w:hAnsiTheme="minorEastAsia" w:eastAsiaTheme="minorEastAsia" w:cstheme="minorEastAsia"/>
          <w:sz w:val="28"/>
          <w:szCs w:val="28"/>
        </w:rPr>
      </w:pPr>
      <w:r>
        <w:fldChar w:fldCharType="begin"/>
      </w:r>
      <w:r>
        <w:instrText xml:space="preserve"> HYPERLINK \l "_Toc12349" </w:instrText>
      </w:r>
      <w:r>
        <w:fldChar w:fldCharType="separate"/>
      </w:r>
      <w:r>
        <w:rPr>
          <w:rFonts w:hint="eastAsia" w:asciiTheme="minorEastAsia" w:hAnsiTheme="minorEastAsia" w:eastAsiaTheme="minorEastAsia" w:cstheme="minorEastAsia"/>
          <w:sz w:val="28"/>
          <w:szCs w:val="28"/>
        </w:rPr>
        <w:t>3.3 预警响应终止</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_Toc12349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0"/>
        <w:tabs>
          <w:tab w:val="right" w:leader="dot" w:pos="8845"/>
        </w:tabs>
        <w:spacing w:line="360" w:lineRule="auto"/>
        <w:rPr>
          <w:rFonts w:asciiTheme="minorEastAsia" w:hAnsiTheme="minorEastAsia" w:eastAsiaTheme="minorEastAsia" w:cstheme="minorEastAsia"/>
          <w:b/>
          <w:sz w:val="28"/>
          <w:szCs w:val="28"/>
        </w:rPr>
      </w:pPr>
      <w:r>
        <w:fldChar w:fldCharType="begin"/>
      </w:r>
      <w:r>
        <w:instrText xml:space="preserve"> HYPERLINK \l "_Toc18024" </w:instrText>
      </w:r>
      <w:r>
        <w:fldChar w:fldCharType="separate"/>
      </w:r>
      <w:r>
        <w:rPr>
          <w:rFonts w:hint="eastAsia" w:asciiTheme="minorEastAsia" w:hAnsiTheme="minorEastAsia" w:eastAsiaTheme="minorEastAsia" w:cstheme="minorEastAsia"/>
          <w:b/>
          <w:sz w:val="28"/>
          <w:szCs w:val="28"/>
        </w:rPr>
        <w:t>4 信息报告和发布</w:t>
      </w:r>
      <w:r>
        <w:rPr>
          <w:rFonts w:hint="eastAsia" w:asciiTheme="minorEastAsia" w:hAnsiTheme="minorEastAsia" w:eastAsiaTheme="minorEastAsia" w:cstheme="minorEastAsia"/>
          <w:b/>
          <w:sz w:val="28"/>
          <w:szCs w:val="28"/>
        </w:rPr>
        <w:tab/>
      </w:r>
      <w:r>
        <w:rPr>
          <w:rFonts w:hint="eastAsia" w:asciiTheme="minorEastAsia" w:hAnsiTheme="minorEastAsia" w:eastAsiaTheme="minorEastAsia" w:cstheme="minorEastAsia"/>
          <w:b/>
          <w:sz w:val="28"/>
          <w:szCs w:val="28"/>
        </w:rPr>
        <w:fldChar w:fldCharType="begin"/>
      </w:r>
      <w:r>
        <w:rPr>
          <w:rFonts w:hint="eastAsia" w:asciiTheme="minorEastAsia" w:hAnsiTheme="minorEastAsia" w:eastAsiaTheme="minorEastAsia" w:cstheme="minorEastAsia"/>
          <w:b/>
          <w:sz w:val="28"/>
          <w:szCs w:val="28"/>
        </w:rPr>
        <w:instrText xml:space="preserve"> PAGEREF _Toc18024 \h </w:instrText>
      </w:r>
      <w:r>
        <w:rPr>
          <w:rFonts w:hint="eastAsia" w:asciiTheme="minorEastAsia" w:hAnsiTheme="minorEastAsia" w:eastAsiaTheme="minorEastAsia" w:cstheme="minorEastAsia"/>
          <w:b/>
          <w:sz w:val="28"/>
          <w:szCs w:val="28"/>
        </w:rPr>
        <w:fldChar w:fldCharType="separate"/>
      </w:r>
      <w:r>
        <w:rPr>
          <w:rFonts w:hint="eastAsia" w:asciiTheme="minorEastAsia" w:hAnsiTheme="minorEastAsia" w:eastAsiaTheme="minorEastAsia" w:cstheme="minorEastAsia"/>
          <w:b/>
          <w:sz w:val="28"/>
          <w:szCs w:val="28"/>
        </w:rPr>
        <w:t>16</w:t>
      </w:r>
      <w:r>
        <w:rPr>
          <w:rFonts w:hint="eastAsia" w:asciiTheme="minorEastAsia" w:hAnsiTheme="minorEastAsia" w:eastAsiaTheme="minorEastAsia" w:cstheme="minorEastAsia"/>
          <w:b/>
          <w:sz w:val="28"/>
          <w:szCs w:val="28"/>
        </w:rPr>
        <w:fldChar w:fldCharType="end"/>
      </w:r>
      <w:r>
        <w:rPr>
          <w:rFonts w:hint="eastAsia" w:asciiTheme="minorEastAsia" w:hAnsiTheme="minorEastAsia" w:eastAsiaTheme="minorEastAsia" w:cstheme="minorEastAsia"/>
          <w:b/>
          <w:sz w:val="28"/>
          <w:szCs w:val="28"/>
        </w:rPr>
        <w:fldChar w:fldCharType="end"/>
      </w:r>
    </w:p>
    <w:p>
      <w:pPr>
        <w:pStyle w:val="11"/>
        <w:tabs>
          <w:tab w:val="right" w:leader="dot" w:pos="8845"/>
        </w:tabs>
        <w:spacing w:line="360" w:lineRule="auto"/>
        <w:rPr>
          <w:rFonts w:asciiTheme="minorEastAsia" w:hAnsiTheme="minorEastAsia" w:eastAsiaTheme="minorEastAsia" w:cstheme="minorEastAsia"/>
          <w:sz w:val="28"/>
          <w:szCs w:val="28"/>
        </w:rPr>
      </w:pPr>
      <w:r>
        <w:fldChar w:fldCharType="begin"/>
      </w:r>
      <w:r>
        <w:instrText xml:space="preserve"> HYPERLINK \l "_Toc29940" </w:instrText>
      </w:r>
      <w:r>
        <w:fldChar w:fldCharType="separate"/>
      </w:r>
      <w:r>
        <w:rPr>
          <w:rFonts w:hint="eastAsia" w:asciiTheme="minorEastAsia" w:hAnsiTheme="minorEastAsia" w:eastAsiaTheme="minorEastAsia" w:cstheme="minorEastAsia"/>
          <w:sz w:val="28"/>
          <w:szCs w:val="28"/>
        </w:rPr>
        <w:t>4.1 信息报告</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_Toc29940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1"/>
        <w:tabs>
          <w:tab w:val="right" w:leader="dot" w:pos="8845"/>
        </w:tabs>
        <w:spacing w:line="360" w:lineRule="auto"/>
        <w:rPr>
          <w:rFonts w:asciiTheme="minorEastAsia" w:hAnsiTheme="minorEastAsia" w:eastAsiaTheme="minorEastAsia" w:cstheme="minorEastAsia"/>
          <w:sz w:val="28"/>
          <w:szCs w:val="28"/>
        </w:rPr>
      </w:pPr>
      <w:r>
        <w:fldChar w:fldCharType="begin"/>
      </w:r>
      <w:r>
        <w:instrText xml:space="preserve"> HYPERLINK \l "_Toc18005" </w:instrText>
      </w:r>
      <w:r>
        <w:fldChar w:fldCharType="separate"/>
      </w:r>
      <w:r>
        <w:rPr>
          <w:rFonts w:hint="eastAsia" w:asciiTheme="minorEastAsia" w:hAnsiTheme="minorEastAsia" w:eastAsiaTheme="minorEastAsia" w:cstheme="minorEastAsia"/>
          <w:sz w:val="28"/>
          <w:szCs w:val="28"/>
        </w:rPr>
        <w:t>4.2 信息发布</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_Toc18005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0"/>
        <w:tabs>
          <w:tab w:val="right" w:leader="dot" w:pos="8845"/>
        </w:tabs>
        <w:spacing w:line="360" w:lineRule="auto"/>
        <w:rPr>
          <w:rFonts w:asciiTheme="minorEastAsia" w:hAnsiTheme="minorEastAsia" w:eastAsiaTheme="minorEastAsia" w:cstheme="minorEastAsia"/>
          <w:b/>
          <w:sz w:val="28"/>
          <w:szCs w:val="28"/>
        </w:rPr>
      </w:pPr>
      <w:r>
        <w:fldChar w:fldCharType="begin"/>
      </w:r>
      <w:r>
        <w:instrText xml:space="preserve"> HYPERLINK \l "_Toc27282" </w:instrText>
      </w:r>
      <w:r>
        <w:fldChar w:fldCharType="separate"/>
      </w:r>
      <w:r>
        <w:rPr>
          <w:rFonts w:hint="eastAsia" w:asciiTheme="minorEastAsia" w:hAnsiTheme="minorEastAsia" w:eastAsiaTheme="minorEastAsia" w:cstheme="minorEastAsia"/>
          <w:b/>
          <w:sz w:val="28"/>
          <w:szCs w:val="28"/>
        </w:rPr>
        <w:t>5 应急响应</w:t>
      </w:r>
      <w:r>
        <w:rPr>
          <w:rFonts w:hint="eastAsia" w:asciiTheme="minorEastAsia" w:hAnsiTheme="minorEastAsia" w:eastAsiaTheme="minorEastAsia" w:cstheme="minorEastAsia"/>
          <w:b/>
          <w:sz w:val="28"/>
          <w:szCs w:val="28"/>
        </w:rPr>
        <w:tab/>
      </w:r>
      <w:r>
        <w:rPr>
          <w:rFonts w:hint="eastAsia" w:asciiTheme="minorEastAsia" w:hAnsiTheme="minorEastAsia" w:eastAsiaTheme="minorEastAsia" w:cstheme="minorEastAsia"/>
          <w:b/>
          <w:sz w:val="28"/>
          <w:szCs w:val="28"/>
        </w:rPr>
        <w:fldChar w:fldCharType="begin"/>
      </w:r>
      <w:r>
        <w:rPr>
          <w:rFonts w:hint="eastAsia" w:asciiTheme="minorEastAsia" w:hAnsiTheme="minorEastAsia" w:eastAsiaTheme="minorEastAsia" w:cstheme="minorEastAsia"/>
          <w:b/>
          <w:sz w:val="28"/>
          <w:szCs w:val="28"/>
        </w:rPr>
        <w:instrText xml:space="preserve"> PAGEREF _Toc27282 \h </w:instrText>
      </w:r>
      <w:r>
        <w:rPr>
          <w:rFonts w:hint="eastAsia" w:asciiTheme="minorEastAsia" w:hAnsiTheme="minorEastAsia" w:eastAsiaTheme="minorEastAsia" w:cstheme="minorEastAsia"/>
          <w:b/>
          <w:sz w:val="28"/>
          <w:szCs w:val="28"/>
        </w:rPr>
        <w:fldChar w:fldCharType="separate"/>
      </w:r>
      <w:r>
        <w:rPr>
          <w:rFonts w:hint="eastAsia" w:asciiTheme="minorEastAsia" w:hAnsiTheme="minorEastAsia" w:eastAsiaTheme="minorEastAsia" w:cstheme="minorEastAsia"/>
          <w:b/>
          <w:sz w:val="28"/>
          <w:szCs w:val="28"/>
        </w:rPr>
        <w:t>18</w:t>
      </w:r>
      <w:r>
        <w:rPr>
          <w:rFonts w:hint="eastAsia" w:asciiTheme="minorEastAsia" w:hAnsiTheme="minorEastAsia" w:eastAsiaTheme="minorEastAsia" w:cstheme="minorEastAsia"/>
          <w:b/>
          <w:sz w:val="28"/>
          <w:szCs w:val="28"/>
        </w:rPr>
        <w:fldChar w:fldCharType="end"/>
      </w:r>
      <w:r>
        <w:rPr>
          <w:rFonts w:hint="eastAsia" w:asciiTheme="minorEastAsia" w:hAnsiTheme="minorEastAsia" w:eastAsiaTheme="minorEastAsia" w:cstheme="minorEastAsia"/>
          <w:b/>
          <w:sz w:val="28"/>
          <w:szCs w:val="28"/>
        </w:rPr>
        <w:fldChar w:fldCharType="end"/>
      </w:r>
    </w:p>
    <w:p>
      <w:pPr>
        <w:pStyle w:val="11"/>
        <w:tabs>
          <w:tab w:val="right" w:leader="dot" w:pos="8845"/>
        </w:tabs>
        <w:spacing w:line="360" w:lineRule="auto"/>
        <w:rPr>
          <w:rFonts w:asciiTheme="minorEastAsia" w:hAnsiTheme="minorEastAsia" w:eastAsiaTheme="minorEastAsia" w:cstheme="minorEastAsia"/>
          <w:sz w:val="28"/>
          <w:szCs w:val="28"/>
        </w:rPr>
      </w:pPr>
      <w:r>
        <w:fldChar w:fldCharType="begin"/>
      </w:r>
      <w:r>
        <w:instrText xml:space="preserve"> HYPERLINK \l "_Toc26219" </w:instrText>
      </w:r>
      <w:r>
        <w:fldChar w:fldCharType="separate"/>
      </w:r>
      <w:r>
        <w:rPr>
          <w:rFonts w:hint="eastAsia" w:asciiTheme="minorEastAsia" w:hAnsiTheme="minorEastAsia" w:eastAsiaTheme="minorEastAsia" w:cstheme="minorEastAsia"/>
          <w:sz w:val="28"/>
          <w:szCs w:val="28"/>
        </w:rPr>
        <w:t>5.1 先期处置</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_Toc26219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1"/>
        <w:tabs>
          <w:tab w:val="right" w:leader="dot" w:pos="8845"/>
        </w:tabs>
        <w:spacing w:line="360" w:lineRule="auto"/>
        <w:rPr>
          <w:rFonts w:asciiTheme="minorEastAsia" w:hAnsiTheme="minorEastAsia" w:eastAsiaTheme="minorEastAsia" w:cstheme="minorEastAsia"/>
          <w:sz w:val="28"/>
          <w:szCs w:val="28"/>
        </w:rPr>
      </w:pPr>
      <w:r>
        <w:fldChar w:fldCharType="begin"/>
      </w:r>
      <w:r>
        <w:instrText xml:space="preserve"> HYPERLINK \l "_Toc25639" </w:instrText>
      </w:r>
      <w:r>
        <w:fldChar w:fldCharType="separate"/>
      </w:r>
      <w:r>
        <w:rPr>
          <w:rFonts w:hint="eastAsia" w:asciiTheme="minorEastAsia" w:hAnsiTheme="minorEastAsia" w:eastAsiaTheme="minorEastAsia" w:cstheme="minorEastAsia"/>
          <w:sz w:val="28"/>
          <w:szCs w:val="28"/>
        </w:rPr>
        <w:t>5.2 分级响应</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_Toc25639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6"/>
        <w:tabs>
          <w:tab w:val="right" w:leader="dot" w:pos="8845"/>
        </w:tabs>
        <w:spacing w:line="360" w:lineRule="auto"/>
        <w:rPr>
          <w:rFonts w:asciiTheme="minorEastAsia" w:hAnsiTheme="minorEastAsia" w:eastAsiaTheme="minorEastAsia" w:cstheme="minorEastAsia"/>
          <w:sz w:val="28"/>
          <w:szCs w:val="28"/>
        </w:rPr>
      </w:pPr>
      <w:r>
        <w:fldChar w:fldCharType="begin"/>
      </w:r>
      <w:r>
        <w:instrText xml:space="preserve"> HYPERLINK \l "_Toc22096" </w:instrText>
      </w:r>
      <w:r>
        <w:fldChar w:fldCharType="separate"/>
      </w:r>
      <w:r>
        <w:rPr>
          <w:rFonts w:hint="eastAsia" w:asciiTheme="minorEastAsia" w:hAnsiTheme="minorEastAsia" w:eastAsiaTheme="minorEastAsia" w:cstheme="minorEastAsia"/>
          <w:sz w:val="28"/>
          <w:szCs w:val="28"/>
        </w:rPr>
        <w:t>5.2.1 Ⅳ级响应</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_Toc22096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6"/>
        <w:tabs>
          <w:tab w:val="right" w:leader="dot" w:pos="8845"/>
        </w:tabs>
        <w:spacing w:line="360" w:lineRule="auto"/>
        <w:rPr>
          <w:rFonts w:asciiTheme="minorEastAsia" w:hAnsiTheme="minorEastAsia" w:eastAsiaTheme="minorEastAsia" w:cstheme="minorEastAsia"/>
          <w:sz w:val="28"/>
          <w:szCs w:val="28"/>
        </w:rPr>
      </w:pPr>
      <w:r>
        <w:fldChar w:fldCharType="begin"/>
      </w:r>
      <w:r>
        <w:instrText xml:space="preserve"> HYPERLINK \l "_Toc16426" </w:instrText>
      </w:r>
      <w:r>
        <w:fldChar w:fldCharType="separate"/>
      </w:r>
      <w:r>
        <w:rPr>
          <w:rFonts w:hint="eastAsia" w:asciiTheme="minorEastAsia" w:hAnsiTheme="minorEastAsia" w:eastAsiaTheme="minorEastAsia" w:cstheme="minorEastAsia"/>
          <w:sz w:val="28"/>
          <w:szCs w:val="28"/>
        </w:rPr>
        <w:t>5.2.2 Ⅲ级响应</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_Toc16426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6"/>
        <w:tabs>
          <w:tab w:val="right" w:leader="dot" w:pos="8845"/>
        </w:tabs>
        <w:spacing w:line="360" w:lineRule="auto"/>
        <w:rPr>
          <w:rFonts w:asciiTheme="minorEastAsia" w:hAnsiTheme="minorEastAsia" w:eastAsiaTheme="minorEastAsia" w:cstheme="minorEastAsia"/>
          <w:sz w:val="28"/>
          <w:szCs w:val="28"/>
        </w:rPr>
      </w:pPr>
      <w:r>
        <w:fldChar w:fldCharType="begin"/>
      </w:r>
      <w:r>
        <w:instrText xml:space="preserve"> HYPERLINK \l "_Toc31305" </w:instrText>
      </w:r>
      <w:r>
        <w:fldChar w:fldCharType="separate"/>
      </w:r>
      <w:r>
        <w:rPr>
          <w:rFonts w:hint="eastAsia" w:asciiTheme="minorEastAsia" w:hAnsiTheme="minorEastAsia" w:eastAsiaTheme="minorEastAsia" w:cstheme="minorEastAsia"/>
          <w:sz w:val="28"/>
          <w:szCs w:val="28"/>
        </w:rPr>
        <w:t>5.2.3 Ⅱ级响应</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_Toc31305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6"/>
        <w:tabs>
          <w:tab w:val="right" w:leader="dot" w:pos="8845"/>
        </w:tabs>
        <w:spacing w:line="360" w:lineRule="auto"/>
        <w:rPr>
          <w:rFonts w:asciiTheme="minorEastAsia" w:hAnsiTheme="minorEastAsia" w:eastAsiaTheme="minorEastAsia" w:cstheme="minorEastAsia"/>
          <w:sz w:val="28"/>
          <w:szCs w:val="28"/>
        </w:rPr>
      </w:pPr>
      <w:r>
        <w:fldChar w:fldCharType="begin"/>
      </w:r>
      <w:r>
        <w:instrText xml:space="preserve"> HYPERLINK \l "_Toc31448" </w:instrText>
      </w:r>
      <w:r>
        <w:fldChar w:fldCharType="separate"/>
      </w:r>
      <w:r>
        <w:rPr>
          <w:rFonts w:hint="eastAsia" w:asciiTheme="minorEastAsia" w:hAnsiTheme="minorEastAsia" w:eastAsiaTheme="minorEastAsia" w:cstheme="minorEastAsia"/>
          <w:sz w:val="28"/>
          <w:szCs w:val="28"/>
        </w:rPr>
        <w:t>5.2.4 Ⅰ级响应</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_Toc31448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1"/>
        <w:tabs>
          <w:tab w:val="right" w:leader="dot" w:pos="8845"/>
        </w:tabs>
        <w:spacing w:line="360" w:lineRule="auto"/>
        <w:rPr>
          <w:rFonts w:asciiTheme="minorEastAsia" w:hAnsiTheme="minorEastAsia" w:eastAsiaTheme="minorEastAsia" w:cstheme="minorEastAsia"/>
          <w:sz w:val="28"/>
          <w:szCs w:val="28"/>
        </w:rPr>
      </w:pPr>
      <w:r>
        <w:fldChar w:fldCharType="begin"/>
      </w:r>
      <w:r>
        <w:instrText xml:space="preserve"> HYPERLINK \l "_Toc27293" </w:instrText>
      </w:r>
      <w:r>
        <w:fldChar w:fldCharType="separate"/>
      </w:r>
      <w:r>
        <w:rPr>
          <w:rFonts w:hint="eastAsia" w:asciiTheme="minorEastAsia" w:hAnsiTheme="minorEastAsia" w:eastAsiaTheme="minorEastAsia" w:cstheme="minorEastAsia"/>
          <w:sz w:val="28"/>
          <w:szCs w:val="28"/>
        </w:rPr>
        <w:t>5.3 启动条件调整</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_Toc27293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1"/>
        <w:tabs>
          <w:tab w:val="right" w:leader="dot" w:pos="8845"/>
        </w:tabs>
        <w:spacing w:line="360" w:lineRule="auto"/>
        <w:rPr>
          <w:rFonts w:asciiTheme="minorEastAsia" w:hAnsiTheme="minorEastAsia" w:eastAsiaTheme="minorEastAsia" w:cstheme="minorEastAsia"/>
          <w:sz w:val="28"/>
          <w:szCs w:val="28"/>
        </w:rPr>
      </w:pPr>
      <w:r>
        <w:fldChar w:fldCharType="begin"/>
      </w:r>
      <w:r>
        <w:instrText xml:space="preserve"> HYPERLINK \l "_Toc3173" </w:instrText>
      </w:r>
      <w:r>
        <w:fldChar w:fldCharType="separate"/>
      </w:r>
      <w:r>
        <w:rPr>
          <w:rFonts w:hint="eastAsia" w:asciiTheme="minorEastAsia" w:hAnsiTheme="minorEastAsia" w:eastAsiaTheme="minorEastAsia" w:cstheme="minorEastAsia"/>
          <w:sz w:val="28"/>
          <w:szCs w:val="28"/>
        </w:rPr>
        <w:t>5.4 响应终止</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_Toc3173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0"/>
        <w:tabs>
          <w:tab w:val="right" w:leader="dot" w:pos="8845"/>
        </w:tabs>
        <w:spacing w:line="360" w:lineRule="auto"/>
        <w:rPr>
          <w:rFonts w:asciiTheme="minorEastAsia" w:hAnsiTheme="minorEastAsia" w:eastAsiaTheme="minorEastAsia" w:cstheme="minorEastAsia"/>
          <w:b/>
          <w:sz w:val="28"/>
          <w:szCs w:val="28"/>
        </w:rPr>
      </w:pPr>
      <w:r>
        <w:fldChar w:fldCharType="begin"/>
      </w:r>
      <w:r>
        <w:instrText xml:space="preserve"> HYPERLINK \l "_Toc17267" </w:instrText>
      </w:r>
      <w:r>
        <w:fldChar w:fldCharType="separate"/>
      </w:r>
      <w:r>
        <w:rPr>
          <w:rFonts w:hint="eastAsia" w:asciiTheme="minorEastAsia" w:hAnsiTheme="minorEastAsia" w:eastAsiaTheme="minorEastAsia" w:cstheme="minorEastAsia"/>
          <w:b/>
          <w:sz w:val="28"/>
          <w:szCs w:val="28"/>
        </w:rPr>
        <w:t>6 灾后救助与恢复重建</w:t>
      </w:r>
      <w:r>
        <w:rPr>
          <w:rFonts w:hint="eastAsia" w:asciiTheme="minorEastAsia" w:hAnsiTheme="minorEastAsia" w:eastAsiaTheme="minorEastAsia" w:cstheme="minorEastAsia"/>
          <w:b/>
          <w:sz w:val="28"/>
          <w:szCs w:val="28"/>
        </w:rPr>
        <w:tab/>
      </w:r>
      <w:r>
        <w:rPr>
          <w:rFonts w:hint="eastAsia" w:asciiTheme="minorEastAsia" w:hAnsiTheme="minorEastAsia" w:eastAsiaTheme="minorEastAsia" w:cstheme="minorEastAsia"/>
          <w:b/>
          <w:sz w:val="28"/>
          <w:szCs w:val="28"/>
        </w:rPr>
        <w:fldChar w:fldCharType="begin"/>
      </w:r>
      <w:r>
        <w:rPr>
          <w:rFonts w:hint="eastAsia" w:asciiTheme="minorEastAsia" w:hAnsiTheme="minorEastAsia" w:eastAsiaTheme="minorEastAsia" w:cstheme="minorEastAsia"/>
          <w:b/>
          <w:sz w:val="28"/>
          <w:szCs w:val="28"/>
        </w:rPr>
        <w:instrText xml:space="preserve"> PAGEREF _Toc17267 \h </w:instrText>
      </w:r>
      <w:r>
        <w:rPr>
          <w:rFonts w:hint="eastAsia" w:asciiTheme="minorEastAsia" w:hAnsiTheme="minorEastAsia" w:eastAsiaTheme="minorEastAsia" w:cstheme="minorEastAsia"/>
          <w:b/>
          <w:sz w:val="28"/>
          <w:szCs w:val="28"/>
        </w:rPr>
        <w:fldChar w:fldCharType="separate"/>
      </w:r>
      <w:r>
        <w:rPr>
          <w:rFonts w:hint="eastAsia" w:asciiTheme="minorEastAsia" w:hAnsiTheme="minorEastAsia" w:eastAsiaTheme="minorEastAsia" w:cstheme="minorEastAsia"/>
          <w:b/>
          <w:sz w:val="28"/>
          <w:szCs w:val="28"/>
        </w:rPr>
        <w:t>28</w:t>
      </w:r>
      <w:r>
        <w:rPr>
          <w:rFonts w:hint="eastAsia" w:asciiTheme="minorEastAsia" w:hAnsiTheme="minorEastAsia" w:eastAsiaTheme="minorEastAsia" w:cstheme="minorEastAsia"/>
          <w:b/>
          <w:sz w:val="28"/>
          <w:szCs w:val="28"/>
        </w:rPr>
        <w:fldChar w:fldCharType="end"/>
      </w:r>
      <w:r>
        <w:rPr>
          <w:rFonts w:hint="eastAsia" w:asciiTheme="minorEastAsia" w:hAnsiTheme="minorEastAsia" w:eastAsiaTheme="minorEastAsia" w:cstheme="minorEastAsia"/>
          <w:b/>
          <w:sz w:val="28"/>
          <w:szCs w:val="28"/>
        </w:rPr>
        <w:fldChar w:fldCharType="end"/>
      </w:r>
    </w:p>
    <w:p>
      <w:pPr>
        <w:pStyle w:val="11"/>
        <w:tabs>
          <w:tab w:val="right" w:leader="dot" w:pos="8845"/>
        </w:tabs>
        <w:spacing w:line="360" w:lineRule="auto"/>
        <w:rPr>
          <w:rFonts w:asciiTheme="minorEastAsia" w:hAnsiTheme="minorEastAsia" w:eastAsiaTheme="minorEastAsia" w:cstheme="minorEastAsia"/>
          <w:sz w:val="28"/>
          <w:szCs w:val="28"/>
        </w:rPr>
      </w:pPr>
      <w:r>
        <w:fldChar w:fldCharType="begin"/>
      </w:r>
      <w:r>
        <w:instrText xml:space="preserve"> HYPERLINK \l "_Toc14852" </w:instrText>
      </w:r>
      <w:r>
        <w:fldChar w:fldCharType="separate"/>
      </w:r>
      <w:r>
        <w:rPr>
          <w:rFonts w:hint="eastAsia" w:asciiTheme="minorEastAsia" w:hAnsiTheme="minorEastAsia" w:eastAsiaTheme="minorEastAsia" w:cstheme="minorEastAsia"/>
          <w:sz w:val="28"/>
          <w:szCs w:val="28"/>
        </w:rPr>
        <w:t>6.1 过渡期生活救助</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_Toc14852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1"/>
        <w:tabs>
          <w:tab w:val="right" w:leader="dot" w:pos="8845"/>
        </w:tabs>
        <w:spacing w:line="360" w:lineRule="auto"/>
        <w:rPr>
          <w:rFonts w:asciiTheme="minorEastAsia" w:hAnsiTheme="minorEastAsia" w:eastAsiaTheme="minorEastAsia" w:cstheme="minorEastAsia"/>
          <w:sz w:val="28"/>
          <w:szCs w:val="28"/>
        </w:rPr>
      </w:pPr>
      <w:r>
        <w:fldChar w:fldCharType="begin"/>
      </w:r>
      <w:r>
        <w:instrText xml:space="preserve"> HYPERLINK \l "_Toc28757" </w:instrText>
      </w:r>
      <w:r>
        <w:fldChar w:fldCharType="separate"/>
      </w:r>
      <w:r>
        <w:rPr>
          <w:rFonts w:hint="eastAsia" w:asciiTheme="minorEastAsia" w:hAnsiTheme="minorEastAsia" w:eastAsiaTheme="minorEastAsia" w:cstheme="minorEastAsia"/>
          <w:sz w:val="28"/>
          <w:szCs w:val="28"/>
        </w:rPr>
        <w:t>6.2 冬春救助</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_Toc28757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1"/>
        <w:tabs>
          <w:tab w:val="right" w:leader="dot" w:pos="8845"/>
        </w:tabs>
        <w:spacing w:line="360" w:lineRule="auto"/>
        <w:rPr>
          <w:rFonts w:asciiTheme="minorEastAsia" w:hAnsiTheme="minorEastAsia" w:eastAsiaTheme="minorEastAsia" w:cstheme="minorEastAsia"/>
          <w:sz w:val="28"/>
          <w:szCs w:val="28"/>
        </w:rPr>
      </w:pPr>
      <w:r>
        <w:fldChar w:fldCharType="begin"/>
      </w:r>
      <w:r>
        <w:instrText xml:space="preserve"> HYPERLINK \l "_Toc30662" </w:instrText>
      </w:r>
      <w:r>
        <w:fldChar w:fldCharType="separate"/>
      </w:r>
      <w:r>
        <w:rPr>
          <w:rFonts w:hint="eastAsia" w:asciiTheme="minorEastAsia" w:hAnsiTheme="minorEastAsia" w:eastAsiaTheme="minorEastAsia" w:cstheme="minorEastAsia"/>
          <w:sz w:val="28"/>
          <w:szCs w:val="28"/>
        </w:rPr>
        <w:t>6.3 倒损住房恢复重建</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_Toc30662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0"/>
        <w:tabs>
          <w:tab w:val="right" w:leader="dot" w:pos="8845"/>
        </w:tabs>
        <w:spacing w:line="360" w:lineRule="auto"/>
        <w:rPr>
          <w:rFonts w:asciiTheme="minorEastAsia" w:hAnsiTheme="minorEastAsia" w:eastAsiaTheme="minorEastAsia" w:cstheme="minorEastAsia"/>
          <w:b/>
          <w:sz w:val="28"/>
          <w:szCs w:val="28"/>
        </w:rPr>
      </w:pPr>
      <w:r>
        <w:fldChar w:fldCharType="begin"/>
      </w:r>
      <w:r>
        <w:instrText xml:space="preserve"> HYPERLINK \l "_Toc14578" </w:instrText>
      </w:r>
      <w:r>
        <w:fldChar w:fldCharType="separate"/>
      </w:r>
      <w:r>
        <w:rPr>
          <w:rFonts w:hint="eastAsia" w:asciiTheme="minorEastAsia" w:hAnsiTheme="minorEastAsia" w:eastAsiaTheme="minorEastAsia" w:cstheme="minorEastAsia"/>
          <w:b/>
          <w:sz w:val="28"/>
          <w:szCs w:val="28"/>
        </w:rPr>
        <w:t>7 保障措施</w:t>
      </w:r>
      <w:r>
        <w:rPr>
          <w:rFonts w:hint="eastAsia" w:asciiTheme="minorEastAsia" w:hAnsiTheme="minorEastAsia" w:eastAsiaTheme="minorEastAsia" w:cstheme="minorEastAsia"/>
          <w:b/>
          <w:sz w:val="28"/>
          <w:szCs w:val="28"/>
        </w:rPr>
        <w:tab/>
      </w:r>
      <w:r>
        <w:rPr>
          <w:rFonts w:hint="eastAsia" w:asciiTheme="minorEastAsia" w:hAnsiTheme="minorEastAsia" w:eastAsiaTheme="minorEastAsia" w:cstheme="minorEastAsia"/>
          <w:b/>
          <w:sz w:val="28"/>
          <w:szCs w:val="28"/>
        </w:rPr>
        <w:fldChar w:fldCharType="begin"/>
      </w:r>
      <w:r>
        <w:rPr>
          <w:rFonts w:hint="eastAsia" w:asciiTheme="minorEastAsia" w:hAnsiTheme="minorEastAsia" w:eastAsiaTheme="minorEastAsia" w:cstheme="minorEastAsia"/>
          <w:b/>
          <w:sz w:val="28"/>
          <w:szCs w:val="28"/>
        </w:rPr>
        <w:instrText xml:space="preserve"> PAGEREF _Toc14578 \h </w:instrText>
      </w:r>
      <w:r>
        <w:rPr>
          <w:rFonts w:hint="eastAsia" w:asciiTheme="minorEastAsia" w:hAnsiTheme="minorEastAsia" w:eastAsiaTheme="minorEastAsia" w:cstheme="minorEastAsia"/>
          <w:b/>
          <w:sz w:val="28"/>
          <w:szCs w:val="28"/>
        </w:rPr>
        <w:fldChar w:fldCharType="separate"/>
      </w:r>
      <w:r>
        <w:rPr>
          <w:rFonts w:hint="eastAsia" w:asciiTheme="minorEastAsia" w:hAnsiTheme="minorEastAsia" w:eastAsiaTheme="minorEastAsia" w:cstheme="minorEastAsia"/>
          <w:b/>
          <w:sz w:val="28"/>
          <w:szCs w:val="28"/>
        </w:rPr>
        <w:t>31</w:t>
      </w:r>
      <w:r>
        <w:rPr>
          <w:rFonts w:hint="eastAsia" w:asciiTheme="minorEastAsia" w:hAnsiTheme="minorEastAsia" w:eastAsiaTheme="minorEastAsia" w:cstheme="minorEastAsia"/>
          <w:b/>
          <w:sz w:val="28"/>
          <w:szCs w:val="28"/>
        </w:rPr>
        <w:fldChar w:fldCharType="end"/>
      </w:r>
      <w:r>
        <w:rPr>
          <w:rFonts w:hint="eastAsia" w:asciiTheme="minorEastAsia" w:hAnsiTheme="minorEastAsia" w:eastAsiaTheme="minorEastAsia" w:cstheme="minorEastAsia"/>
          <w:b/>
          <w:sz w:val="28"/>
          <w:szCs w:val="28"/>
        </w:rPr>
        <w:fldChar w:fldCharType="end"/>
      </w:r>
    </w:p>
    <w:p>
      <w:pPr>
        <w:pStyle w:val="11"/>
        <w:tabs>
          <w:tab w:val="right" w:leader="dot" w:pos="8845"/>
        </w:tabs>
        <w:spacing w:line="360" w:lineRule="auto"/>
        <w:rPr>
          <w:rFonts w:asciiTheme="minorEastAsia" w:hAnsiTheme="minorEastAsia" w:eastAsiaTheme="minorEastAsia" w:cstheme="minorEastAsia"/>
          <w:sz w:val="28"/>
          <w:szCs w:val="28"/>
        </w:rPr>
      </w:pPr>
      <w:r>
        <w:fldChar w:fldCharType="begin"/>
      </w:r>
      <w:r>
        <w:instrText xml:space="preserve"> HYPERLINK \l "_Toc10981" </w:instrText>
      </w:r>
      <w:r>
        <w:fldChar w:fldCharType="separate"/>
      </w:r>
      <w:r>
        <w:rPr>
          <w:rFonts w:hint="eastAsia" w:asciiTheme="minorEastAsia" w:hAnsiTheme="minorEastAsia" w:eastAsiaTheme="minorEastAsia" w:cstheme="minorEastAsia"/>
          <w:sz w:val="28"/>
          <w:szCs w:val="28"/>
        </w:rPr>
        <w:t>7.1 人力保障</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_Toc10981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1"/>
        <w:tabs>
          <w:tab w:val="right" w:leader="dot" w:pos="8845"/>
        </w:tabs>
        <w:spacing w:line="360" w:lineRule="auto"/>
        <w:rPr>
          <w:rFonts w:asciiTheme="minorEastAsia" w:hAnsiTheme="minorEastAsia" w:eastAsiaTheme="minorEastAsia" w:cstheme="minorEastAsia"/>
          <w:sz w:val="28"/>
          <w:szCs w:val="28"/>
        </w:rPr>
      </w:pPr>
      <w:r>
        <w:fldChar w:fldCharType="begin"/>
      </w:r>
      <w:r>
        <w:instrText xml:space="preserve"> HYPERLINK \l "_Toc16604" </w:instrText>
      </w:r>
      <w:r>
        <w:fldChar w:fldCharType="separate"/>
      </w:r>
      <w:r>
        <w:rPr>
          <w:rFonts w:hint="eastAsia" w:asciiTheme="minorEastAsia" w:hAnsiTheme="minorEastAsia" w:eastAsiaTheme="minorEastAsia" w:cstheme="minorEastAsia"/>
          <w:sz w:val="28"/>
          <w:szCs w:val="28"/>
        </w:rPr>
        <w:t>7.2 资金保障</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_Toc16604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1"/>
        <w:tabs>
          <w:tab w:val="right" w:leader="dot" w:pos="8845"/>
        </w:tabs>
        <w:spacing w:line="360" w:lineRule="auto"/>
        <w:rPr>
          <w:rFonts w:asciiTheme="minorEastAsia" w:hAnsiTheme="minorEastAsia" w:eastAsiaTheme="minorEastAsia" w:cstheme="minorEastAsia"/>
          <w:sz w:val="28"/>
          <w:szCs w:val="28"/>
        </w:rPr>
      </w:pPr>
      <w:r>
        <w:fldChar w:fldCharType="begin"/>
      </w:r>
      <w:r>
        <w:instrText xml:space="preserve"> HYPERLINK \l "_Toc22263" </w:instrText>
      </w:r>
      <w:r>
        <w:fldChar w:fldCharType="separate"/>
      </w:r>
      <w:r>
        <w:rPr>
          <w:rFonts w:hint="eastAsia" w:asciiTheme="minorEastAsia" w:hAnsiTheme="minorEastAsia" w:eastAsiaTheme="minorEastAsia" w:cstheme="minorEastAsia"/>
          <w:sz w:val="28"/>
          <w:szCs w:val="28"/>
        </w:rPr>
        <w:t>7.3 物资保障</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_Toc22263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1"/>
        <w:tabs>
          <w:tab w:val="right" w:leader="dot" w:pos="8845"/>
        </w:tabs>
        <w:spacing w:line="360" w:lineRule="auto"/>
        <w:rPr>
          <w:rFonts w:asciiTheme="minorEastAsia" w:hAnsiTheme="minorEastAsia" w:eastAsiaTheme="minorEastAsia" w:cstheme="minorEastAsia"/>
          <w:sz w:val="28"/>
          <w:szCs w:val="28"/>
        </w:rPr>
      </w:pPr>
      <w:r>
        <w:fldChar w:fldCharType="begin"/>
      </w:r>
      <w:r>
        <w:instrText xml:space="preserve"> HYPERLINK \l "_Toc31318" </w:instrText>
      </w:r>
      <w:r>
        <w:fldChar w:fldCharType="separate"/>
      </w:r>
      <w:r>
        <w:rPr>
          <w:rFonts w:hint="eastAsia" w:asciiTheme="minorEastAsia" w:hAnsiTheme="minorEastAsia" w:eastAsiaTheme="minorEastAsia" w:cstheme="minorEastAsia"/>
          <w:sz w:val="28"/>
          <w:szCs w:val="28"/>
        </w:rPr>
        <w:t>7.4 应急避难场所保障</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_Toc31318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1"/>
        <w:tabs>
          <w:tab w:val="right" w:leader="dot" w:pos="8845"/>
        </w:tabs>
        <w:spacing w:line="360" w:lineRule="auto"/>
        <w:rPr>
          <w:rFonts w:asciiTheme="minorEastAsia" w:hAnsiTheme="minorEastAsia" w:eastAsiaTheme="minorEastAsia" w:cstheme="minorEastAsia"/>
          <w:sz w:val="28"/>
          <w:szCs w:val="28"/>
        </w:rPr>
      </w:pPr>
      <w:r>
        <w:fldChar w:fldCharType="begin"/>
      </w:r>
      <w:r>
        <w:instrText xml:space="preserve"> HYPERLINK \l "_Toc22038" </w:instrText>
      </w:r>
      <w:r>
        <w:fldChar w:fldCharType="separate"/>
      </w:r>
      <w:r>
        <w:rPr>
          <w:rFonts w:hint="eastAsia" w:asciiTheme="minorEastAsia" w:hAnsiTheme="minorEastAsia" w:eastAsiaTheme="minorEastAsia" w:cstheme="minorEastAsia"/>
          <w:sz w:val="28"/>
          <w:szCs w:val="28"/>
        </w:rPr>
        <w:t>7.5 通信保障</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_Toc22038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1"/>
        <w:tabs>
          <w:tab w:val="right" w:leader="dot" w:pos="8845"/>
        </w:tabs>
        <w:spacing w:line="360" w:lineRule="auto"/>
        <w:rPr>
          <w:rFonts w:asciiTheme="minorEastAsia" w:hAnsiTheme="minorEastAsia" w:eastAsiaTheme="minorEastAsia" w:cstheme="minorEastAsia"/>
          <w:sz w:val="28"/>
          <w:szCs w:val="28"/>
        </w:rPr>
      </w:pPr>
      <w:r>
        <w:fldChar w:fldCharType="begin"/>
      </w:r>
      <w:r>
        <w:instrText xml:space="preserve"> HYPERLINK \l "_Toc19566" </w:instrText>
      </w:r>
      <w:r>
        <w:fldChar w:fldCharType="separate"/>
      </w:r>
      <w:r>
        <w:rPr>
          <w:rFonts w:hint="eastAsia" w:asciiTheme="minorEastAsia" w:hAnsiTheme="minorEastAsia" w:eastAsiaTheme="minorEastAsia" w:cstheme="minorEastAsia"/>
          <w:sz w:val="28"/>
          <w:szCs w:val="28"/>
        </w:rPr>
        <w:t>7.6 保险保障</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_Toc19566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1"/>
        <w:tabs>
          <w:tab w:val="right" w:leader="dot" w:pos="8845"/>
        </w:tabs>
        <w:spacing w:line="360" w:lineRule="auto"/>
        <w:rPr>
          <w:rFonts w:asciiTheme="minorEastAsia" w:hAnsiTheme="minorEastAsia" w:eastAsiaTheme="minorEastAsia" w:cstheme="minorEastAsia"/>
          <w:sz w:val="28"/>
          <w:szCs w:val="28"/>
        </w:rPr>
      </w:pPr>
      <w:r>
        <w:fldChar w:fldCharType="begin"/>
      </w:r>
      <w:r>
        <w:instrText xml:space="preserve"> HYPERLINK \l "_Toc31501" </w:instrText>
      </w:r>
      <w:r>
        <w:fldChar w:fldCharType="separate"/>
      </w:r>
      <w:r>
        <w:rPr>
          <w:rFonts w:hint="eastAsia" w:asciiTheme="minorEastAsia" w:hAnsiTheme="minorEastAsia" w:eastAsiaTheme="minorEastAsia" w:cstheme="minorEastAsia"/>
          <w:sz w:val="28"/>
          <w:szCs w:val="28"/>
        </w:rPr>
        <w:t>7.7 社会动员保障</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_Toc31501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1"/>
        <w:tabs>
          <w:tab w:val="right" w:leader="dot" w:pos="8845"/>
        </w:tabs>
        <w:spacing w:line="360" w:lineRule="auto"/>
        <w:rPr>
          <w:rFonts w:asciiTheme="minorEastAsia" w:hAnsiTheme="minorEastAsia" w:eastAsiaTheme="minorEastAsia" w:cstheme="minorEastAsia"/>
          <w:sz w:val="28"/>
          <w:szCs w:val="28"/>
        </w:rPr>
      </w:pPr>
      <w:r>
        <w:fldChar w:fldCharType="begin"/>
      </w:r>
      <w:r>
        <w:instrText xml:space="preserve"> HYPERLINK \l "_Toc28399" </w:instrText>
      </w:r>
      <w:r>
        <w:fldChar w:fldCharType="separate"/>
      </w:r>
      <w:r>
        <w:rPr>
          <w:rFonts w:hint="eastAsia" w:asciiTheme="minorEastAsia" w:hAnsiTheme="minorEastAsia" w:eastAsiaTheme="minorEastAsia" w:cstheme="minorEastAsia"/>
          <w:sz w:val="28"/>
          <w:szCs w:val="28"/>
        </w:rPr>
        <w:t>7.8 科技保障</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_Toc28399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1"/>
        <w:tabs>
          <w:tab w:val="right" w:leader="dot" w:pos="8845"/>
        </w:tabs>
        <w:spacing w:line="360" w:lineRule="auto"/>
        <w:rPr>
          <w:rFonts w:asciiTheme="minorEastAsia" w:hAnsiTheme="minorEastAsia" w:eastAsiaTheme="minorEastAsia" w:cstheme="minorEastAsia"/>
          <w:sz w:val="28"/>
          <w:szCs w:val="28"/>
        </w:rPr>
      </w:pPr>
      <w:r>
        <w:fldChar w:fldCharType="begin"/>
      </w:r>
      <w:r>
        <w:instrText xml:space="preserve"> HYPERLINK \l "_Toc13817" </w:instrText>
      </w:r>
      <w:r>
        <w:fldChar w:fldCharType="separate"/>
      </w:r>
      <w:r>
        <w:rPr>
          <w:rFonts w:hint="eastAsia" w:asciiTheme="minorEastAsia" w:hAnsiTheme="minorEastAsia" w:eastAsiaTheme="minorEastAsia" w:cstheme="minorEastAsia"/>
          <w:sz w:val="28"/>
          <w:szCs w:val="28"/>
        </w:rPr>
        <w:t>7.9 交通保障</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_Toc13817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0"/>
        <w:tabs>
          <w:tab w:val="right" w:leader="dot" w:pos="8845"/>
        </w:tabs>
        <w:spacing w:line="360" w:lineRule="auto"/>
        <w:rPr>
          <w:rFonts w:asciiTheme="minorEastAsia" w:hAnsiTheme="minorEastAsia" w:eastAsiaTheme="minorEastAsia" w:cstheme="minorEastAsia"/>
          <w:b/>
          <w:sz w:val="28"/>
          <w:szCs w:val="28"/>
        </w:rPr>
      </w:pPr>
      <w:r>
        <w:fldChar w:fldCharType="begin"/>
      </w:r>
      <w:r>
        <w:instrText xml:space="preserve"> HYPERLINK \l "_Toc21242" </w:instrText>
      </w:r>
      <w:r>
        <w:fldChar w:fldCharType="separate"/>
      </w:r>
      <w:r>
        <w:rPr>
          <w:rFonts w:hint="eastAsia" w:asciiTheme="minorEastAsia" w:hAnsiTheme="minorEastAsia" w:eastAsiaTheme="minorEastAsia" w:cstheme="minorEastAsia"/>
          <w:b/>
          <w:sz w:val="28"/>
          <w:szCs w:val="28"/>
        </w:rPr>
        <w:t>8 监督管理</w:t>
      </w:r>
      <w:r>
        <w:rPr>
          <w:rFonts w:hint="eastAsia" w:asciiTheme="minorEastAsia" w:hAnsiTheme="minorEastAsia" w:eastAsiaTheme="minorEastAsia" w:cstheme="minorEastAsia"/>
          <w:b/>
          <w:sz w:val="28"/>
          <w:szCs w:val="28"/>
        </w:rPr>
        <w:tab/>
      </w:r>
      <w:r>
        <w:rPr>
          <w:rFonts w:hint="eastAsia" w:asciiTheme="minorEastAsia" w:hAnsiTheme="minorEastAsia" w:eastAsiaTheme="minorEastAsia" w:cstheme="minorEastAsia"/>
          <w:b/>
          <w:sz w:val="28"/>
          <w:szCs w:val="28"/>
        </w:rPr>
        <w:fldChar w:fldCharType="begin"/>
      </w:r>
      <w:r>
        <w:rPr>
          <w:rFonts w:hint="eastAsia" w:asciiTheme="minorEastAsia" w:hAnsiTheme="minorEastAsia" w:eastAsiaTheme="minorEastAsia" w:cstheme="minorEastAsia"/>
          <w:b/>
          <w:sz w:val="28"/>
          <w:szCs w:val="28"/>
        </w:rPr>
        <w:instrText xml:space="preserve"> PAGEREF _Toc21242 \h </w:instrText>
      </w:r>
      <w:r>
        <w:rPr>
          <w:rFonts w:hint="eastAsia" w:asciiTheme="minorEastAsia" w:hAnsiTheme="minorEastAsia" w:eastAsiaTheme="minorEastAsia" w:cstheme="minorEastAsia"/>
          <w:b/>
          <w:sz w:val="28"/>
          <w:szCs w:val="28"/>
        </w:rPr>
        <w:fldChar w:fldCharType="separate"/>
      </w:r>
      <w:r>
        <w:rPr>
          <w:rFonts w:hint="eastAsia" w:asciiTheme="minorEastAsia" w:hAnsiTheme="minorEastAsia" w:eastAsiaTheme="minorEastAsia" w:cstheme="minorEastAsia"/>
          <w:b/>
          <w:sz w:val="28"/>
          <w:szCs w:val="28"/>
        </w:rPr>
        <w:t>34</w:t>
      </w:r>
      <w:r>
        <w:rPr>
          <w:rFonts w:hint="eastAsia" w:asciiTheme="minorEastAsia" w:hAnsiTheme="minorEastAsia" w:eastAsiaTheme="minorEastAsia" w:cstheme="minorEastAsia"/>
          <w:b/>
          <w:sz w:val="28"/>
          <w:szCs w:val="28"/>
        </w:rPr>
        <w:fldChar w:fldCharType="end"/>
      </w:r>
      <w:r>
        <w:rPr>
          <w:rFonts w:hint="eastAsia" w:asciiTheme="minorEastAsia" w:hAnsiTheme="minorEastAsia" w:eastAsiaTheme="minorEastAsia" w:cstheme="minorEastAsia"/>
          <w:b/>
          <w:sz w:val="28"/>
          <w:szCs w:val="28"/>
        </w:rPr>
        <w:fldChar w:fldCharType="end"/>
      </w:r>
    </w:p>
    <w:p>
      <w:pPr>
        <w:pStyle w:val="11"/>
        <w:tabs>
          <w:tab w:val="right" w:leader="dot" w:pos="8845"/>
        </w:tabs>
        <w:spacing w:line="360" w:lineRule="auto"/>
        <w:rPr>
          <w:rFonts w:asciiTheme="minorEastAsia" w:hAnsiTheme="minorEastAsia" w:eastAsiaTheme="minorEastAsia" w:cstheme="minorEastAsia"/>
          <w:sz w:val="28"/>
          <w:szCs w:val="28"/>
        </w:rPr>
      </w:pPr>
      <w:r>
        <w:fldChar w:fldCharType="begin"/>
      </w:r>
      <w:r>
        <w:instrText xml:space="preserve"> HYPERLINK \l "_Toc22284" </w:instrText>
      </w:r>
      <w:r>
        <w:fldChar w:fldCharType="separate"/>
      </w:r>
      <w:r>
        <w:rPr>
          <w:rFonts w:hint="eastAsia" w:asciiTheme="minorEastAsia" w:hAnsiTheme="minorEastAsia" w:eastAsiaTheme="minorEastAsia" w:cstheme="minorEastAsia"/>
          <w:sz w:val="28"/>
          <w:szCs w:val="28"/>
        </w:rPr>
        <w:t>8.1 责任与奖惩</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_Toc22284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1"/>
        <w:tabs>
          <w:tab w:val="right" w:leader="dot" w:pos="8845"/>
        </w:tabs>
        <w:spacing w:line="360" w:lineRule="auto"/>
        <w:rPr>
          <w:rFonts w:asciiTheme="minorEastAsia" w:hAnsiTheme="minorEastAsia" w:eastAsiaTheme="minorEastAsia" w:cstheme="minorEastAsia"/>
          <w:sz w:val="28"/>
          <w:szCs w:val="28"/>
        </w:rPr>
      </w:pPr>
      <w:r>
        <w:fldChar w:fldCharType="begin"/>
      </w:r>
      <w:r>
        <w:instrText xml:space="preserve"> HYPERLINK \l "_Toc25920" </w:instrText>
      </w:r>
      <w:r>
        <w:fldChar w:fldCharType="separate"/>
      </w:r>
      <w:r>
        <w:rPr>
          <w:rFonts w:hint="eastAsia" w:asciiTheme="minorEastAsia" w:hAnsiTheme="minorEastAsia" w:eastAsiaTheme="minorEastAsia" w:cstheme="minorEastAsia"/>
          <w:sz w:val="28"/>
          <w:szCs w:val="28"/>
        </w:rPr>
        <w:t>8.2 预案管理</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_Toc25920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1"/>
        <w:tabs>
          <w:tab w:val="right" w:leader="dot" w:pos="8845"/>
        </w:tabs>
        <w:spacing w:line="360" w:lineRule="auto"/>
        <w:rPr>
          <w:rFonts w:asciiTheme="minorEastAsia" w:hAnsiTheme="minorEastAsia" w:eastAsiaTheme="minorEastAsia" w:cstheme="minorEastAsia"/>
          <w:sz w:val="28"/>
          <w:szCs w:val="28"/>
        </w:rPr>
      </w:pPr>
      <w:r>
        <w:fldChar w:fldCharType="begin"/>
      </w:r>
      <w:r>
        <w:instrText xml:space="preserve"> HYPERLINK \l "_Toc10326" </w:instrText>
      </w:r>
      <w:r>
        <w:fldChar w:fldCharType="separate"/>
      </w:r>
      <w:r>
        <w:rPr>
          <w:rFonts w:hint="eastAsia" w:asciiTheme="minorEastAsia" w:hAnsiTheme="minorEastAsia" w:eastAsiaTheme="minorEastAsia" w:cstheme="minorEastAsia"/>
          <w:sz w:val="28"/>
          <w:szCs w:val="28"/>
        </w:rPr>
        <w:t>8.3 预案演练</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_Toc10326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1"/>
        <w:tabs>
          <w:tab w:val="right" w:leader="dot" w:pos="8845"/>
        </w:tabs>
        <w:spacing w:line="360" w:lineRule="auto"/>
        <w:rPr>
          <w:rFonts w:asciiTheme="minorEastAsia" w:hAnsiTheme="minorEastAsia" w:eastAsiaTheme="minorEastAsia" w:cstheme="minorEastAsia"/>
          <w:sz w:val="28"/>
          <w:szCs w:val="28"/>
        </w:rPr>
      </w:pPr>
      <w:r>
        <w:fldChar w:fldCharType="begin"/>
      </w:r>
      <w:r>
        <w:instrText xml:space="preserve"> HYPERLINK \l "_Toc7988" </w:instrText>
      </w:r>
      <w:r>
        <w:fldChar w:fldCharType="separate"/>
      </w:r>
      <w:r>
        <w:rPr>
          <w:rFonts w:hint="eastAsia" w:asciiTheme="minorEastAsia" w:hAnsiTheme="minorEastAsia" w:eastAsiaTheme="minorEastAsia" w:cstheme="minorEastAsia"/>
          <w:sz w:val="28"/>
          <w:szCs w:val="28"/>
        </w:rPr>
        <w:t>8.4 宣传教育</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_Toc7988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1"/>
        <w:tabs>
          <w:tab w:val="right" w:leader="dot" w:pos="8845"/>
        </w:tabs>
        <w:spacing w:line="360" w:lineRule="auto"/>
        <w:rPr>
          <w:rFonts w:asciiTheme="minorEastAsia" w:hAnsiTheme="minorEastAsia" w:eastAsiaTheme="minorEastAsia" w:cstheme="minorEastAsia"/>
          <w:sz w:val="28"/>
          <w:szCs w:val="28"/>
        </w:rPr>
      </w:pPr>
      <w:r>
        <w:fldChar w:fldCharType="begin"/>
      </w:r>
      <w:r>
        <w:instrText xml:space="preserve"> HYPERLINK \l "_Toc7854" </w:instrText>
      </w:r>
      <w:r>
        <w:fldChar w:fldCharType="separate"/>
      </w:r>
      <w:r>
        <w:rPr>
          <w:rFonts w:hint="eastAsia" w:asciiTheme="minorEastAsia" w:hAnsiTheme="minorEastAsia" w:eastAsiaTheme="minorEastAsia" w:cstheme="minorEastAsia"/>
          <w:sz w:val="28"/>
          <w:szCs w:val="28"/>
        </w:rPr>
        <w:t>8.5 预案解释</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_Toc7854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1"/>
        <w:tabs>
          <w:tab w:val="right" w:leader="dot" w:pos="8845"/>
        </w:tabs>
        <w:spacing w:line="360" w:lineRule="auto"/>
        <w:rPr>
          <w:rFonts w:asciiTheme="minorEastAsia" w:hAnsiTheme="minorEastAsia" w:eastAsiaTheme="minorEastAsia" w:cstheme="minorEastAsia"/>
          <w:sz w:val="28"/>
          <w:szCs w:val="28"/>
        </w:rPr>
      </w:pPr>
      <w:r>
        <w:fldChar w:fldCharType="begin"/>
      </w:r>
      <w:r>
        <w:instrText xml:space="preserve"> HYPERLINK \l "_Toc18097" </w:instrText>
      </w:r>
      <w:r>
        <w:fldChar w:fldCharType="separate"/>
      </w:r>
      <w:r>
        <w:rPr>
          <w:rFonts w:hint="eastAsia" w:asciiTheme="minorEastAsia" w:hAnsiTheme="minorEastAsia" w:eastAsiaTheme="minorEastAsia" w:cstheme="minorEastAsia"/>
          <w:sz w:val="28"/>
          <w:szCs w:val="28"/>
        </w:rPr>
        <w:t>8.6 预案实施时间</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_Toc18097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0"/>
        <w:tabs>
          <w:tab w:val="right" w:leader="dot" w:pos="8845"/>
        </w:tabs>
        <w:spacing w:line="360" w:lineRule="auto"/>
        <w:rPr>
          <w:rFonts w:asciiTheme="minorEastAsia" w:hAnsiTheme="minorEastAsia" w:eastAsiaTheme="minorEastAsia" w:cstheme="minorEastAsia"/>
          <w:b/>
          <w:bCs/>
          <w:sz w:val="28"/>
          <w:szCs w:val="28"/>
        </w:rPr>
      </w:pPr>
      <w:r>
        <w:fldChar w:fldCharType="begin"/>
      </w:r>
      <w:r>
        <w:instrText xml:space="preserve"> HYPERLINK \l "_Toc9028" </w:instrText>
      </w:r>
      <w:r>
        <w:fldChar w:fldCharType="separate"/>
      </w:r>
      <w:r>
        <w:rPr>
          <w:rFonts w:hint="eastAsia" w:asciiTheme="minorEastAsia" w:hAnsiTheme="minorEastAsia" w:eastAsiaTheme="minorEastAsia" w:cstheme="minorEastAsia"/>
          <w:b/>
          <w:bCs/>
          <w:sz w:val="28"/>
          <w:szCs w:val="28"/>
        </w:rPr>
        <w:t>9 附件</w:t>
      </w:r>
      <w:r>
        <w:rPr>
          <w:rFonts w:hint="eastAsia" w:asciiTheme="minorEastAsia" w:hAnsiTheme="minorEastAsia" w:eastAsiaTheme="minorEastAsia" w:cstheme="minorEastAsia"/>
          <w:b/>
          <w:bCs/>
          <w:sz w:val="28"/>
          <w:szCs w:val="28"/>
        </w:rPr>
        <w:tab/>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PAGEREF _Toc9028 \h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36</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sz w:val="28"/>
          <w:szCs w:val="28"/>
        </w:rPr>
        <w:fldChar w:fldCharType="end"/>
      </w:r>
    </w:p>
    <w:p>
      <w:pPr>
        <w:pStyle w:val="11"/>
        <w:tabs>
          <w:tab w:val="right" w:leader="dot" w:pos="8845"/>
        </w:tabs>
        <w:spacing w:line="360" w:lineRule="auto"/>
        <w:rPr>
          <w:rFonts w:asciiTheme="minorEastAsia" w:hAnsiTheme="minorEastAsia" w:eastAsiaTheme="minorEastAsia" w:cstheme="minorEastAsia"/>
          <w:sz w:val="28"/>
          <w:szCs w:val="28"/>
        </w:rPr>
      </w:pPr>
      <w:r>
        <w:fldChar w:fldCharType="begin"/>
      </w:r>
      <w:r>
        <w:instrText xml:space="preserve"> HYPERLINK \l "_Toc30694" </w:instrText>
      </w:r>
      <w:r>
        <w:fldChar w:fldCharType="separate"/>
      </w:r>
      <w:r>
        <w:rPr>
          <w:rFonts w:hint="eastAsia" w:asciiTheme="minorEastAsia" w:hAnsiTheme="minorEastAsia" w:eastAsiaTheme="minorEastAsia" w:cstheme="minorEastAsia"/>
          <w:sz w:val="28"/>
          <w:szCs w:val="28"/>
        </w:rPr>
        <w:t>9.1 海棠区各部门(单位)主要负责人通讯录</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_Toc30694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1"/>
        <w:tabs>
          <w:tab w:val="right" w:leader="dot" w:pos="8845"/>
        </w:tabs>
        <w:spacing w:line="360" w:lineRule="auto"/>
        <w:rPr>
          <w:rFonts w:asciiTheme="minorEastAsia" w:hAnsiTheme="minorEastAsia" w:eastAsiaTheme="minorEastAsia" w:cstheme="minorEastAsia"/>
          <w:sz w:val="28"/>
          <w:szCs w:val="28"/>
        </w:rPr>
      </w:pPr>
      <w:r>
        <w:fldChar w:fldCharType="begin"/>
      </w:r>
      <w:r>
        <w:instrText xml:space="preserve"> HYPERLINK \l "_Toc16992" </w:instrText>
      </w:r>
      <w:r>
        <w:fldChar w:fldCharType="separate"/>
      </w:r>
      <w:r>
        <w:rPr>
          <w:rFonts w:hint="eastAsia" w:asciiTheme="minorEastAsia" w:hAnsiTheme="minorEastAsia" w:eastAsiaTheme="minorEastAsia" w:cstheme="minorEastAsia"/>
          <w:sz w:val="28"/>
          <w:szCs w:val="28"/>
        </w:rPr>
        <w:t>9.2 海棠区自然灾害救助应急专家通讯录</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_Toc16992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1"/>
        <w:tabs>
          <w:tab w:val="right" w:leader="dot" w:pos="8845"/>
        </w:tabs>
        <w:spacing w:line="360" w:lineRule="auto"/>
        <w:rPr>
          <w:rFonts w:asciiTheme="minorEastAsia" w:hAnsiTheme="minorEastAsia" w:eastAsiaTheme="minorEastAsia" w:cstheme="minorEastAsia"/>
          <w:sz w:val="28"/>
          <w:szCs w:val="28"/>
        </w:rPr>
      </w:pPr>
      <w:r>
        <w:fldChar w:fldCharType="begin"/>
      </w:r>
      <w:r>
        <w:instrText xml:space="preserve"> HYPERLINK \l "_Toc13188" </w:instrText>
      </w:r>
      <w:r>
        <w:fldChar w:fldCharType="separate"/>
      </w:r>
      <w:r>
        <w:rPr>
          <w:rFonts w:hint="eastAsia" w:asciiTheme="minorEastAsia" w:hAnsiTheme="minorEastAsia" w:eastAsiaTheme="minorEastAsia" w:cstheme="minorEastAsia"/>
          <w:sz w:val="28"/>
          <w:szCs w:val="28"/>
        </w:rPr>
        <w:t>9.3 海棠区各村（居）委会应急工作人员通讯录</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_Toc13188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spacing w:line="360" w:lineRule="auto"/>
        <w:rPr>
          <w:rFonts w:asciiTheme="minorEastAsia" w:hAnsiTheme="minorEastAsia" w:eastAsiaTheme="minorEastAsia" w:cstheme="minorEastAsia"/>
          <w:b/>
          <w:bCs/>
          <w:spacing w:val="-3"/>
          <w:sz w:val="28"/>
          <w:szCs w:val="28"/>
        </w:rPr>
      </w:pPr>
      <w:r>
        <w:rPr>
          <w:rFonts w:hint="eastAsia" w:asciiTheme="minorEastAsia" w:hAnsiTheme="minorEastAsia" w:eastAsiaTheme="minorEastAsia" w:cstheme="minorEastAsia"/>
          <w:bCs/>
          <w:spacing w:val="-3"/>
          <w:sz w:val="28"/>
          <w:szCs w:val="28"/>
        </w:rPr>
        <w:fldChar w:fldCharType="end"/>
      </w:r>
    </w:p>
    <w:p>
      <w:pPr>
        <w:spacing w:line="600" w:lineRule="exact"/>
        <w:jc w:val="center"/>
        <w:rPr>
          <w:rFonts w:ascii="宋体" w:hAnsi="宋体" w:eastAsia="宋体" w:cs="宋体"/>
          <w:b/>
          <w:bCs/>
          <w:spacing w:val="-3"/>
          <w:sz w:val="44"/>
          <w:szCs w:val="44"/>
        </w:rPr>
      </w:pPr>
    </w:p>
    <w:p>
      <w:pPr>
        <w:spacing w:line="600" w:lineRule="exact"/>
        <w:jc w:val="center"/>
        <w:rPr>
          <w:rFonts w:ascii="宋体" w:hAnsi="宋体" w:eastAsia="宋体" w:cs="宋体"/>
          <w:b/>
          <w:bCs/>
          <w:spacing w:val="-3"/>
          <w:sz w:val="44"/>
          <w:szCs w:val="44"/>
        </w:rPr>
        <w:sectPr>
          <w:footerReference r:id="rId3" w:type="default"/>
          <w:pgSz w:w="11906" w:h="16838"/>
          <w:pgMar w:top="1814" w:right="1474" w:bottom="1814" w:left="1587" w:header="851" w:footer="992" w:gutter="0"/>
          <w:pgNumType w:start="1"/>
          <w:cols w:space="425" w:num="1"/>
          <w:docGrid w:type="lines" w:linePitch="312" w:charSpace="0"/>
        </w:sectPr>
      </w:pPr>
    </w:p>
    <w:p>
      <w:pPr>
        <w:pStyle w:val="3"/>
        <w:ind w:firstLine="720"/>
        <w:rPr>
          <w:rFonts w:ascii="仿宋_GB2312" w:hAnsi="仿宋_GB2312" w:eastAsia="仿宋_GB2312" w:cs="仿宋_GB2312"/>
          <w:bCs/>
          <w:spacing w:val="-3"/>
          <w:sz w:val="36"/>
          <w:szCs w:val="36"/>
        </w:rPr>
      </w:pPr>
      <w:bookmarkStart w:id="0" w:name="_Toc13854"/>
      <w:r>
        <w:rPr>
          <w:rStyle w:val="56"/>
          <w:rFonts w:hint="eastAsia" w:ascii="黑体" w:hAnsi="黑体" w:cs="黑体"/>
          <w:bCs/>
          <w:sz w:val="36"/>
          <w:szCs w:val="36"/>
        </w:rPr>
        <w:t>1 总则</w:t>
      </w:r>
      <w:bookmarkEnd w:id="0"/>
      <w:r>
        <w:rPr>
          <w:rFonts w:hint="eastAsia" w:ascii="仿宋_GB2312" w:hAnsi="仿宋_GB2312" w:eastAsia="仿宋_GB2312" w:cs="仿宋_GB2312"/>
          <w:bCs/>
          <w:spacing w:val="-3"/>
          <w:sz w:val="36"/>
          <w:szCs w:val="36"/>
        </w:rPr>
        <w:t xml:space="preserve"> </w:t>
      </w:r>
    </w:p>
    <w:p>
      <w:pPr>
        <w:pStyle w:val="4"/>
        <w:ind w:firstLine="643"/>
        <w:rPr>
          <w:rFonts w:asciiTheme="minorEastAsia" w:hAnsiTheme="minorEastAsia" w:eastAsiaTheme="minorEastAsia"/>
          <w:b/>
        </w:rPr>
      </w:pPr>
      <w:bookmarkStart w:id="1" w:name="_Toc24528"/>
      <w:r>
        <w:rPr>
          <w:rFonts w:hint="eastAsia" w:cs="楷体_GB2312" w:asciiTheme="minorEastAsia" w:hAnsiTheme="minorEastAsia" w:eastAsiaTheme="minorEastAsia"/>
          <w:b/>
        </w:rPr>
        <w:t>1.1 编制目的</w:t>
      </w:r>
      <w:bookmarkEnd w:id="1"/>
    </w:p>
    <w:p>
      <w:pPr>
        <w:spacing w:line="200" w:lineRule="exact"/>
        <w:ind w:firstLine="628" w:firstLineChars="200"/>
        <w:rPr>
          <w:rFonts w:ascii="仿宋_GB2312" w:hAnsi="仿宋_GB2312" w:eastAsia="仿宋_GB2312" w:cs="仿宋_GB2312"/>
          <w:spacing w:val="-3"/>
          <w:sz w:val="32"/>
          <w:szCs w:val="32"/>
        </w:rPr>
      </w:pPr>
    </w:p>
    <w:p>
      <w:pPr>
        <w:spacing w:line="360" w:lineRule="auto"/>
        <w:ind w:firstLine="628" w:firstLineChars="200"/>
        <w:rPr>
          <w:rFonts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深入贯彻落实防灾减灾救灾新理念，按照市委、市政府工作要求，建立健全海棠区应对突发重大自然灾害紧急救助体系和运行机制，规范自然灾害应急救助行为，提高我区自然灾害应急救助能力，按照优化、协同、高效地实施应急救助，最大程度地减少自然灾害对人民群众生命和财产造成的损失，切实保障受灾人员的基本生活，维护灾区社会稳定。</w:t>
      </w:r>
    </w:p>
    <w:p>
      <w:pPr>
        <w:pStyle w:val="4"/>
        <w:ind w:firstLine="643"/>
        <w:rPr>
          <w:rFonts w:cs="楷体_GB2312" w:asciiTheme="minorEastAsia" w:hAnsiTheme="minorEastAsia" w:eastAsiaTheme="minorEastAsia"/>
          <w:b/>
        </w:rPr>
      </w:pPr>
      <w:bookmarkStart w:id="2" w:name="_Toc3045"/>
      <w:r>
        <w:rPr>
          <w:rFonts w:hint="eastAsia" w:cs="楷体_GB2312" w:asciiTheme="minorEastAsia" w:hAnsiTheme="minorEastAsia" w:eastAsiaTheme="minorEastAsia"/>
          <w:b/>
        </w:rPr>
        <w:t>1.2 编制依据</w:t>
      </w:r>
      <w:bookmarkEnd w:id="2"/>
      <w:r>
        <w:rPr>
          <w:rFonts w:hint="eastAsia" w:cs="楷体_GB2312" w:asciiTheme="minorEastAsia" w:hAnsiTheme="minorEastAsia" w:eastAsiaTheme="minorEastAsia"/>
          <w:b/>
        </w:rPr>
        <w:t xml:space="preserve"> </w:t>
      </w:r>
    </w:p>
    <w:p>
      <w:pPr>
        <w:pageBreakBefore w:val="0"/>
        <w:widowControl/>
        <w:kinsoku w:val="0"/>
        <w:wordWrap/>
        <w:overflowPunct/>
        <w:topLinePunct w:val="0"/>
        <w:autoSpaceDE w:val="0"/>
        <w:autoSpaceDN w:val="0"/>
        <w:bidi w:val="0"/>
        <w:adjustRightInd w:val="0"/>
        <w:snapToGrid w:val="0"/>
        <w:spacing w:line="600" w:lineRule="exact"/>
        <w:ind w:firstLine="628" w:firstLineChars="200"/>
        <w:textAlignment w:val="baseline"/>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依据《中华人民共和国突发事件应对法》《中华人民共和国防洪法》《中华人民共和国气象法》《中华人民共和国防震减灾法》《自然灾害救助条例》《自然灾害情况统计调查制度》《海南省突发事件应对条例》《海南省防汛防旱防风条例》《海南省自然灾害救助办法》《国家自然灾害救助应急预案》《海南省自然灾害救助应急预案》《三亚市自然灾害救助应急预案》《三亚市突发事件总体应急预案》《海棠区突发事件总体应急预案》等法律法规及有关规定，制定本预案。</w:t>
      </w:r>
    </w:p>
    <w:p>
      <w:pPr>
        <w:pStyle w:val="4"/>
        <w:spacing w:line="360" w:lineRule="auto"/>
        <w:ind w:firstLine="643"/>
        <w:rPr>
          <w:rFonts w:hint="eastAsia" w:cs="楷体_GB2312" w:asciiTheme="minorEastAsia" w:hAnsiTheme="minorEastAsia" w:eastAsiaTheme="minorEastAsia"/>
          <w:b/>
        </w:rPr>
      </w:pPr>
      <w:bookmarkStart w:id="3" w:name="_Toc27413"/>
      <w:r>
        <w:rPr>
          <w:rFonts w:hint="eastAsia" w:cs="楷体_GB2312" w:asciiTheme="minorEastAsia" w:hAnsiTheme="minorEastAsia" w:eastAsiaTheme="minorEastAsia"/>
          <w:b/>
        </w:rPr>
        <w:t>1.3 适用范围</w:t>
      </w:r>
      <w:bookmarkEnd w:id="3"/>
      <w:r>
        <w:rPr>
          <w:rFonts w:hint="eastAsia" w:cs="楷体_GB2312" w:asciiTheme="minorEastAsia" w:hAnsiTheme="minorEastAsia" w:eastAsiaTheme="minorEastAsia"/>
          <w:b/>
        </w:rPr>
        <w:t xml:space="preserve"> </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本预案适用于发生在辖区内的自然灾害救助工作。当相邻区发生自然灾害并对我区造成较大影响时，按照本预案开展应急救助工作。发生其他类型突发事件，根据需要可参照本预案开展应急救助工作。</w:t>
      </w:r>
    </w:p>
    <w:p>
      <w:pPr>
        <w:pStyle w:val="4"/>
        <w:spacing w:line="360" w:lineRule="auto"/>
        <w:ind w:firstLine="643"/>
        <w:rPr>
          <w:rFonts w:cs="楷体_GB2312" w:asciiTheme="minorEastAsia" w:hAnsiTheme="minorEastAsia" w:eastAsiaTheme="minorEastAsia"/>
          <w:b/>
        </w:rPr>
      </w:pPr>
      <w:bookmarkStart w:id="4" w:name="_Toc18025"/>
      <w:r>
        <w:rPr>
          <w:rFonts w:hint="eastAsia" w:cs="楷体_GB2312" w:asciiTheme="minorEastAsia" w:hAnsiTheme="minorEastAsia" w:eastAsiaTheme="minorEastAsia"/>
          <w:b/>
        </w:rPr>
        <w:t>1.4 工作原则</w:t>
      </w:r>
      <w:bookmarkEnd w:id="4"/>
      <w:r>
        <w:rPr>
          <w:rFonts w:hint="eastAsia" w:cs="楷体_GB2312" w:asciiTheme="minorEastAsia" w:hAnsiTheme="minorEastAsia" w:eastAsiaTheme="minorEastAsia"/>
          <w:b/>
        </w:rPr>
        <w:t xml:space="preserve"> </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1）以人为本，生命至上。坚持人民至上、生命至上，把保护人民群众生命健康和财产安全作为灾害救助的首要任务，确保受灾群众有饭吃、有干净水喝、有衣穿、有临时房住、因灾致病能及时得到医治的应急救助和灾后救助。</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（2）统一领导，社会互助。坚持对灾害救助工作统一领导，坚持依靠群众自救互救、社会力量广泛参与，充分发挥基层组织和公益性社会组织的作用，健全保险机制。</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（3）统一指挥，协调联动。充分发挥减灾委员会（以下简称区减灾委）的组织、协调作用，加强各成员单位协作配合，坚持灾害防范、救援、救灾一体化，实现灾害全过程管理。</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（4）分级负责，属地管理为主。区减灾委统筹，各部门配合、分工协作、各司其职、各尽其责，</w:t>
      </w:r>
      <w:r>
        <w:rPr>
          <w:rFonts w:ascii="仿宋_GB2312" w:hAnsi="仿宋_GB2312" w:eastAsia="仿宋_GB2312" w:cs="仿宋_GB2312"/>
          <w:color w:val="auto"/>
          <w:spacing w:val="-3"/>
          <w:sz w:val="32"/>
          <w:szCs w:val="32"/>
        </w:rPr>
        <w:t>村（社区</w:t>
      </w:r>
      <w:r>
        <w:rPr>
          <w:rFonts w:hint="eastAsia" w:ascii="仿宋_GB2312" w:hAnsi="仿宋_GB2312" w:eastAsia="仿宋_GB2312" w:cs="仿宋_GB2312"/>
          <w:color w:val="auto"/>
          <w:spacing w:val="-3"/>
          <w:sz w:val="32"/>
          <w:szCs w:val="32"/>
        </w:rPr>
        <w:t>、居</w:t>
      </w:r>
      <w:r>
        <w:rPr>
          <w:rFonts w:ascii="仿宋_GB2312" w:hAnsi="仿宋_GB2312" w:eastAsia="仿宋_GB2312" w:cs="仿宋_GB2312"/>
          <w:color w:val="auto"/>
          <w:spacing w:val="-3"/>
          <w:sz w:val="32"/>
          <w:szCs w:val="32"/>
        </w:rPr>
        <w:t>）委会</w:t>
      </w:r>
      <w:r>
        <w:rPr>
          <w:rFonts w:hint="eastAsia" w:ascii="仿宋_GB2312" w:hAnsi="仿宋_GB2312" w:eastAsia="仿宋_GB2312" w:cs="仿宋_GB2312"/>
          <w:color w:val="auto"/>
          <w:spacing w:val="-3"/>
          <w:sz w:val="32"/>
          <w:szCs w:val="32"/>
        </w:rPr>
        <w:t>发挥基层组织作用，承担属地管理主体责任。</w:t>
      </w:r>
    </w:p>
    <w:p>
      <w:pPr>
        <w:pStyle w:val="3"/>
        <w:spacing w:line="360" w:lineRule="auto"/>
        <w:ind w:firstLine="720"/>
        <w:rPr>
          <w:rStyle w:val="56"/>
          <w:rFonts w:ascii="黑体" w:hAnsi="黑体" w:cs="黑体"/>
          <w:bCs/>
          <w:sz w:val="36"/>
          <w:szCs w:val="36"/>
        </w:rPr>
      </w:pPr>
      <w:bookmarkStart w:id="5" w:name="_Toc8245"/>
      <w:r>
        <w:rPr>
          <w:rStyle w:val="56"/>
          <w:rFonts w:hint="eastAsia" w:ascii="黑体" w:hAnsi="黑体" w:cs="黑体"/>
          <w:bCs/>
          <w:sz w:val="36"/>
          <w:szCs w:val="36"/>
        </w:rPr>
        <w:t>2 组织机构和职责</w:t>
      </w:r>
      <w:bookmarkEnd w:id="5"/>
      <w:r>
        <w:rPr>
          <w:rStyle w:val="56"/>
          <w:rFonts w:hint="eastAsia" w:ascii="黑体" w:hAnsi="黑体" w:cs="黑体"/>
          <w:bCs/>
          <w:sz w:val="36"/>
          <w:szCs w:val="36"/>
        </w:rPr>
        <w:t xml:space="preserve"> </w:t>
      </w:r>
    </w:p>
    <w:p>
      <w:pPr>
        <w:pStyle w:val="4"/>
        <w:spacing w:line="360" w:lineRule="auto"/>
        <w:ind w:firstLine="643"/>
        <w:rPr>
          <w:rFonts w:cs="楷体_GB2312" w:asciiTheme="minorEastAsia" w:hAnsiTheme="minorEastAsia" w:eastAsiaTheme="minorEastAsia"/>
          <w:b/>
        </w:rPr>
      </w:pPr>
      <w:bookmarkStart w:id="6" w:name="_Toc3113"/>
      <w:r>
        <w:rPr>
          <w:rFonts w:hint="eastAsia" w:cs="楷体_GB2312" w:asciiTheme="minorEastAsia" w:hAnsiTheme="minorEastAsia" w:eastAsiaTheme="minorEastAsia"/>
          <w:b/>
        </w:rPr>
        <w:t>2.1 区减灾委</w:t>
      </w:r>
      <w:bookmarkEnd w:id="6"/>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区减灾委为全区自然灾害救助应急综合协调机构，负责组织、领导、指挥、协调全区自然灾害救助工作，协调开展自然灾害救助活动，检查、指导</w:t>
      </w:r>
      <w:r>
        <w:rPr>
          <w:rFonts w:ascii="仿宋_GB2312" w:hAnsi="仿宋_GB2312" w:eastAsia="仿宋_GB2312" w:cs="仿宋_GB2312"/>
          <w:color w:val="auto"/>
          <w:spacing w:val="-3"/>
          <w:sz w:val="32"/>
          <w:szCs w:val="32"/>
        </w:rPr>
        <w:t>村（社区</w:t>
      </w:r>
      <w:r>
        <w:rPr>
          <w:rFonts w:hint="eastAsia" w:ascii="仿宋_GB2312" w:hAnsi="仿宋_GB2312" w:eastAsia="仿宋_GB2312" w:cs="仿宋_GB2312"/>
          <w:color w:val="auto"/>
          <w:spacing w:val="-3"/>
          <w:sz w:val="32"/>
          <w:szCs w:val="32"/>
        </w:rPr>
        <w:t>、居</w:t>
      </w:r>
      <w:r>
        <w:rPr>
          <w:rFonts w:ascii="仿宋_GB2312" w:hAnsi="仿宋_GB2312" w:eastAsia="仿宋_GB2312" w:cs="仿宋_GB2312"/>
          <w:color w:val="auto"/>
          <w:spacing w:val="-3"/>
          <w:sz w:val="32"/>
          <w:szCs w:val="32"/>
        </w:rPr>
        <w:t>）委会</w:t>
      </w:r>
      <w:r>
        <w:rPr>
          <w:rFonts w:hint="eastAsia" w:ascii="仿宋_GB2312" w:hAnsi="仿宋_GB2312" w:eastAsia="仿宋_GB2312" w:cs="仿宋_GB2312"/>
          <w:color w:val="auto"/>
          <w:spacing w:val="-3"/>
          <w:sz w:val="32"/>
          <w:szCs w:val="32"/>
        </w:rPr>
        <w:t>开展自然灾害救助工作；实施靠前指挥，根据灾情派出灾害救助工作现场领导小组；根据需求决定请求市和省的支援；研究解决救灾应急工作中的其他问题。区减灾委成员单位根据应急响应级别，按照区减灾委的统一部署和各自职责做好自然灾害救助相关工作。区减灾委办公室设在区应急管理局，承担区减灾委日常工作。</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总指挥（主任）：分管副区长</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副总指挥（副主任）：区应急管理局主要负责人、受灾地主要负责人担任。</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区减灾委成员单位：区应急管理局、区宣传部、区发展和改革委员会、科工信部门、区财政局、区水务林业局、区农业农村局、市自然资源和规划局海棠分局、区住房和城乡建设局、区卫生健康委员会、市公安局海棠分局、区交通运输局、区教育局、市生态环境局海棠分局、区民政局、区商务局、市市场监督管理局海棠分局、区旅游和文化广电体育局、区统计局、区人民武装部、区消防救援大队、团区委等部门和单位。</w:t>
      </w:r>
    </w:p>
    <w:p>
      <w:pPr>
        <w:pStyle w:val="4"/>
        <w:spacing w:line="360" w:lineRule="auto"/>
        <w:ind w:firstLine="643"/>
        <w:rPr>
          <w:rFonts w:cs="楷体_GB2312" w:asciiTheme="minorEastAsia" w:hAnsiTheme="minorEastAsia" w:eastAsiaTheme="minorEastAsia"/>
          <w:b/>
        </w:rPr>
      </w:pPr>
      <w:bookmarkStart w:id="7" w:name="_Toc26161"/>
      <w:r>
        <w:rPr>
          <w:rFonts w:hint="eastAsia" w:cs="楷体_GB2312" w:asciiTheme="minorEastAsia" w:hAnsiTheme="minorEastAsia" w:eastAsiaTheme="minorEastAsia"/>
          <w:b/>
        </w:rPr>
        <w:t>2.2 区减灾委办公室</w:t>
      </w:r>
      <w:bookmarkEnd w:id="7"/>
      <w:r>
        <w:rPr>
          <w:rFonts w:hint="eastAsia" w:cs="楷体_GB2312" w:asciiTheme="minorEastAsia" w:hAnsiTheme="minorEastAsia" w:eastAsiaTheme="minorEastAsia"/>
          <w:b/>
        </w:rPr>
        <w:t xml:space="preserve"> </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区减灾委办公室（以下简称区减灾办）设在区应急管理局，办公室主任由区应急管理局局长兼任，办公室副主任由区应急管理局分管副局长兼任。</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办公室主要职责：</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（1）贯彻市减灾委、区减灾委有关救灾工作指示和部署，指挥、协调区减灾委成员单位和相关区参与救灾工作；</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（2）收集、汇总、评估、报告灾情、救助需求和救灾工作情况；</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（3）救灾款物管理、分配及监督使用；</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（4）组织召开会商会，分析、评估灾情；</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（5）提出启动、终止应急响应的建议及方案；</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（6）协调有关部门组成工作组，赴受灾地区指导救灾工作；</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（7）组织避难场所规划建设和管理工作，指导协调室内、室外避难设施的运行和管理；</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（8）承担区减灾委交办的其他工作。</w:t>
      </w:r>
    </w:p>
    <w:p>
      <w:pPr>
        <w:pStyle w:val="4"/>
        <w:spacing w:line="360" w:lineRule="auto"/>
        <w:ind w:firstLine="643"/>
        <w:rPr>
          <w:rFonts w:cs="楷体_GB2312" w:asciiTheme="minorEastAsia" w:hAnsiTheme="minorEastAsia" w:eastAsiaTheme="minorEastAsia"/>
          <w:b/>
        </w:rPr>
      </w:pPr>
      <w:bookmarkStart w:id="8" w:name="_Toc8353"/>
      <w:r>
        <w:rPr>
          <w:rFonts w:hint="eastAsia" w:cs="楷体_GB2312" w:asciiTheme="minorEastAsia" w:hAnsiTheme="minorEastAsia" w:eastAsiaTheme="minorEastAsia"/>
          <w:b/>
        </w:rPr>
        <w:t>2.3 各部门和单位职责</w:t>
      </w:r>
      <w:bookmarkEnd w:id="8"/>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(1)区应急管理局:承担区减灾委日常工作;组织协调救灾工作;统计、核定灾情，发布灾情信息;指导做好受灾人员转移安置工作;指导受灾困难群众基本生活救助;监督救灾款物管理使用，组织指导救灾捐赠;支持引导社会组织、志愿者等社会力量参与救灾工作;负责指导协调监督自然灾害救助，储备管理应急物资;组织指导协调预案演练;组织协调地震监测，获取地震趋势判定意见;会同有关部门组织灾害现场调查，负责灾害损失评估并提出救灾意见;参与制定灾区恢复重建规划。负责对接协助三亚市气象局，发布灾害性天气预报预警;协助对重大气象灾害的调查、评估、鉴定、发布;协助宣传气象科普知识。</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(2)区宣传部:指导宣传报道和新闻发布工作，协调做好舆论引导，以及记者在灾害现场的采访管理和服务工作。</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(3)区发展和改革委员会:协助编制全区灾后恢复重建规划，统筹安排全区防灾减灾救灾重大建设项目及灾后恢复重建项目。协调落实项目建设资金和以工代赈资金。掌握粮食市场动态，及时提出协调储备粮的意见，做好救灾救助期间粮食和相关能源市场的供应保障工作。</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w:t>
      </w:r>
      <w:r>
        <w:rPr>
          <w:rFonts w:ascii="仿宋_GB2312" w:hAnsi="仿宋_GB2312" w:eastAsia="仿宋_GB2312" w:cs="仿宋_GB2312"/>
          <w:color w:val="auto"/>
          <w:spacing w:val="-3"/>
          <w:sz w:val="32"/>
          <w:szCs w:val="32"/>
        </w:rPr>
        <w:t>4</w:t>
      </w:r>
      <w:r>
        <w:rPr>
          <w:rFonts w:hint="eastAsia" w:ascii="仿宋_GB2312" w:hAnsi="仿宋_GB2312" w:eastAsia="仿宋_GB2312" w:cs="仿宋_GB2312"/>
          <w:color w:val="auto"/>
          <w:spacing w:val="-3"/>
          <w:sz w:val="32"/>
          <w:szCs w:val="32"/>
        </w:rPr>
        <w:t>)科工信部门：协调解决自然灾害救助过程中通信业运行的重大问题，根据救灾需要，调度相关电信企业的网络资源、应急通信器材，做好救灾通信保障，确保自然灾害救助应急指挥以及灾情信息的优先传递。</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w:t>
      </w:r>
      <w:r>
        <w:rPr>
          <w:rFonts w:ascii="仿宋_GB2312" w:hAnsi="仿宋_GB2312" w:eastAsia="仿宋_GB2312" w:cs="仿宋_GB2312"/>
          <w:color w:val="auto"/>
          <w:spacing w:val="-3"/>
          <w:sz w:val="32"/>
          <w:szCs w:val="32"/>
        </w:rPr>
        <w:t>5</w:t>
      </w:r>
      <w:r>
        <w:rPr>
          <w:rFonts w:hint="eastAsia" w:ascii="仿宋_GB2312" w:hAnsi="仿宋_GB2312" w:eastAsia="仿宋_GB2312" w:cs="仿宋_GB2312"/>
          <w:color w:val="auto"/>
          <w:spacing w:val="-3"/>
          <w:sz w:val="32"/>
          <w:szCs w:val="32"/>
        </w:rPr>
        <w:t>)区财政局:负责救灾救助资金的预算安排、资金拨付，对救灾救助资金的使用情况进行监督、检查，保证救灾救助资金及时到位。</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w:t>
      </w:r>
      <w:r>
        <w:rPr>
          <w:rFonts w:ascii="仿宋_GB2312" w:hAnsi="仿宋_GB2312" w:eastAsia="仿宋_GB2312" w:cs="仿宋_GB2312"/>
          <w:color w:val="auto"/>
          <w:spacing w:val="-3"/>
          <w:sz w:val="32"/>
          <w:szCs w:val="32"/>
        </w:rPr>
        <w:t>6</w:t>
      </w:r>
      <w:r>
        <w:rPr>
          <w:rFonts w:hint="eastAsia" w:ascii="仿宋_GB2312" w:hAnsi="仿宋_GB2312" w:eastAsia="仿宋_GB2312" w:cs="仿宋_GB2312"/>
          <w:color w:val="auto"/>
          <w:spacing w:val="-3"/>
          <w:sz w:val="32"/>
          <w:szCs w:val="32"/>
        </w:rPr>
        <w:t>)区水务林业局:负责指导水利工程抢险工作。负责汛情、旱情的监测预警预报及水库调度;负责灾后供水和灾区用水保障工作；林业有害生物检疫和预测预报、森林火灾预防和火情早期处理、陆生野生动物收容救护和疫病疫源监测防控等工作。</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w:t>
      </w:r>
      <w:r>
        <w:rPr>
          <w:rFonts w:ascii="仿宋_GB2312" w:hAnsi="仿宋_GB2312" w:eastAsia="仿宋_GB2312" w:cs="仿宋_GB2312"/>
          <w:color w:val="auto"/>
          <w:spacing w:val="-3"/>
          <w:sz w:val="32"/>
          <w:szCs w:val="32"/>
        </w:rPr>
        <w:t>7</w:t>
      </w:r>
      <w:r>
        <w:rPr>
          <w:rFonts w:hint="eastAsia" w:ascii="仿宋_GB2312" w:hAnsi="仿宋_GB2312" w:eastAsia="仿宋_GB2312" w:cs="仿宋_GB2312"/>
          <w:color w:val="auto"/>
          <w:spacing w:val="-3"/>
          <w:sz w:val="32"/>
          <w:szCs w:val="32"/>
        </w:rPr>
        <w:t>)区农业农村局:指导出海作业渔船归港后的港内安全防护工作，协助做好渔民和海上养殖人员救助工作。组织开展农业减灾救灾技术推广和知识宣传。负责组织重大农作物病虫害、有害生物以及动物疫病监测预警和灾后恢复农业生产工作。</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w:t>
      </w:r>
      <w:r>
        <w:rPr>
          <w:rFonts w:ascii="仿宋_GB2312" w:hAnsi="仿宋_GB2312" w:eastAsia="仿宋_GB2312" w:cs="仿宋_GB2312"/>
          <w:color w:val="auto"/>
          <w:spacing w:val="-3"/>
          <w:sz w:val="32"/>
          <w:szCs w:val="32"/>
        </w:rPr>
        <w:t>8</w:t>
      </w:r>
      <w:r>
        <w:rPr>
          <w:rFonts w:hint="eastAsia" w:ascii="仿宋_GB2312" w:hAnsi="仿宋_GB2312" w:eastAsia="仿宋_GB2312" w:cs="仿宋_GB2312"/>
          <w:color w:val="auto"/>
          <w:spacing w:val="-3"/>
          <w:sz w:val="32"/>
          <w:szCs w:val="32"/>
        </w:rPr>
        <w:t>)市自然资源和规划局海棠分局:</w:t>
      </w:r>
      <w:r>
        <w:rPr>
          <w:rFonts w:hint="eastAsia"/>
        </w:rPr>
        <w:t xml:space="preserve"> </w:t>
      </w:r>
      <w:r>
        <w:rPr>
          <w:rFonts w:hint="eastAsia" w:ascii="仿宋_GB2312" w:hAnsi="仿宋_GB2312" w:eastAsia="仿宋_GB2312" w:cs="仿宋_GB2312"/>
          <w:color w:val="auto"/>
          <w:spacing w:val="-3"/>
          <w:sz w:val="32"/>
          <w:szCs w:val="32"/>
        </w:rPr>
        <w:t>负责提供全区地质灾害隐患点分布资料</w:t>
      </w:r>
      <w:r>
        <w:rPr>
          <w:rFonts w:ascii="仿宋_GB2312" w:hAnsi="仿宋_GB2312" w:eastAsia="仿宋_GB2312" w:cs="仿宋_GB2312"/>
          <w:color w:val="auto"/>
          <w:spacing w:val="-3"/>
          <w:sz w:val="32"/>
          <w:szCs w:val="32"/>
        </w:rPr>
        <w:t>;</w:t>
      </w:r>
      <w:r>
        <w:rPr>
          <w:rFonts w:hint="eastAsia" w:ascii="仿宋_GB2312" w:hAnsi="仿宋_GB2312" w:eastAsia="仿宋_GB2312" w:cs="仿宋_GB2312"/>
          <w:color w:val="auto"/>
          <w:spacing w:val="-3"/>
          <w:sz w:val="32"/>
          <w:szCs w:val="32"/>
        </w:rPr>
        <w:t>配合地质灾害调查及隐患点的调察、排查</w:t>
      </w:r>
      <w:r>
        <w:rPr>
          <w:rFonts w:ascii="仿宋_GB2312" w:hAnsi="仿宋_GB2312" w:eastAsia="仿宋_GB2312" w:cs="仿宋_GB2312"/>
          <w:color w:val="auto"/>
          <w:spacing w:val="-3"/>
          <w:sz w:val="32"/>
          <w:szCs w:val="32"/>
        </w:rPr>
        <w:t>;</w:t>
      </w:r>
      <w:r>
        <w:rPr>
          <w:rFonts w:hint="eastAsia" w:ascii="仿宋_GB2312" w:hAnsi="仿宋_GB2312" w:eastAsia="仿宋_GB2312" w:cs="仿宋_GB2312"/>
          <w:color w:val="auto"/>
          <w:spacing w:val="-3"/>
          <w:sz w:val="32"/>
          <w:szCs w:val="32"/>
        </w:rPr>
        <w:t>指导开展地质灾害群测群防和预报预警等工作</w:t>
      </w:r>
      <w:r>
        <w:rPr>
          <w:rFonts w:ascii="仿宋_GB2312" w:hAnsi="仿宋_GB2312" w:eastAsia="仿宋_GB2312" w:cs="仿宋_GB2312"/>
          <w:color w:val="auto"/>
          <w:spacing w:val="-3"/>
          <w:sz w:val="32"/>
          <w:szCs w:val="32"/>
        </w:rPr>
        <w:t>;</w:t>
      </w:r>
      <w:r>
        <w:rPr>
          <w:rFonts w:hint="eastAsia" w:ascii="仿宋_GB2312" w:hAnsi="仿宋_GB2312" w:eastAsia="仿宋_GB2312" w:cs="仿宋_GB2312"/>
          <w:color w:val="auto"/>
          <w:spacing w:val="-3"/>
          <w:sz w:val="32"/>
          <w:szCs w:val="32"/>
        </w:rPr>
        <w:t>协助做好地质灾害应急救援工作。</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w:t>
      </w:r>
      <w:r>
        <w:rPr>
          <w:rFonts w:ascii="仿宋_GB2312" w:hAnsi="仿宋_GB2312" w:eastAsia="仿宋_GB2312" w:cs="仿宋_GB2312"/>
          <w:color w:val="auto"/>
          <w:spacing w:val="-3"/>
          <w:sz w:val="32"/>
          <w:szCs w:val="32"/>
        </w:rPr>
        <w:t>9</w:t>
      </w:r>
      <w:r>
        <w:rPr>
          <w:rFonts w:hint="eastAsia" w:ascii="仿宋_GB2312" w:hAnsi="仿宋_GB2312" w:eastAsia="仿宋_GB2312" w:cs="仿宋_GB2312"/>
          <w:color w:val="auto"/>
          <w:spacing w:val="-3"/>
          <w:sz w:val="32"/>
          <w:szCs w:val="32"/>
        </w:rPr>
        <w:t>)区住房和城乡建设局:负责指导灾区开展因灾毁损房屋和基础设施的安全鉴定、修复、重建等工作。指导做好灾后因灾倒损住房恢复重建;参与灾后恢复重建规划编制并指导实施。负责指导灾后房屋建筑与基础设施工程设计施工等管理工作。</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w:t>
      </w:r>
      <w:r>
        <w:rPr>
          <w:rFonts w:ascii="仿宋_GB2312" w:hAnsi="仿宋_GB2312" w:eastAsia="仿宋_GB2312" w:cs="仿宋_GB2312"/>
          <w:color w:val="auto"/>
          <w:spacing w:val="-3"/>
          <w:sz w:val="32"/>
          <w:szCs w:val="32"/>
        </w:rPr>
        <w:t>10</w:t>
      </w:r>
      <w:r>
        <w:rPr>
          <w:rFonts w:hint="eastAsia" w:ascii="仿宋_GB2312" w:hAnsi="仿宋_GB2312" w:eastAsia="仿宋_GB2312" w:cs="仿宋_GB2312"/>
          <w:color w:val="auto"/>
          <w:spacing w:val="-3"/>
          <w:sz w:val="32"/>
          <w:szCs w:val="32"/>
        </w:rPr>
        <w:t>)区交通运输局：负责交通路况的监测和信息报送工作。负责受灾群众转移、救灾指挥、救灾人员和救灾物资通行路线的抢通工作。协调提供转移受灾群众所需的交通工具。</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w:t>
      </w:r>
      <w:r>
        <w:rPr>
          <w:rFonts w:ascii="仿宋_GB2312" w:hAnsi="仿宋_GB2312" w:eastAsia="仿宋_GB2312" w:cs="仿宋_GB2312"/>
          <w:color w:val="auto"/>
          <w:spacing w:val="-3"/>
          <w:sz w:val="32"/>
          <w:szCs w:val="32"/>
        </w:rPr>
        <w:t>11</w:t>
      </w:r>
      <w:r>
        <w:rPr>
          <w:rFonts w:hint="eastAsia" w:ascii="仿宋_GB2312" w:hAnsi="仿宋_GB2312" w:eastAsia="仿宋_GB2312" w:cs="仿宋_GB2312"/>
          <w:color w:val="auto"/>
          <w:spacing w:val="-3"/>
          <w:sz w:val="32"/>
          <w:szCs w:val="32"/>
        </w:rPr>
        <w:t>)区卫生健康委员会:开展卫生防疫和急救知识宣传教育及卫生应急演练;负责协调调配医疗卫生资源，开展灾区医疗救助和卫生防疫工作，保障灾区饮用水和食品安全;协调开展重大灾害后的灾民心理救助工作;负责灾后医疗公共服务设施恢复重建工作。</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(1</w:t>
      </w:r>
      <w:r>
        <w:rPr>
          <w:rFonts w:ascii="仿宋_GB2312" w:hAnsi="仿宋_GB2312" w:eastAsia="仿宋_GB2312" w:cs="仿宋_GB2312"/>
          <w:color w:val="auto"/>
          <w:spacing w:val="-3"/>
          <w:sz w:val="32"/>
          <w:szCs w:val="32"/>
        </w:rPr>
        <w:t>2</w:t>
      </w:r>
      <w:r>
        <w:rPr>
          <w:rFonts w:hint="eastAsia" w:ascii="仿宋_GB2312" w:hAnsi="仿宋_GB2312" w:eastAsia="仿宋_GB2312" w:cs="仿宋_GB2312"/>
          <w:color w:val="auto"/>
          <w:spacing w:val="-3"/>
          <w:sz w:val="32"/>
          <w:szCs w:val="32"/>
        </w:rPr>
        <w:t>)市公安局海棠分局:负责维护社会治安秩序，依法打击造谣惑众和盗窃、破坏、哄抢救灾物资、设施的违法犯罪活动;维护交通秩序，保障救灾指挥、救灾车辆以及救灾物资的运输畅通;协助做好灾区群众转移安置工作。</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(1</w:t>
      </w:r>
      <w:r>
        <w:rPr>
          <w:rFonts w:ascii="仿宋_GB2312" w:hAnsi="仿宋_GB2312" w:eastAsia="仿宋_GB2312" w:cs="仿宋_GB2312"/>
          <w:color w:val="auto"/>
          <w:spacing w:val="-3"/>
          <w:sz w:val="32"/>
          <w:szCs w:val="32"/>
        </w:rPr>
        <w:t>3</w:t>
      </w:r>
      <w:r>
        <w:rPr>
          <w:rFonts w:hint="eastAsia" w:ascii="仿宋_GB2312" w:hAnsi="仿宋_GB2312" w:eastAsia="仿宋_GB2312" w:cs="仿宋_GB2312"/>
          <w:color w:val="auto"/>
          <w:spacing w:val="-3"/>
          <w:sz w:val="32"/>
          <w:szCs w:val="32"/>
        </w:rPr>
        <w:t>)区教育局:负责做好灾后学校复课等的教学组织工作和灾区学生安抚教育工作，协调有关部门共同做好灾后校舍恢复重建工作;组织学校开展减灾救灾知识的宣传教育和配合有关单位开展应急演练工作。</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(1</w:t>
      </w:r>
      <w:r>
        <w:rPr>
          <w:rFonts w:ascii="仿宋_GB2312" w:hAnsi="仿宋_GB2312" w:eastAsia="仿宋_GB2312" w:cs="仿宋_GB2312"/>
          <w:color w:val="auto"/>
          <w:spacing w:val="-3"/>
          <w:sz w:val="32"/>
          <w:szCs w:val="32"/>
        </w:rPr>
        <w:t>4</w:t>
      </w:r>
      <w:r>
        <w:rPr>
          <w:rFonts w:hint="eastAsia" w:ascii="仿宋_GB2312" w:hAnsi="仿宋_GB2312" w:eastAsia="仿宋_GB2312" w:cs="仿宋_GB2312"/>
          <w:color w:val="auto"/>
          <w:spacing w:val="-3"/>
          <w:sz w:val="32"/>
          <w:szCs w:val="32"/>
        </w:rPr>
        <w:t>)市生态环境局海棠分局:负责指导协调受自然灾害影响造成环境污染、放射性物质辐射污染的应急处理;负责环境污染的应急分析工作;负责协调联系省辐射监测、对放射性物质辐射污染采取应急监测分析工作;负责饮用水源地生态环境保护工作。</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(1</w:t>
      </w:r>
      <w:r>
        <w:rPr>
          <w:rFonts w:ascii="仿宋_GB2312" w:hAnsi="仿宋_GB2312" w:eastAsia="仿宋_GB2312" w:cs="仿宋_GB2312"/>
          <w:color w:val="auto"/>
          <w:spacing w:val="-3"/>
          <w:sz w:val="32"/>
          <w:szCs w:val="32"/>
        </w:rPr>
        <w:t>5</w:t>
      </w:r>
      <w:r>
        <w:rPr>
          <w:rFonts w:hint="eastAsia" w:ascii="仿宋_GB2312" w:hAnsi="仿宋_GB2312" w:eastAsia="仿宋_GB2312" w:cs="仿宋_GB2312"/>
          <w:color w:val="auto"/>
          <w:spacing w:val="-3"/>
          <w:sz w:val="32"/>
          <w:szCs w:val="32"/>
        </w:rPr>
        <w:t>)区民政局:负责灾后困难群众基本生活救助工作，及时将符合条件的困难群众纳入基本生活保障范围;根据救灾工作需要，在全区范围内组织开展慈善捐赠活动，并按有关规定做好捐赠款物的接收、管理、分配、发放工作。</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(1</w:t>
      </w:r>
      <w:r>
        <w:rPr>
          <w:rFonts w:ascii="仿宋_GB2312" w:hAnsi="仿宋_GB2312" w:eastAsia="仿宋_GB2312" w:cs="仿宋_GB2312"/>
          <w:color w:val="auto"/>
          <w:spacing w:val="-3"/>
          <w:sz w:val="32"/>
          <w:szCs w:val="32"/>
        </w:rPr>
        <w:t>6</w:t>
      </w:r>
      <w:r>
        <w:rPr>
          <w:rFonts w:hint="eastAsia" w:ascii="仿宋_GB2312" w:hAnsi="仿宋_GB2312" w:eastAsia="仿宋_GB2312" w:cs="仿宋_GB2312"/>
          <w:color w:val="auto"/>
          <w:spacing w:val="-3"/>
          <w:sz w:val="32"/>
          <w:szCs w:val="32"/>
        </w:rPr>
        <w:t>)区商务局:配合区发展和改革委员会协调商业企业恢复灾区的生活应急必用品储备和市场供应。</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(1</w:t>
      </w:r>
      <w:r>
        <w:rPr>
          <w:rFonts w:ascii="仿宋_GB2312" w:hAnsi="仿宋_GB2312" w:eastAsia="仿宋_GB2312" w:cs="仿宋_GB2312"/>
          <w:color w:val="auto"/>
          <w:spacing w:val="-3"/>
          <w:sz w:val="32"/>
          <w:szCs w:val="32"/>
        </w:rPr>
        <w:t>7</w:t>
      </w:r>
      <w:r>
        <w:rPr>
          <w:rFonts w:hint="eastAsia" w:ascii="仿宋_GB2312" w:hAnsi="仿宋_GB2312" w:eastAsia="仿宋_GB2312" w:cs="仿宋_GB2312"/>
          <w:color w:val="auto"/>
          <w:spacing w:val="-3"/>
          <w:sz w:val="32"/>
          <w:szCs w:val="32"/>
        </w:rPr>
        <w:t>)市市场监督管理局海棠分局:负责开展灾区食品安全监管和抽检监测，开展相关质量抽检和监督检查。组织和指导食品安全应急处置和调查处理工作;加强对灾区消费品质量安全、特种设备灾后隐患排查，确保灾区消费品和特种设备安全;协调依法打击制售假冒伪劣救灾物资等违法行为。</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(1</w:t>
      </w:r>
      <w:r>
        <w:rPr>
          <w:rFonts w:ascii="仿宋_GB2312" w:hAnsi="仿宋_GB2312" w:eastAsia="仿宋_GB2312" w:cs="仿宋_GB2312"/>
          <w:color w:val="auto"/>
          <w:spacing w:val="-3"/>
          <w:sz w:val="32"/>
          <w:szCs w:val="32"/>
        </w:rPr>
        <w:t>8</w:t>
      </w:r>
      <w:r>
        <w:rPr>
          <w:rFonts w:hint="eastAsia" w:ascii="仿宋_GB2312" w:hAnsi="仿宋_GB2312" w:eastAsia="仿宋_GB2312" w:cs="仿宋_GB2312"/>
          <w:color w:val="auto"/>
          <w:spacing w:val="-3"/>
          <w:sz w:val="32"/>
          <w:szCs w:val="32"/>
        </w:rPr>
        <w:t>)区旅游和文化广电体育局:协助相关部门做好自然灾害期间游客的紧急转移安置救助工作;指导、协调灾区广播、电视系统恢复工作。配合区宣传部，通过广播、电视等社会媒体，做好抢险救灾、防灾减灾的宣传报道工作。</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(1</w:t>
      </w:r>
      <w:r>
        <w:rPr>
          <w:rFonts w:ascii="仿宋_GB2312" w:hAnsi="仿宋_GB2312" w:eastAsia="仿宋_GB2312" w:cs="仿宋_GB2312"/>
          <w:color w:val="auto"/>
          <w:spacing w:val="-3"/>
          <w:sz w:val="32"/>
          <w:szCs w:val="32"/>
        </w:rPr>
        <w:t>9</w:t>
      </w:r>
      <w:r>
        <w:rPr>
          <w:rFonts w:hint="eastAsia" w:ascii="仿宋_GB2312" w:hAnsi="仿宋_GB2312" w:eastAsia="仿宋_GB2312" w:cs="仿宋_GB2312"/>
          <w:color w:val="auto"/>
          <w:spacing w:val="-3"/>
          <w:sz w:val="32"/>
          <w:szCs w:val="32"/>
        </w:rPr>
        <w:t>)区统计局:负责提供相关基础数据，协助灾害信息汇总、整理及统计分析工作。</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w:t>
      </w:r>
      <w:r>
        <w:rPr>
          <w:rFonts w:ascii="仿宋_GB2312" w:hAnsi="仿宋_GB2312" w:eastAsia="仿宋_GB2312" w:cs="仿宋_GB2312"/>
          <w:color w:val="auto"/>
          <w:spacing w:val="-3"/>
          <w:sz w:val="32"/>
          <w:szCs w:val="32"/>
        </w:rPr>
        <w:t>20</w:t>
      </w:r>
      <w:r>
        <w:rPr>
          <w:rFonts w:hint="eastAsia" w:ascii="仿宋_GB2312" w:hAnsi="仿宋_GB2312" w:eastAsia="仿宋_GB2312" w:cs="仿宋_GB2312"/>
          <w:color w:val="auto"/>
          <w:spacing w:val="-3"/>
          <w:sz w:val="32"/>
          <w:szCs w:val="32"/>
        </w:rPr>
        <w:t>)区人民武装部:负责组织民兵参加救灾救助工作，保护重要目标安全，解救、转移和疏散受灾人员;抢救、运送重要物资;参加疫区封控。</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w:t>
      </w:r>
      <w:r>
        <w:rPr>
          <w:rFonts w:ascii="仿宋_GB2312" w:hAnsi="仿宋_GB2312" w:eastAsia="仿宋_GB2312" w:cs="仿宋_GB2312"/>
          <w:color w:val="auto"/>
          <w:spacing w:val="-3"/>
          <w:sz w:val="32"/>
          <w:szCs w:val="32"/>
        </w:rPr>
        <w:t>21</w:t>
      </w:r>
      <w:r>
        <w:rPr>
          <w:rFonts w:hint="eastAsia" w:ascii="仿宋_GB2312" w:hAnsi="仿宋_GB2312" w:eastAsia="仿宋_GB2312" w:cs="仿宋_GB2312"/>
          <w:color w:val="auto"/>
          <w:spacing w:val="-3"/>
          <w:sz w:val="32"/>
          <w:szCs w:val="32"/>
        </w:rPr>
        <w:t>)区消防救援大队:负责组织消防人员开展应急抢险救援工作。</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(2</w:t>
      </w:r>
      <w:r>
        <w:rPr>
          <w:rFonts w:ascii="仿宋_GB2312" w:hAnsi="仿宋_GB2312" w:eastAsia="仿宋_GB2312" w:cs="仿宋_GB2312"/>
          <w:color w:val="auto"/>
          <w:spacing w:val="-3"/>
          <w:sz w:val="32"/>
          <w:szCs w:val="32"/>
        </w:rPr>
        <w:t>2</w:t>
      </w:r>
      <w:r>
        <w:rPr>
          <w:rFonts w:hint="eastAsia" w:ascii="仿宋_GB2312" w:hAnsi="仿宋_GB2312" w:eastAsia="仿宋_GB2312" w:cs="仿宋_GB2312"/>
          <w:color w:val="auto"/>
          <w:spacing w:val="-3"/>
          <w:sz w:val="32"/>
          <w:szCs w:val="32"/>
        </w:rPr>
        <w:t>)团区委:组织动员志愿者有序参与自然灾害救灾救助工作，搭建志愿者救灾工作平台，协助区应急管理部门对志愿者进行防灾减灾救助工作培训，协助开展防灾减灾的科普宣传。</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其他相关部门依职责开展灾害救助工作。</w:t>
      </w:r>
    </w:p>
    <w:p>
      <w:pPr>
        <w:pStyle w:val="4"/>
        <w:spacing w:line="360" w:lineRule="auto"/>
        <w:ind w:firstLine="643"/>
        <w:rPr>
          <w:rFonts w:cs="楷体_GB2312" w:asciiTheme="minorEastAsia" w:hAnsiTheme="minorEastAsia" w:eastAsiaTheme="minorEastAsia"/>
          <w:b/>
        </w:rPr>
      </w:pPr>
      <w:bookmarkStart w:id="9" w:name="_Toc28970"/>
      <w:r>
        <w:rPr>
          <w:rFonts w:hint="eastAsia" w:cs="楷体_GB2312" w:asciiTheme="minorEastAsia" w:hAnsiTheme="minorEastAsia" w:eastAsiaTheme="minorEastAsia"/>
          <w:b/>
        </w:rPr>
        <w:t>2.4 工作组及其职责</w:t>
      </w:r>
      <w:bookmarkEnd w:id="9"/>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（1）信息统计组：</w:t>
      </w:r>
      <w:r>
        <w:rPr>
          <w:rFonts w:ascii="仿宋_GB2312" w:hAnsi="仿宋_GB2312" w:eastAsia="仿宋_GB2312" w:cs="仿宋_GB2312"/>
          <w:color w:val="auto"/>
          <w:spacing w:val="-3"/>
          <w:sz w:val="32"/>
          <w:szCs w:val="32"/>
        </w:rPr>
        <w:t>由</w:t>
      </w:r>
      <w:r>
        <w:rPr>
          <w:rFonts w:hint="eastAsia" w:ascii="仿宋_GB2312" w:hAnsi="仿宋_GB2312" w:eastAsia="仿宋_GB2312" w:cs="仿宋_GB2312"/>
          <w:color w:val="auto"/>
          <w:spacing w:val="-3"/>
          <w:sz w:val="32"/>
          <w:szCs w:val="32"/>
        </w:rPr>
        <w:t>区应急管理局牵头，市自然资源和规划局海棠分局、市生态环境局海棠分局、区水务林业局、区农业农村局、区卫生健康委员会、区统计局等</w:t>
      </w:r>
      <w:r>
        <w:rPr>
          <w:rFonts w:ascii="仿宋_GB2312" w:hAnsi="仿宋_GB2312" w:eastAsia="仿宋_GB2312" w:cs="仿宋_GB2312"/>
          <w:color w:val="auto"/>
          <w:spacing w:val="-3"/>
          <w:sz w:val="32"/>
          <w:szCs w:val="32"/>
        </w:rPr>
        <w:t>部门参加</w:t>
      </w:r>
      <w:r>
        <w:rPr>
          <w:rFonts w:hint="eastAsia" w:ascii="仿宋_GB2312" w:hAnsi="仿宋_GB2312" w:eastAsia="仿宋_GB2312" w:cs="仿宋_GB2312"/>
          <w:color w:val="auto"/>
          <w:spacing w:val="-3"/>
          <w:sz w:val="32"/>
          <w:szCs w:val="32"/>
        </w:rPr>
        <w:t>。负责自然灾害救助信息的统计、分析、评估、核查、上报工作，保持各有关单位灾害信息共享，提出应急救助工作建议。</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（2）灾民转移安置组：</w:t>
      </w:r>
      <w:r>
        <w:rPr>
          <w:rFonts w:ascii="仿宋_GB2312" w:hAnsi="仿宋_GB2312" w:eastAsia="仿宋_GB2312" w:cs="仿宋_GB2312"/>
          <w:color w:val="auto"/>
          <w:spacing w:val="-3"/>
          <w:sz w:val="32"/>
          <w:szCs w:val="32"/>
        </w:rPr>
        <w:t>由</w:t>
      </w:r>
      <w:r>
        <w:rPr>
          <w:rFonts w:hint="eastAsia" w:ascii="仿宋_GB2312" w:hAnsi="仿宋_GB2312" w:eastAsia="仿宋_GB2312" w:cs="仿宋_GB2312"/>
          <w:color w:val="auto"/>
          <w:spacing w:val="-3"/>
          <w:sz w:val="32"/>
          <w:szCs w:val="32"/>
        </w:rPr>
        <w:t>区应急管理局牵头，区人民武装部、区消防救援大队、市公安局海棠分局、区财政局、区住房和城乡建设局、区交通运输局、区旅游和文化广电体育局等</w:t>
      </w:r>
      <w:r>
        <w:rPr>
          <w:rFonts w:ascii="仿宋_GB2312" w:hAnsi="仿宋_GB2312" w:eastAsia="仿宋_GB2312" w:cs="仿宋_GB2312"/>
          <w:color w:val="auto"/>
          <w:spacing w:val="-3"/>
          <w:sz w:val="32"/>
          <w:szCs w:val="32"/>
        </w:rPr>
        <w:t>部门参加</w:t>
      </w:r>
      <w:r>
        <w:rPr>
          <w:rFonts w:hint="eastAsia" w:ascii="仿宋_GB2312" w:hAnsi="仿宋_GB2312" w:eastAsia="仿宋_GB2312" w:cs="仿宋_GB2312"/>
          <w:color w:val="auto"/>
          <w:spacing w:val="-3"/>
          <w:sz w:val="32"/>
          <w:szCs w:val="32"/>
        </w:rPr>
        <w:t>。负责受灾群众紧急转移安置计划的制订、协调和实施</w:t>
      </w:r>
      <w:r>
        <w:rPr>
          <w:rFonts w:ascii="仿宋_GB2312" w:hAnsi="仿宋_GB2312" w:eastAsia="仿宋_GB2312" w:cs="仿宋_GB2312"/>
          <w:color w:val="auto"/>
          <w:spacing w:val="-3"/>
          <w:sz w:val="32"/>
          <w:szCs w:val="32"/>
        </w:rPr>
        <w:t>;</w:t>
      </w:r>
      <w:r>
        <w:rPr>
          <w:rFonts w:hint="eastAsia" w:ascii="仿宋_GB2312" w:hAnsi="仿宋_GB2312" w:eastAsia="仿宋_GB2312" w:cs="仿宋_GB2312"/>
          <w:color w:val="auto"/>
          <w:spacing w:val="-3"/>
          <w:sz w:val="32"/>
          <w:szCs w:val="32"/>
        </w:rPr>
        <w:t>负责调集、拨付转移安置所需的资金与物资</w:t>
      </w:r>
      <w:r>
        <w:rPr>
          <w:rFonts w:ascii="仿宋_GB2312" w:hAnsi="仿宋_GB2312" w:eastAsia="仿宋_GB2312" w:cs="仿宋_GB2312"/>
          <w:color w:val="auto"/>
          <w:spacing w:val="-3"/>
          <w:sz w:val="32"/>
          <w:szCs w:val="32"/>
        </w:rPr>
        <w:t>;</w:t>
      </w:r>
      <w:r>
        <w:rPr>
          <w:rFonts w:hint="eastAsia" w:ascii="仿宋_GB2312" w:hAnsi="仿宋_GB2312" w:eastAsia="仿宋_GB2312" w:cs="仿宋_GB2312"/>
          <w:color w:val="auto"/>
          <w:spacing w:val="-3"/>
          <w:sz w:val="32"/>
          <w:szCs w:val="32"/>
        </w:rPr>
        <w:t>负责受灾群众转移安置时所需要的临时生活、交通运输及安全保卫等保障工作。</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（3）灾民基本生活保障组：</w:t>
      </w:r>
      <w:r>
        <w:rPr>
          <w:rFonts w:ascii="仿宋_GB2312" w:hAnsi="仿宋_GB2312" w:eastAsia="仿宋_GB2312" w:cs="仿宋_GB2312"/>
          <w:color w:val="auto"/>
          <w:spacing w:val="-3"/>
          <w:sz w:val="32"/>
          <w:szCs w:val="32"/>
        </w:rPr>
        <w:t>由</w:t>
      </w:r>
      <w:r>
        <w:rPr>
          <w:rFonts w:hint="eastAsia" w:ascii="仿宋_GB2312" w:hAnsi="仿宋_GB2312" w:eastAsia="仿宋_GB2312" w:cs="仿宋_GB2312"/>
          <w:color w:val="auto"/>
          <w:spacing w:val="-3"/>
          <w:sz w:val="32"/>
          <w:szCs w:val="32"/>
        </w:rPr>
        <w:t>区应急管理局、区发展和改革委员会牵头，区财政局、区商务局、市市场监督管理局海棠分局、区民政局等</w:t>
      </w:r>
      <w:r>
        <w:rPr>
          <w:rFonts w:ascii="仿宋_GB2312" w:hAnsi="仿宋_GB2312" w:eastAsia="仿宋_GB2312" w:cs="仿宋_GB2312"/>
          <w:color w:val="auto"/>
          <w:spacing w:val="-3"/>
          <w:sz w:val="32"/>
          <w:szCs w:val="32"/>
        </w:rPr>
        <w:t>部门参加</w:t>
      </w:r>
      <w:r>
        <w:rPr>
          <w:rFonts w:hint="eastAsia" w:ascii="仿宋_GB2312" w:hAnsi="仿宋_GB2312" w:eastAsia="仿宋_GB2312" w:cs="仿宋_GB2312"/>
          <w:color w:val="auto"/>
          <w:spacing w:val="-3"/>
          <w:sz w:val="32"/>
          <w:szCs w:val="32"/>
        </w:rPr>
        <w:t>。负责灾民衣、食、住等基本生活救助</w:t>
      </w:r>
      <w:r>
        <w:rPr>
          <w:rFonts w:ascii="仿宋_GB2312" w:hAnsi="仿宋_GB2312" w:eastAsia="仿宋_GB2312" w:cs="仿宋_GB2312"/>
          <w:color w:val="auto"/>
          <w:spacing w:val="-3"/>
          <w:sz w:val="32"/>
          <w:szCs w:val="32"/>
        </w:rPr>
        <w:t>;</w:t>
      </w:r>
      <w:r>
        <w:rPr>
          <w:rFonts w:hint="eastAsia" w:ascii="仿宋_GB2312" w:hAnsi="仿宋_GB2312" w:eastAsia="仿宋_GB2312" w:cs="仿宋_GB2312"/>
          <w:color w:val="auto"/>
          <w:spacing w:val="-3"/>
          <w:sz w:val="32"/>
          <w:szCs w:val="32"/>
        </w:rPr>
        <w:t>负责组织社会各界救灾捐赠，做好国内外救灾款物的接收管理工作</w:t>
      </w:r>
      <w:r>
        <w:rPr>
          <w:rFonts w:ascii="仿宋_GB2312" w:hAnsi="仿宋_GB2312" w:eastAsia="仿宋_GB2312" w:cs="仿宋_GB2312"/>
          <w:color w:val="auto"/>
          <w:spacing w:val="-3"/>
          <w:sz w:val="32"/>
          <w:szCs w:val="32"/>
        </w:rPr>
        <w:t>;</w:t>
      </w:r>
      <w:r>
        <w:rPr>
          <w:rFonts w:hint="eastAsia" w:ascii="仿宋_GB2312" w:hAnsi="仿宋_GB2312" w:eastAsia="仿宋_GB2312" w:cs="仿宋_GB2312"/>
          <w:color w:val="auto"/>
          <w:spacing w:val="-3"/>
          <w:sz w:val="32"/>
          <w:szCs w:val="32"/>
        </w:rPr>
        <w:t>组织救灾物资的筹集、储备和调拨</w:t>
      </w:r>
      <w:r>
        <w:rPr>
          <w:rFonts w:ascii="仿宋_GB2312" w:hAnsi="仿宋_GB2312" w:eastAsia="仿宋_GB2312" w:cs="仿宋_GB2312"/>
          <w:color w:val="auto"/>
          <w:spacing w:val="-3"/>
          <w:sz w:val="32"/>
          <w:szCs w:val="32"/>
        </w:rPr>
        <w:t>;</w:t>
      </w:r>
      <w:r>
        <w:rPr>
          <w:rFonts w:hint="eastAsia" w:ascii="仿宋_GB2312" w:hAnsi="仿宋_GB2312" w:eastAsia="仿宋_GB2312" w:cs="仿宋_GB2312"/>
          <w:color w:val="auto"/>
          <w:spacing w:val="-3"/>
          <w:sz w:val="32"/>
          <w:szCs w:val="32"/>
        </w:rPr>
        <w:t>负责救灾资金的预算、拨付，保证救灾资金及时到位</w:t>
      </w:r>
      <w:r>
        <w:rPr>
          <w:rFonts w:ascii="仿宋_GB2312" w:hAnsi="仿宋_GB2312" w:eastAsia="仿宋_GB2312" w:cs="仿宋_GB2312"/>
          <w:color w:val="auto"/>
          <w:spacing w:val="-3"/>
          <w:sz w:val="32"/>
          <w:szCs w:val="32"/>
        </w:rPr>
        <w:t>;</w:t>
      </w:r>
      <w:r>
        <w:rPr>
          <w:rFonts w:hint="eastAsia" w:ascii="仿宋_GB2312" w:hAnsi="仿宋_GB2312" w:eastAsia="仿宋_GB2312" w:cs="仿宋_GB2312"/>
          <w:color w:val="auto"/>
          <w:spacing w:val="-3"/>
          <w:sz w:val="32"/>
          <w:szCs w:val="32"/>
        </w:rPr>
        <w:t>负责保险理赔</w:t>
      </w:r>
      <w:r>
        <w:rPr>
          <w:rFonts w:ascii="仿宋_GB2312" w:hAnsi="仿宋_GB2312" w:eastAsia="仿宋_GB2312" w:cs="仿宋_GB2312"/>
          <w:color w:val="auto"/>
          <w:spacing w:val="-3"/>
          <w:sz w:val="32"/>
          <w:szCs w:val="32"/>
        </w:rPr>
        <w:t>;</w:t>
      </w:r>
      <w:r>
        <w:rPr>
          <w:rFonts w:hint="eastAsia" w:ascii="仿宋_GB2312" w:hAnsi="仿宋_GB2312" w:eastAsia="仿宋_GB2312" w:cs="仿宋_GB2312"/>
          <w:color w:val="auto"/>
          <w:spacing w:val="-3"/>
          <w:sz w:val="32"/>
          <w:szCs w:val="32"/>
        </w:rPr>
        <w:t>负责灾区粮油、生活必需品的供应</w:t>
      </w:r>
      <w:r>
        <w:rPr>
          <w:rFonts w:ascii="仿宋_GB2312" w:hAnsi="仿宋_GB2312" w:eastAsia="仿宋_GB2312" w:cs="仿宋_GB2312"/>
          <w:color w:val="auto"/>
          <w:spacing w:val="-3"/>
          <w:sz w:val="32"/>
          <w:szCs w:val="32"/>
        </w:rPr>
        <w:t>;</w:t>
      </w:r>
      <w:r>
        <w:rPr>
          <w:rFonts w:hint="eastAsia" w:ascii="仿宋_GB2312" w:hAnsi="仿宋_GB2312" w:eastAsia="仿宋_GB2312" w:cs="仿宋_GB2312"/>
          <w:color w:val="auto"/>
          <w:spacing w:val="-3"/>
          <w:sz w:val="32"/>
          <w:szCs w:val="32"/>
        </w:rPr>
        <w:t>负责灾区交通运输、通信、电力等保障工作。</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（4）医疗防疫组：</w:t>
      </w:r>
      <w:r>
        <w:rPr>
          <w:rFonts w:ascii="仿宋_GB2312" w:hAnsi="仿宋_GB2312" w:eastAsia="仿宋_GB2312" w:cs="仿宋_GB2312"/>
          <w:color w:val="auto"/>
          <w:spacing w:val="-3"/>
          <w:sz w:val="32"/>
          <w:szCs w:val="32"/>
        </w:rPr>
        <w:t>由</w:t>
      </w:r>
      <w:r>
        <w:rPr>
          <w:rFonts w:hint="eastAsia" w:ascii="仿宋_GB2312" w:hAnsi="仿宋_GB2312" w:eastAsia="仿宋_GB2312" w:cs="仿宋_GB2312"/>
          <w:color w:val="auto"/>
          <w:spacing w:val="-3"/>
          <w:sz w:val="32"/>
          <w:szCs w:val="32"/>
        </w:rPr>
        <w:t>区卫生健康委员会牵头，市市场监督管理局海棠分局等</w:t>
      </w:r>
      <w:r>
        <w:rPr>
          <w:rFonts w:ascii="仿宋_GB2312" w:hAnsi="仿宋_GB2312" w:eastAsia="仿宋_GB2312" w:cs="仿宋_GB2312"/>
          <w:color w:val="auto"/>
          <w:spacing w:val="-3"/>
          <w:sz w:val="32"/>
          <w:szCs w:val="32"/>
        </w:rPr>
        <w:t>部门参加</w:t>
      </w:r>
      <w:r>
        <w:rPr>
          <w:rFonts w:hint="eastAsia" w:ascii="仿宋_GB2312" w:hAnsi="仿宋_GB2312" w:eastAsia="仿宋_GB2312" w:cs="仿宋_GB2312"/>
          <w:color w:val="auto"/>
          <w:spacing w:val="-3"/>
          <w:sz w:val="32"/>
          <w:szCs w:val="32"/>
        </w:rPr>
        <w:t>。负责组织派遣医疗卫生救援队伍，调集医疗器械、药品等救援物资，设立医疗救援场所，组织救治、转运伤病员，指导帮助灾区开展生活饮用水和食品安全监测，预防和控制传染病疫情的暴发流行。</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（5）宣传报道组：</w:t>
      </w:r>
      <w:r>
        <w:rPr>
          <w:rFonts w:ascii="仿宋_GB2312" w:hAnsi="仿宋_GB2312" w:eastAsia="仿宋_GB2312" w:cs="仿宋_GB2312"/>
          <w:color w:val="auto"/>
          <w:spacing w:val="-3"/>
          <w:sz w:val="32"/>
          <w:szCs w:val="32"/>
        </w:rPr>
        <w:t>由</w:t>
      </w:r>
      <w:r>
        <w:rPr>
          <w:rFonts w:hint="eastAsia" w:ascii="仿宋_GB2312" w:hAnsi="仿宋_GB2312" w:eastAsia="仿宋_GB2312" w:cs="仿宋_GB2312"/>
          <w:color w:val="auto"/>
          <w:spacing w:val="-3"/>
          <w:sz w:val="32"/>
          <w:szCs w:val="32"/>
        </w:rPr>
        <w:t>区宣传部牵头，区应急管理局、区农业农村局、市自然资源和规划局海棠分局、区旅游和文化广电体育局等</w:t>
      </w:r>
      <w:r>
        <w:rPr>
          <w:rFonts w:ascii="仿宋_GB2312" w:hAnsi="仿宋_GB2312" w:eastAsia="仿宋_GB2312" w:cs="仿宋_GB2312"/>
          <w:color w:val="auto"/>
          <w:spacing w:val="-3"/>
          <w:sz w:val="32"/>
          <w:szCs w:val="32"/>
        </w:rPr>
        <w:t>部门参加</w:t>
      </w:r>
      <w:r>
        <w:rPr>
          <w:rFonts w:hint="eastAsia" w:ascii="仿宋_GB2312" w:hAnsi="仿宋_GB2312" w:eastAsia="仿宋_GB2312" w:cs="仿宋_GB2312"/>
          <w:color w:val="auto"/>
          <w:spacing w:val="-3"/>
          <w:sz w:val="32"/>
          <w:szCs w:val="32"/>
        </w:rPr>
        <w:t>。负责组织协调新闻媒体做好自然灾害救助应急处置的新闻报道，积极引导舆论。</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（6）治安保卫组：</w:t>
      </w:r>
      <w:r>
        <w:rPr>
          <w:rFonts w:ascii="仿宋_GB2312" w:hAnsi="仿宋_GB2312" w:eastAsia="仿宋_GB2312" w:cs="仿宋_GB2312"/>
          <w:color w:val="auto"/>
          <w:spacing w:val="-3"/>
          <w:sz w:val="32"/>
          <w:szCs w:val="32"/>
        </w:rPr>
        <w:t>由</w:t>
      </w:r>
      <w:r>
        <w:rPr>
          <w:rFonts w:hint="eastAsia" w:ascii="仿宋_GB2312" w:hAnsi="仿宋_GB2312" w:eastAsia="仿宋_GB2312" w:cs="仿宋_GB2312"/>
          <w:color w:val="auto"/>
          <w:spacing w:val="-3"/>
          <w:sz w:val="32"/>
          <w:szCs w:val="32"/>
        </w:rPr>
        <w:t>市公安局海棠分局牵头，</w:t>
      </w:r>
      <w:r>
        <w:rPr>
          <w:rFonts w:ascii="仿宋_GB2312" w:hAnsi="仿宋_GB2312" w:eastAsia="仿宋_GB2312" w:cs="仿宋_GB2312"/>
          <w:color w:val="auto"/>
          <w:spacing w:val="-3"/>
          <w:sz w:val="32"/>
          <w:szCs w:val="32"/>
        </w:rPr>
        <w:t>区人民武装部、</w:t>
      </w:r>
      <w:r>
        <w:rPr>
          <w:rFonts w:hint="eastAsia" w:ascii="仿宋_GB2312" w:hAnsi="仿宋_GB2312" w:eastAsia="仿宋_GB2312" w:cs="仿宋_GB2312"/>
          <w:color w:val="auto"/>
          <w:spacing w:val="-3"/>
          <w:sz w:val="32"/>
          <w:szCs w:val="32"/>
        </w:rPr>
        <w:t>区消防救援大队等</w:t>
      </w:r>
      <w:r>
        <w:rPr>
          <w:rFonts w:ascii="仿宋_GB2312" w:hAnsi="仿宋_GB2312" w:eastAsia="仿宋_GB2312" w:cs="仿宋_GB2312"/>
          <w:color w:val="auto"/>
          <w:spacing w:val="-3"/>
          <w:sz w:val="32"/>
          <w:szCs w:val="32"/>
        </w:rPr>
        <w:t>部门参加</w:t>
      </w:r>
      <w:r>
        <w:rPr>
          <w:rFonts w:hint="eastAsia" w:ascii="仿宋_GB2312" w:hAnsi="仿宋_GB2312" w:eastAsia="仿宋_GB2312" w:cs="仿宋_GB2312"/>
          <w:color w:val="auto"/>
          <w:spacing w:val="-3"/>
          <w:sz w:val="32"/>
          <w:szCs w:val="32"/>
        </w:rPr>
        <w:t>。负责指挥、指导灾区加强治安管理和安全保卫工作，保证重点单位、重要目标的安全，预防和打击各种违法犯罪活动，维护灾区社会稳定和交通秩序。</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（7）灾后倒损住房恢复重建组：</w:t>
      </w:r>
      <w:r>
        <w:rPr>
          <w:rFonts w:ascii="仿宋_GB2312" w:hAnsi="仿宋_GB2312" w:eastAsia="仿宋_GB2312" w:cs="仿宋_GB2312"/>
          <w:color w:val="auto"/>
          <w:spacing w:val="-3"/>
          <w:sz w:val="32"/>
          <w:szCs w:val="32"/>
        </w:rPr>
        <w:t>由</w:t>
      </w:r>
      <w:r>
        <w:rPr>
          <w:rFonts w:hint="eastAsia" w:ascii="仿宋_GB2312" w:hAnsi="仿宋_GB2312" w:eastAsia="仿宋_GB2312" w:cs="仿宋_GB2312"/>
          <w:color w:val="auto"/>
          <w:spacing w:val="-3"/>
          <w:sz w:val="32"/>
          <w:szCs w:val="32"/>
        </w:rPr>
        <w:t>区住房和城乡建设局牵头，区财政局、区发展和改革委员会、市自然资源和规划局海棠分局、区应急管理局、区农业农村局、区水务林业局等</w:t>
      </w:r>
      <w:r>
        <w:rPr>
          <w:rFonts w:ascii="仿宋_GB2312" w:hAnsi="仿宋_GB2312" w:eastAsia="仿宋_GB2312" w:cs="仿宋_GB2312"/>
          <w:color w:val="auto"/>
          <w:spacing w:val="-3"/>
          <w:sz w:val="32"/>
          <w:szCs w:val="32"/>
        </w:rPr>
        <w:t>部门参加</w:t>
      </w:r>
      <w:r>
        <w:rPr>
          <w:rFonts w:hint="eastAsia" w:ascii="仿宋_GB2312" w:hAnsi="仿宋_GB2312" w:eastAsia="仿宋_GB2312" w:cs="仿宋_GB2312"/>
          <w:color w:val="auto"/>
          <w:spacing w:val="-3"/>
          <w:sz w:val="32"/>
          <w:szCs w:val="32"/>
        </w:rPr>
        <w:t>。负责灾区倒损住房的统计、评估、上报。灾后倒损住房恢复重建规划的制订。组织灾后住房恢复重建中的地震地质灾害调查与评估工作。灾后住房恢复重建规划、新选址建设工程的地质灾害危险性评估。灾区倒损住房恢复重建资金的预算、筹集、申请、拨付、分配和管理。灾区倒损住房恢复重建的行政、政策、信贷、保险支持。</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 xml:space="preserve">（8）专家组：区减灾委依托区应急专家库组建专家组，对全区减灾救灾救助工作重大决策和重要规划提供政策咨询和建议，为全区自然灾害灾情评估、应急救助和灾后救助提供咨询意见。 </w:t>
      </w:r>
    </w:p>
    <w:p>
      <w:pPr>
        <w:pStyle w:val="3"/>
        <w:spacing w:line="360" w:lineRule="auto"/>
        <w:ind w:firstLine="720"/>
        <w:rPr>
          <w:rStyle w:val="56"/>
          <w:rFonts w:ascii="黑体" w:hAnsi="黑体" w:cs="黑体"/>
          <w:bCs/>
          <w:sz w:val="36"/>
          <w:szCs w:val="36"/>
        </w:rPr>
      </w:pPr>
      <w:bookmarkStart w:id="10" w:name="_Toc13235"/>
      <w:r>
        <w:rPr>
          <w:rStyle w:val="56"/>
          <w:rFonts w:hint="eastAsia" w:ascii="黑体" w:hAnsi="黑体" w:cs="黑体"/>
          <w:bCs/>
          <w:sz w:val="36"/>
          <w:szCs w:val="36"/>
        </w:rPr>
        <w:t>3 灾害救助准备</w:t>
      </w:r>
      <w:bookmarkEnd w:id="10"/>
      <w:r>
        <w:rPr>
          <w:rStyle w:val="56"/>
          <w:rFonts w:hint="eastAsia" w:ascii="黑体" w:hAnsi="黑体" w:cs="黑体"/>
          <w:bCs/>
          <w:sz w:val="36"/>
          <w:szCs w:val="36"/>
        </w:rPr>
        <w:t xml:space="preserve"> </w:t>
      </w:r>
    </w:p>
    <w:p>
      <w:pPr>
        <w:pStyle w:val="4"/>
        <w:spacing w:line="360" w:lineRule="auto"/>
        <w:ind w:firstLine="643"/>
        <w:rPr>
          <w:rFonts w:cs="楷体_GB2312" w:asciiTheme="minorEastAsia" w:hAnsiTheme="minorEastAsia" w:eastAsiaTheme="minorEastAsia"/>
          <w:b/>
        </w:rPr>
      </w:pPr>
      <w:bookmarkStart w:id="11" w:name="_Toc29852"/>
      <w:r>
        <w:rPr>
          <w:rFonts w:hint="eastAsia" w:cs="楷体_GB2312" w:asciiTheme="minorEastAsia" w:hAnsiTheme="minorEastAsia" w:eastAsiaTheme="minorEastAsia"/>
          <w:b/>
        </w:rPr>
        <w:t>3.1 预警信息</w:t>
      </w:r>
      <w:bookmarkEnd w:id="11"/>
    </w:p>
    <w:p>
      <w:pPr>
        <w:kinsoku/>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应急管理局、规划和自然资源、水务等有关部门负责做好自然灾害（主要包括洪涝灾害，台风、暴雨、雷电、高温、大雾、灰霾、寒冷、大风、冰雹、干旱等气象灾害，地震灾害，山体崩塌、滑坡、泥石流等地质灾害，风暴潮、灾害性海浪等海洋灾害，森林火灾和重大生物灾害）等信息监测和采集、预测和预报，并及时向区减灾委办公室通报。</w:t>
      </w:r>
    </w:p>
    <w:p>
      <w:pPr>
        <w:kinsoku/>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各</w:t>
      </w:r>
      <w:r>
        <w:rPr>
          <w:rFonts w:ascii="仿宋_GB2312" w:hAnsi="仿宋_GB2312" w:eastAsia="仿宋_GB2312" w:cs="仿宋_GB2312"/>
          <w:color w:val="auto"/>
          <w:spacing w:val="-3"/>
          <w:sz w:val="32"/>
          <w:szCs w:val="32"/>
        </w:rPr>
        <w:t>相关部门</w:t>
      </w:r>
      <w:r>
        <w:rPr>
          <w:rFonts w:hint="eastAsia" w:ascii="仿宋_GB2312" w:hAnsi="仿宋_GB2312" w:eastAsia="仿宋_GB2312" w:cs="仿宋_GB2312"/>
          <w:color w:val="auto"/>
          <w:spacing w:val="-3"/>
          <w:sz w:val="32"/>
          <w:szCs w:val="32"/>
        </w:rPr>
        <w:t>应按规定组织地震、气象、水旱、海洋、地质、森林、生物等灾害会商，对可能发生的灾情和灾情趋势进行动态研判，并将会商结果及时通报区减灾委办公室。</w:t>
      </w:r>
    </w:p>
    <w:p>
      <w:pPr>
        <w:pStyle w:val="4"/>
        <w:spacing w:line="360" w:lineRule="auto"/>
        <w:ind w:firstLine="643"/>
        <w:rPr>
          <w:rFonts w:cs="楷体_GB2312" w:asciiTheme="minorEastAsia" w:hAnsiTheme="minorEastAsia" w:eastAsiaTheme="minorEastAsia"/>
          <w:b/>
        </w:rPr>
      </w:pPr>
      <w:bookmarkStart w:id="12" w:name="_Toc27015"/>
      <w:r>
        <w:rPr>
          <w:rFonts w:hint="eastAsia" w:cs="楷体_GB2312" w:asciiTheme="minorEastAsia" w:hAnsiTheme="minorEastAsia" w:eastAsiaTheme="minorEastAsia"/>
          <w:b/>
        </w:rPr>
        <w:t>3.2 预警响应措施</w:t>
      </w:r>
      <w:bookmarkEnd w:id="12"/>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根据自然灾害预警预报信息，结合可能受影响地区的自然条件、人口和社会经济状况，开展灾情预评估。当可能威胁人民群众生命财产安全、影响基本生活、需要提前采取应对措施时，视情况采取以下一项或多项救助准备措施：</w:t>
      </w:r>
    </w:p>
    <w:p>
      <w:pPr>
        <w:kinsoku/>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（1）向可能受影响的</w:t>
      </w:r>
      <w:r>
        <w:rPr>
          <w:rFonts w:ascii="仿宋_GB2312" w:hAnsi="仿宋_GB2312" w:eastAsia="仿宋_GB2312" w:cs="仿宋_GB2312"/>
          <w:spacing w:val="-3"/>
          <w:sz w:val="32"/>
          <w:szCs w:val="32"/>
        </w:rPr>
        <w:t>村（社区</w:t>
      </w:r>
      <w:r>
        <w:rPr>
          <w:rFonts w:hint="eastAsia" w:ascii="仿宋_GB2312" w:hAnsi="仿宋_GB2312" w:eastAsia="仿宋_GB2312" w:cs="仿宋_GB2312"/>
          <w:spacing w:val="-3"/>
          <w:sz w:val="32"/>
          <w:szCs w:val="32"/>
        </w:rPr>
        <w:t>、居</w:t>
      </w:r>
      <w:r>
        <w:rPr>
          <w:rFonts w:ascii="仿宋_GB2312" w:hAnsi="仿宋_GB2312" w:eastAsia="仿宋_GB2312" w:cs="仿宋_GB2312"/>
          <w:spacing w:val="-3"/>
          <w:sz w:val="32"/>
          <w:szCs w:val="32"/>
        </w:rPr>
        <w:t>）委会</w:t>
      </w:r>
      <w:r>
        <w:rPr>
          <w:rFonts w:hint="eastAsia" w:ascii="仿宋_GB2312" w:hAnsi="仿宋_GB2312" w:eastAsia="仿宋_GB2312" w:cs="仿宋_GB2312"/>
          <w:color w:val="auto"/>
          <w:spacing w:val="-3"/>
          <w:sz w:val="32"/>
          <w:szCs w:val="32"/>
        </w:rPr>
        <w:t>及相关部门通报预警信息，提出灾害救助的准备要求。</w:t>
      </w:r>
    </w:p>
    <w:p>
      <w:pPr>
        <w:kinsoku/>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（2）加强应急值守，实行24小时值班制度，密切跟踪灾害风险发展趋势，对灾害可能造成的损失进行动态评估，及时调整相关措施。</w:t>
      </w:r>
    </w:p>
    <w:p>
      <w:pPr>
        <w:kinsoku/>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（3）各</w:t>
      </w:r>
      <w:r>
        <w:rPr>
          <w:rFonts w:ascii="仿宋_GB2312" w:hAnsi="仿宋_GB2312" w:eastAsia="仿宋_GB2312" w:cs="仿宋_GB2312"/>
          <w:spacing w:val="-3"/>
          <w:sz w:val="32"/>
          <w:szCs w:val="32"/>
        </w:rPr>
        <w:t>村（社区</w:t>
      </w:r>
      <w:r>
        <w:rPr>
          <w:rFonts w:hint="eastAsia" w:ascii="仿宋_GB2312" w:hAnsi="仿宋_GB2312" w:eastAsia="仿宋_GB2312" w:cs="仿宋_GB2312"/>
          <w:spacing w:val="-3"/>
          <w:sz w:val="32"/>
          <w:szCs w:val="32"/>
        </w:rPr>
        <w:t>、居</w:t>
      </w:r>
      <w:r>
        <w:rPr>
          <w:rFonts w:ascii="仿宋_GB2312" w:hAnsi="仿宋_GB2312" w:eastAsia="仿宋_GB2312" w:cs="仿宋_GB2312"/>
          <w:spacing w:val="-3"/>
          <w:sz w:val="32"/>
          <w:szCs w:val="32"/>
        </w:rPr>
        <w:t>）委会</w:t>
      </w:r>
      <w:r>
        <w:rPr>
          <w:rFonts w:hint="eastAsia" w:ascii="仿宋_GB2312" w:hAnsi="仿宋_GB2312" w:eastAsia="仿宋_GB2312" w:cs="仿宋_GB2312"/>
          <w:color w:val="auto"/>
          <w:spacing w:val="-3"/>
          <w:sz w:val="32"/>
          <w:szCs w:val="32"/>
        </w:rPr>
        <w:t>、各有关单位应掌握危险区域人口情况，统计可自行转移安置和需组织转移安置的人数，明确转移责任，科学预设避难人员疏散引导线路和转移安置的应急避难场所。</w:t>
      </w:r>
    </w:p>
    <w:p>
      <w:pPr>
        <w:kinsoku/>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（4）启动救灾物资调运机制，紧急情况下提前调拨，各部门配合相关工作；必要时，启动交通运输、铁路、邮政、民航等部门（单位）应急联动机制和重点物流企业应急合作机制。</w:t>
      </w:r>
    </w:p>
    <w:p>
      <w:pPr>
        <w:kinsoku/>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（5）根据需要派出工作组，实地了解灾害风险，检查指导各项救灾救助准备工作。</w:t>
      </w:r>
    </w:p>
    <w:p>
      <w:pPr>
        <w:kinsoku/>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（6）向区委区政府报告预警、灾害救助准备情况，并向区减灾委成员单位通报。</w:t>
      </w:r>
      <w:r>
        <w:rPr>
          <w:rFonts w:hint="eastAsia" w:ascii="仿宋_GB2312" w:hAnsi="仿宋_GB2312" w:eastAsia="仿宋_GB2312" w:cs="仿宋_GB2312"/>
          <w:color w:val="auto"/>
          <w:spacing w:val="-3"/>
          <w:sz w:val="32"/>
          <w:szCs w:val="32"/>
        </w:rPr>
        <w:tab/>
      </w:r>
    </w:p>
    <w:p>
      <w:pPr>
        <w:kinsoku/>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 xml:space="preserve">（7）必要时及时向社会发布预警信息，宣传避险常识和技能，提示公众做好自救互救准备。 </w:t>
      </w:r>
    </w:p>
    <w:p>
      <w:pPr>
        <w:pStyle w:val="4"/>
        <w:spacing w:line="360" w:lineRule="auto"/>
        <w:ind w:firstLine="643"/>
        <w:rPr>
          <w:rFonts w:cs="楷体_GB2312" w:asciiTheme="minorEastAsia" w:hAnsiTheme="minorEastAsia" w:eastAsiaTheme="minorEastAsia"/>
          <w:b/>
        </w:rPr>
      </w:pPr>
      <w:bookmarkStart w:id="13" w:name="_Toc12349"/>
      <w:r>
        <w:rPr>
          <w:rFonts w:hint="eastAsia" w:cs="楷体_GB2312" w:asciiTheme="minorEastAsia" w:hAnsiTheme="minorEastAsia" w:eastAsiaTheme="minorEastAsia"/>
          <w:b/>
        </w:rPr>
        <w:t>3.3 预警响应终止</w:t>
      </w:r>
      <w:bookmarkEnd w:id="13"/>
    </w:p>
    <w:p>
      <w:pPr>
        <w:kinsoku/>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灾害风险解除或灾情稳定后，区减灾委决定预警响应终止。</w:t>
      </w:r>
    </w:p>
    <w:p>
      <w:pPr>
        <w:pStyle w:val="3"/>
        <w:spacing w:line="360" w:lineRule="auto"/>
        <w:ind w:firstLine="720"/>
        <w:rPr>
          <w:rStyle w:val="56"/>
          <w:rFonts w:ascii="黑体" w:hAnsi="黑体" w:cs="黑体"/>
          <w:bCs/>
          <w:sz w:val="36"/>
          <w:szCs w:val="36"/>
        </w:rPr>
      </w:pPr>
      <w:bookmarkStart w:id="14" w:name="_Toc18024"/>
      <w:r>
        <w:rPr>
          <w:rStyle w:val="56"/>
          <w:rFonts w:hint="eastAsia" w:ascii="黑体" w:hAnsi="黑体" w:cs="黑体"/>
          <w:bCs/>
          <w:sz w:val="36"/>
          <w:szCs w:val="36"/>
        </w:rPr>
        <w:t>4 信息报告和发布</w:t>
      </w:r>
      <w:bookmarkEnd w:id="14"/>
      <w:r>
        <w:rPr>
          <w:rStyle w:val="56"/>
          <w:rFonts w:hint="eastAsia" w:ascii="黑体" w:hAnsi="黑体" w:cs="黑体"/>
          <w:bCs/>
          <w:sz w:val="36"/>
          <w:szCs w:val="36"/>
        </w:rPr>
        <w:t xml:space="preserve"> </w:t>
      </w:r>
    </w:p>
    <w:p>
      <w:pPr>
        <w:pStyle w:val="4"/>
        <w:spacing w:line="360" w:lineRule="auto"/>
        <w:ind w:firstLine="643"/>
        <w:rPr>
          <w:rFonts w:cs="楷体_GB2312" w:asciiTheme="minorEastAsia" w:hAnsiTheme="minorEastAsia" w:eastAsiaTheme="minorEastAsia"/>
          <w:b/>
        </w:rPr>
      </w:pPr>
      <w:bookmarkStart w:id="15" w:name="_Toc29940"/>
      <w:r>
        <w:rPr>
          <w:rFonts w:hint="eastAsia" w:cs="楷体_GB2312" w:asciiTheme="minorEastAsia" w:hAnsiTheme="minorEastAsia" w:eastAsiaTheme="minorEastAsia"/>
          <w:b/>
        </w:rPr>
        <w:t>4.1 信息报告</w:t>
      </w:r>
      <w:bookmarkEnd w:id="15"/>
      <w:r>
        <w:rPr>
          <w:rFonts w:hint="eastAsia" w:cs="楷体_GB2312" w:asciiTheme="minorEastAsia" w:hAnsiTheme="minorEastAsia" w:eastAsiaTheme="minorEastAsia"/>
          <w:b/>
        </w:rPr>
        <w:t xml:space="preserve"> </w:t>
      </w:r>
    </w:p>
    <w:p>
      <w:pPr>
        <w:kinsoku/>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各级负责自然灾害救助部门按照《自然灾害情况统计制度》《特别重大自然灾害损失统计调查制度》等有关规定，做好灾情信息收集、汇总、分析、上报和共享工作。</w:t>
      </w:r>
    </w:p>
    <w:p>
      <w:pPr>
        <w:kinsoku/>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（1）发生自然灾害，各</w:t>
      </w:r>
      <w:r>
        <w:rPr>
          <w:rFonts w:ascii="仿宋_GB2312" w:hAnsi="仿宋_GB2312" w:eastAsia="仿宋_GB2312" w:cs="仿宋_GB2312"/>
          <w:spacing w:val="-3"/>
          <w:sz w:val="32"/>
          <w:szCs w:val="32"/>
        </w:rPr>
        <w:t>村（社区</w:t>
      </w:r>
      <w:r>
        <w:rPr>
          <w:rFonts w:hint="eastAsia" w:ascii="仿宋_GB2312" w:hAnsi="仿宋_GB2312" w:eastAsia="仿宋_GB2312" w:cs="仿宋_GB2312"/>
          <w:spacing w:val="-3"/>
          <w:sz w:val="32"/>
          <w:szCs w:val="32"/>
        </w:rPr>
        <w:t>、居</w:t>
      </w:r>
      <w:r>
        <w:rPr>
          <w:rFonts w:ascii="仿宋_GB2312" w:hAnsi="仿宋_GB2312" w:eastAsia="仿宋_GB2312" w:cs="仿宋_GB2312"/>
          <w:spacing w:val="-3"/>
          <w:sz w:val="32"/>
          <w:szCs w:val="32"/>
        </w:rPr>
        <w:t>）委会</w:t>
      </w:r>
      <w:r>
        <w:rPr>
          <w:rFonts w:hint="eastAsia" w:ascii="仿宋_GB2312" w:hAnsi="仿宋_GB2312" w:eastAsia="仿宋_GB2312" w:cs="仿宋_GB2312"/>
          <w:color w:val="auto"/>
          <w:spacing w:val="-3"/>
          <w:sz w:val="32"/>
          <w:szCs w:val="32"/>
        </w:rPr>
        <w:t>应第一时间了解掌握本辖区灾情，并于灾害发生后按规定及时上报，上报内容</w:t>
      </w:r>
      <w:r>
        <w:rPr>
          <w:rFonts w:ascii="仿宋_GB2312" w:hAnsi="仿宋_GB2312" w:eastAsia="仿宋_GB2312" w:cs="仿宋_GB2312"/>
          <w:color w:val="auto"/>
          <w:spacing w:val="-3"/>
          <w:sz w:val="32"/>
          <w:szCs w:val="32"/>
        </w:rPr>
        <w:t>应</w:t>
      </w:r>
      <w:r>
        <w:rPr>
          <w:rFonts w:hint="eastAsia" w:ascii="仿宋_GB2312" w:hAnsi="仿宋_GB2312" w:eastAsia="仿宋_GB2312" w:cs="仿宋_GB2312"/>
          <w:color w:val="auto"/>
          <w:spacing w:val="-3"/>
          <w:sz w:val="32"/>
          <w:szCs w:val="32"/>
        </w:rPr>
        <w:t>包括：灾害种类、发生时间、受灾范围、受灾人口、死亡失踪人口、紧急转移安置人口、需紧急生活救助人口、造成的财产损失、已采取的救援救灾措施（投入的应急力量、资金、物资和装备等），以及需求、面临困难，下一步工作安排等内容。区应急管理局在接报灾情信息立即审核、汇总，并向区委区政府和市应急管理局报告。</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对造成本级行政区域内</w:t>
      </w:r>
      <w:r>
        <w:rPr>
          <w:rFonts w:ascii="仿宋_GB2312" w:hAnsi="仿宋_GB2312" w:eastAsia="仿宋_GB2312" w:cs="仿宋_GB2312"/>
          <w:color w:val="auto"/>
          <w:spacing w:val="-3"/>
          <w:sz w:val="32"/>
          <w:szCs w:val="32"/>
        </w:rPr>
        <w:t>10</w:t>
      </w:r>
      <w:r>
        <w:rPr>
          <w:rFonts w:hint="eastAsia" w:ascii="仿宋_GB2312" w:hAnsi="仿宋_GB2312" w:eastAsia="仿宋_GB2312" w:cs="仿宋_GB2312"/>
          <w:color w:val="auto"/>
          <w:spacing w:val="-3"/>
          <w:sz w:val="32"/>
          <w:szCs w:val="32"/>
        </w:rPr>
        <w:t>人以上死亡（含失踪）或社会关注度较高、群众反映强烈、房屋大量倒塌、城区大面积受淹等严重损失的自然灾害，区应急管理局立即上报区委区政府及</w:t>
      </w:r>
      <w:r>
        <w:rPr>
          <w:rFonts w:ascii="仿宋_GB2312" w:hAnsi="仿宋_GB2312" w:eastAsia="仿宋_GB2312" w:cs="仿宋_GB2312"/>
          <w:color w:val="auto"/>
          <w:spacing w:val="-3"/>
          <w:sz w:val="32"/>
          <w:szCs w:val="32"/>
        </w:rPr>
        <w:t>市</w:t>
      </w:r>
      <w:r>
        <w:rPr>
          <w:rFonts w:hint="eastAsia" w:ascii="仿宋_GB2312" w:hAnsi="仿宋_GB2312" w:eastAsia="仿宋_GB2312" w:cs="仿宋_GB2312"/>
          <w:color w:val="auto"/>
          <w:spacing w:val="-3"/>
          <w:sz w:val="32"/>
          <w:szCs w:val="32"/>
        </w:rPr>
        <w:t>应急管理局。报告可通过电话、传真、微信、短信或报灾系统等方式，对具体情况暂不清楚的，可先报告事件概要，调查后及时反馈详细情况。</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（2）灾情稳定前，各级应急管理部门均须执行灾情24小时零报告制度。灾情稳定后，区应急管理局在接到各</w:t>
      </w:r>
      <w:r>
        <w:rPr>
          <w:rFonts w:ascii="仿宋_GB2312" w:hAnsi="仿宋_GB2312" w:eastAsia="仿宋_GB2312" w:cs="仿宋_GB2312"/>
          <w:spacing w:val="-3"/>
          <w:sz w:val="32"/>
          <w:szCs w:val="32"/>
        </w:rPr>
        <w:t>村（社区</w:t>
      </w:r>
      <w:r>
        <w:rPr>
          <w:rFonts w:hint="eastAsia" w:ascii="仿宋_GB2312" w:hAnsi="仿宋_GB2312" w:eastAsia="仿宋_GB2312" w:cs="仿宋_GB2312"/>
          <w:spacing w:val="-3"/>
          <w:sz w:val="32"/>
          <w:szCs w:val="32"/>
        </w:rPr>
        <w:t>、居</w:t>
      </w:r>
      <w:r>
        <w:rPr>
          <w:rFonts w:ascii="仿宋_GB2312" w:hAnsi="仿宋_GB2312" w:eastAsia="仿宋_GB2312" w:cs="仿宋_GB2312"/>
          <w:spacing w:val="-3"/>
          <w:sz w:val="32"/>
          <w:szCs w:val="32"/>
        </w:rPr>
        <w:t>）委会</w:t>
      </w:r>
      <w:r>
        <w:rPr>
          <w:rFonts w:hint="eastAsia" w:ascii="仿宋_GB2312" w:hAnsi="仿宋_GB2312" w:eastAsia="仿宋_GB2312" w:cs="仿宋_GB2312"/>
          <w:color w:val="auto"/>
          <w:spacing w:val="-3"/>
          <w:sz w:val="32"/>
          <w:szCs w:val="32"/>
        </w:rPr>
        <w:t>报表后，要在</w:t>
      </w:r>
      <w:r>
        <w:rPr>
          <w:rFonts w:ascii="仿宋_GB2312" w:hAnsi="仿宋_GB2312" w:eastAsia="仿宋_GB2312" w:cs="仿宋_GB2312"/>
          <w:color w:val="auto"/>
          <w:spacing w:val="-3"/>
          <w:sz w:val="32"/>
          <w:szCs w:val="32"/>
        </w:rPr>
        <w:t>5</w:t>
      </w:r>
      <w:r>
        <w:rPr>
          <w:rFonts w:hint="eastAsia" w:ascii="仿宋_GB2312" w:hAnsi="仿宋_GB2312" w:eastAsia="仿宋_GB2312" w:cs="仿宋_GB2312"/>
          <w:color w:val="auto"/>
          <w:spacing w:val="-3"/>
          <w:sz w:val="32"/>
          <w:szCs w:val="32"/>
        </w:rPr>
        <w:t>个工作日内审核、汇总灾情数据并向本级人民政府和市应急管理局报告。</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（3）发生干旱灾害，区应急管理局、各</w:t>
      </w:r>
      <w:r>
        <w:rPr>
          <w:rFonts w:ascii="仿宋_GB2312" w:hAnsi="仿宋_GB2312" w:eastAsia="仿宋_GB2312" w:cs="仿宋_GB2312"/>
          <w:spacing w:val="-3"/>
          <w:sz w:val="32"/>
          <w:szCs w:val="32"/>
        </w:rPr>
        <w:t>村（社区</w:t>
      </w:r>
      <w:r>
        <w:rPr>
          <w:rFonts w:hint="eastAsia" w:ascii="仿宋_GB2312" w:hAnsi="仿宋_GB2312" w:eastAsia="仿宋_GB2312" w:cs="仿宋_GB2312"/>
          <w:spacing w:val="-3"/>
          <w:sz w:val="32"/>
          <w:szCs w:val="32"/>
        </w:rPr>
        <w:t>、居</w:t>
      </w:r>
      <w:r>
        <w:rPr>
          <w:rFonts w:ascii="仿宋_GB2312" w:hAnsi="仿宋_GB2312" w:eastAsia="仿宋_GB2312" w:cs="仿宋_GB2312"/>
          <w:spacing w:val="-3"/>
          <w:sz w:val="32"/>
          <w:szCs w:val="32"/>
        </w:rPr>
        <w:t>）委会</w:t>
      </w:r>
      <w:r>
        <w:rPr>
          <w:rFonts w:hint="eastAsia" w:ascii="仿宋_GB2312" w:hAnsi="仿宋_GB2312" w:eastAsia="仿宋_GB2312" w:cs="仿宋_GB2312"/>
          <w:color w:val="auto"/>
          <w:spacing w:val="-3"/>
          <w:sz w:val="32"/>
          <w:szCs w:val="32"/>
        </w:rPr>
        <w:t>在旱情初显、人民群众生产和生活受到一定影响时，初报灾情；在旱情发展过程中，至少每10日续报一次灾情，灾情解除后及时核报。</w:t>
      </w:r>
    </w:p>
    <w:p>
      <w:pPr>
        <w:kinsoku/>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（4）建立健全灾情会商制度，区减灾委定期或不定期组织相关部门和单位参加的灾情会商会，及时评估、核定灾情数据及相关情况。</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（5）区减灾委成员单位要加强对本行业本系统遭受自然灾害情况的统计上报工作，及时将数据共享至区减灾办报告。</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 xml:space="preserve">（6）区减灾办根据救灾工作需要，可要求区减灾委成员单位随时报告灾情和救灾工作情况。 </w:t>
      </w:r>
    </w:p>
    <w:p>
      <w:pPr>
        <w:pStyle w:val="4"/>
        <w:spacing w:line="360" w:lineRule="auto"/>
        <w:ind w:firstLine="643"/>
        <w:rPr>
          <w:rFonts w:cs="楷体_GB2312" w:asciiTheme="minorEastAsia" w:hAnsiTheme="minorEastAsia" w:eastAsiaTheme="minorEastAsia"/>
          <w:b/>
        </w:rPr>
      </w:pPr>
      <w:bookmarkStart w:id="16" w:name="_Toc18005"/>
      <w:r>
        <w:rPr>
          <w:rFonts w:hint="eastAsia" w:cs="楷体_GB2312" w:asciiTheme="minorEastAsia" w:hAnsiTheme="minorEastAsia" w:eastAsiaTheme="minorEastAsia"/>
          <w:b/>
        </w:rPr>
        <w:t>4.2 信息发布</w:t>
      </w:r>
      <w:bookmarkEnd w:id="16"/>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1）信息发布坚持实事求是、及时准确、公开透明的原则。信息发布形式包括授权发布、组织报道、接受记者采访、举行新闻发布会或记者招待会等。要主动通过应急广播、重点新闻网站或政府网站、政务微博、政务微信、政务客户端和手机短信等发布信息。具体按照国家、省和市有关规定执行。</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（2）灾情稳定前，应及时向社会滚动发布自然灾害信息及救灾救助工作等情况；灾情稳定后，及时评估、核定并按有关规定发布自然灾害损失情况。</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 xml:space="preserve">（3）关于灾情核定和发布工作，法律法规另有规定的，从其规定。 </w:t>
      </w:r>
    </w:p>
    <w:p>
      <w:pPr>
        <w:pStyle w:val="3"/>
        <w:spacing w:line="360" w:lineRule="auto"/>
        <w:ind w:firstLine="720"/>
        <w:rPr>
          <w:rStyle w:val="56"/>
          <w:rFonts w:ascii="黑体" w:hAnsi="黑体" w:cs="黑体"/>
          <w:bCs/>
          <w:sz w:val="36"/>
          <w:szCs w:val="36"/>
        </w:rPr>
      </w:pPr>
      <w:bookmarkStart w:id="17" w:name="_Toc27282"/>
      <w:r>
        <w:rPr>
          <w:rStyle w:val="56"/>
          <w:rFonts w:hint="eastAsia" w:ascii="黑体" w:hAnsi="黑体" w:cs="黑体"/>
          <w:bCs/>
          <w:sz w:val="36"/>
          <w:szCs w:val="36"/>
        </w:rPr>
        <w:t>5 应急响应</w:t>
      </w:r>
      <w:bookmarkEnd w:id="17"/>
      <w:r>
        <w:rPr>
          <w:rStyle w:val="56"/>
          <w:rFonts w:hint="eastAsia" w:ascii="黑体" w:hAnsi="黑体" w:cs="黑体"/>
          <w:bCs/>
          <w:sz w:val="36"/>
          <w:szCs w:val="36"/>
        </w:rPr>
        <w:t xml:space="preserve"> </w:t>
      </w:r>
    </w:p>
    <w:p>
      <w:pPr>
        <w:pStyle w:val="4"/>
        <w:spacing w:line="360" w:lineRule="auto"/>
        <w:ind w:firstLine="643"/>
        <w:rPr>
          <w:rFonts w:cs="楷体_GB2312" w:asciiTheme="minorEastAsia" w:hAnsiTheme="minorEastAsia" w:eastAsiaTheme="minorEastAsia"/>
          <w:b/>
        </w:rPr>
      </w:pPr>
      <w:bookmarkStart w:id="18" w:name="_Toc26219"/>
      <w:r>
        <w:rPr>
          <w:rFonts w:hint="eastAsia" w:cs="楷体_GB2312" w:asciiTheme="minorEastAsia" w:hAnsiTheme="minorEastAsia" w:eastAsiaTheme="minorEastAsia"/>
          <w:b/>
        </w:rPr>
        <w:t>5.1 先期处置</w:t>
      </w:r>
      <w:bookmarkEnd w:id="18"/>
      <w:r>
        <w:rPr>
          <w:rFonts w:hint="eastAsia" w:cs="楷体_GB2312" w:asciiTheme="minorEastAsia" w:hAnsiTheme="minorEastAsia" w:eastAsiaTheme="minorEastAsia"/>
          <w:b/>
        </w:rPr>
        <w:t xml:space="preserve"> </w:t>
      </w:r>
    </w:p>
    <w:p>
      <w:pPr>
        <w:kinsoku/>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自然灾害发生后，灾区应立即组织力量开展先期救助工作，视情采取以下措施：</w:t>
      </w:r>
    </w:p>
    <w:p>
      <w:pPr>
        <w:kinsoku/>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（1）控制并监测灾害现场，防止灾害继续扩大；</w:t>
      </w:r>
    </w:p>
    <w:p>
      <w:pPr>
        <w:kinsoku/>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（2）发动基层干部群众开展自救互救；</w:t>
      </w:r>
    </w:p>
    <w:p>
      <w:pPr>
        <w:kinsoku/>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（3）组织应急救援力量和工作人员，营救并转移安置受灾人员；</w:t>
      </w:r>
    </w:p>
    <w:p>
      <w:pPr>
        <w:kinsoku/>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（4）开放受灾地区附近的应急避难场所，集中安置受灾人员，提供衣、食、住、医等基本生活救助服务；</w:t>
      </w:r>
    </w:p>
    <w:p>
      <w:pPr>
        <w:kinsoku/>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（5）维护好灾害现场和救助场所内秩序；</w:t>
      </w:r>
    </w:p>
    <w:p>
      <w:pPr>
        <w:kinsoku/>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 xml:space="preserve">（6）按要求收集并报告灾情信息。 </w:t>
      </w:r>
    </w:p>
    <w:p>
      <w:pPr>
        <w:pStyle w:val="4"/>
        <w:spacing w:line="360" w:lineRule="auto"/>
        <w:ind w:firstLine="643"/>
        <w:rPr>
          <w:rFonts w:cs="楷体_GB2312" w:asciiTheme="minorEastAsia" w:hAnsiTheme="minorEastAsia" w:eastAsiaTheme="minorEastAsia"/>
          <w:b/>
        </w:rPr>
      </w:pPr>
      <w:bookmarkStart w:id="19" w:name="_Toc25639"/>
      <w:r>
        <w:rPr>
          <w:rFonts w:hint="eastAsia" w:cs="楷体_GB2312" w:asciiTheme="minorEastAsia" w:hAnsiTheme="minorEastAsia" w:eastAsiaTheme="minorEastAsia"/>
          <w:b/>
        </w:rPr>
        <w:t>5.2 分级响应</w:t>
      </w:r>
      <w:bookmarkEnd w:id="19"/>
      <w:r>
        <w:rPr>
          <w:rFonts w:hint="eastAsia" w:cs="楷体_GB2312" w:asciiTheme="minorEastAsia" w:hAnsiTheme="minorEastAsia" w:eastAsiaTheme="minorEastAsia"/>
          <w:b/>
        </w:rPr>
        <w:t xml:space="preserve"> </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 xml:space="preserve">根据自然灾害影响范围、危害程度等，区级自然灾害救助应急响应由低至高依次分为Ⅳ级、Ⅲ级、Ⅱ级、Ⅰ级四个等级。 </w:t>
      </w:r>
    </w:p>
    <w:p>
      <w:pPr>
        <w:pStyle w:val="5"/>
        <w:spacing w:line="360" w:lineRule="auto"/>
        <w:ind w:firstLine="643"/>
        <w:rPr>
          <w:rFonts w:ascii="宋体" w:hAnsi="宋体" w:eastAsia="宋体" w:cs="仿宋_GB2312"/>
          <w:b/>
          <w:color w:val="auto"/>
        </w:rPr>
      </w:pPr>
      <w:bookmarkStart w:id="20" w:name="_Toc22096"/>
      <w:r>
        <w:rPr>
          <w:rFonts w:hint="eastAsia" w:ascii="宋体" w:hAnsi="宋体" w:eastAsia="宋体" w:cs="仿宋_GB2312"/>
          <w:b/>
          <w:color w:val="auto"/>
        </w:rPr>
        <w:t>5.2.</w:t>
      </w:r>
      <w:r>
        <w:rPr>
          <w:rFonts w:ascii="宋体" w:hAnsi="宋体" w:eastAsia="宋体" w:cs="仿宋_GB2312"/>
          <w:b/>
          <w:color w:val="auto"/>
        </w:rPr>
        <w:t>1</w:t>
      </w:r>
      <w:r>
        <w:rPr>
          <w:rFonts w:hint="eastAsia" w:ascii="宋体" w:hAnsi="宋体" w:eastAsia="宋体" w:cs="仿宋_GB2312"/>
          <w:b/>
          <w:color w:val="auto"/>
        </w:rPr>
        <w:t xml:space="preserve"> Ⅳ级响应</w:t>
      </w:r>
      <w:bookmarkEnd w:id="20"/>
    </w:p>
    <w:p>
      <w:pPr>
        <w:spacing w:line="360" w:lineRule="auto"/>
        <w:ind w:firstLine="630" w:firstLineChars="200"/>
        <w:rPr>
          <w:rFonts w:ascii="仿宋_GB2312" w:hAnsi="仿宋_GB2312" w:eastAsia="仿宋_GB2312" w:cs="仿宋_GB2312"/>
          <w:b/>
          <w:color w:val="auto"/>
          <w:spacing w:val="-3"/>
          <w:sz w:val="32"/>
          <w:szCs w:val="32"/>
        </w:rPr>
      </w:pPr>
      <w:r>
        <w:rPr>
          <w:rFonts w:hint="eastAsia" w:ascii="仿宋_GB2312" w:hAnsi="仿宋_GB2312" w:eastAsia="仿宋_GB2312" w:cs="仿宋_GB2312"/>
          <w:b/>
          <w:color w:val="auto"/>
          <w:spacing w:val="-3"/>
          <w:sz w:val="32"/>
          <w:szCs w:val="32"/>
        </w:rPr>
        <w:t>1</w:t>
      </w:r>
      <w:r>
        <w:rPr>
          <w:rFonts w:ascii="仿宋_GB2312" w:hAnsi="仿宋_GB2312" w:eastAsia="仿宋_GB2312" w:cs="仿宋_GB2312"/>
          <w:b/>
          <w:color w:val="auto"/>
          <w:spacing w:val="-3"/>
          <w:sz w:val="32"/>
          <w:szCs w:val="32"/>
        </w:rPr>
        <w:t>.</w:t>
      </w:r>
      <w:r>
        <w:rPr>
          <w:rFonts w:hint="eastAsia" w:ascii="仿宋_GB2312" w:hAnsi="仿宋_GB2312" w:eastAsia="仿宋_GB2312" w:cs="仿宋_GB2312"/>
          <w:b/>
          <w:color w:val="auto"/>
          <w:spacing w:val="-3"/>
          <w:sz w:val="32"/>
          <w:szCs w:val="32"/>
        </w:rPr>
        <w:t xml:space="preserve">启动条件 </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一次灾害过程出现下列情况之一的，启动Ⅳ级响应：</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（1）死亡（含失踪）1人及以上，</w:t>
      </w:r>
      <w:r>
        <w:rPr>
          <w:rFonts w:ascii="仿宋_GB2312" w:hAnsi="仿宋_GB2312" w:eastAsia="仿宋_GB2312" w:cs="仿宋_GB2312"/>
          <w:color w:val="auto"/>
          <w:spacing w:val="-3"/>
          <w:sz w:val="32"/>
          <w:szCs w:val="32"/>
        </w:rPr>
        <w:t>10</w:t>
      </w:r>
      <w:r>
        <w:rPr>
          <w:rFonts w:hint="eastAsia" w:ascii="仿宋_GB2312" w:hAnsi="仿宋_GB2312" w:eastAsia="仿宋_GB2312" w:cs="仿宋_GB2312"/>
          <w:color w:val="auto"/>
          <w:spacing w:val="-3"/>
          <w:sz w:val="32"/>
          <w:szCs w:val="32"/>
        </w:rPr>
        <w:t>人以下；</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（2）紧急转移安置（含临时转移安置）或需紧急生活救助</w:t>
      </w:r>
      <w:r>
        <w:rPr>
          <w:rFonts w:ascii="仿宋_GB2312" w:hAnsi="仿宋_GB2312" w:eastAsia="仿宋_GB2312" w:cs="仿宋_GB2312"/>
          <w:color w:val="auto"/>
          <w:spacing w:val="-3"/>
          <w:sz w:val="32"/>
          <w:szCs w:val="32"/>
        </w:rPr>
        <w:t>7</w:t>
      </w:r>
      <w:r>
        <w:rPr>
          <w:rFonts w:hint="eastAsia" w:ascii="仿宋_GB2312" w:hAnsi="仿宋_GB2312" w:eastAsia="仿宋_GB2312" w:cs="仿宋_GB2312"/>
          <w:color w:val="auto"/>
          <w:spacing w:val="-3"/>
          <w:sz w:val="32"/>
          <w:szCs w:val="32"/>
        </w:rPr>
        <w:t>000人以上、</w:t>
      </w:r>
      <w:r>
        <w:rPr>
          <w:rFonts w:ascii="仿宋_GB2312" w:hAnsi="仿宋_GB2312" w:eastAsia="仿宋_GB2312" w:cs="仿宋_GB2312"/>
          <w:color w:val="auto"/>
          <w:spacing w:val="-3"/>
          <w:sz w:val="32"/>
          <w:szCs w:val="32"/>
        </w:rPr>
        <w:t>1</w:t>
      </w:r>
      <w:r>
        <w:rPr>
          <w:rFonts w:hint="eastAsia" w:ascii="仿宋_GB2312" w:hAnsi="仿宋_GB2312" w:eastAsia="仿宋_GB2312" w:cs="仿宋_GB2312"/>
          <w:color w:val="auto"/>
          <w:spacing w:val="-3"/>
          <w:sz w:val="32"/>
          <w:szCs w:val="32"/>
        </w:rPr>
        <w:t>万人以下；</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（3）倒塌和严重损坏房屋</w:t>
      </w:r>
      <w:r>
        <w:rPr>
          <w:rFonts w:ascii="仿宋_GB2312" w:hAnsi="仿宋_GB2312" w:eastAsia="仿宋_GB2312" w:cs="仿宋_GB2312"/>
          <w:color w:val="auto"/>
          <w:spacing w:val="-3"/>
          <w:sz w:val="32"/>
          <w:szCs w:val="32"/>
        </w:rPr>
        <w:t>1</w:t>
      </w:r>
      <w:r>
        <w:rPr>
          <w:rFonts w:hint="eastAsia" w:ascii="仿宋_GB2312" w:hAnsi="仿宋_GB2312" w:eastAsia="仿宋_GB2312" w:cs="仿宋_GB2312"/>
          <w:color w:val="auto"/>
          <w:spacing w:val="-3"/>
          <w:sz w:val="32"/>
          <w:szCs w:val="32"/>
        </w:rPr>
        <w:t>00间或35户及以上、</w:t>
      </w:r>
      <w:r>
        <w:rPr>
          <w:rFonts w:ascii="仿宋_GB2312" w:hAnsi="仿宋_GB2312" w:eastAsia="仿宋_GB2312" w:cs="仿宋_GB2312"/>
          <w:color w:val="auto"/>
          <w:spacing w:val="-3"/>
          <w:sz w:val="32"/>
          <w:szCs w:val="32"/>
        </w:rPr>
        <w:t>5</w:t>
      </w:r>
      <w:r>
        <w:rPr>
          <w:rFonts w:hint="eastAsia" w:ascii="仿宋_GB2312" w:hAnsi="仿宋_GB2312" w:eastAsia="仿宋_GB2312" w:cs="仿宋_GB2312"/>
          <w:color w:val="auto"/>
          <w:spacing w:val="-3"/>
          <w:sz w:val="32"/>
          <w:szCs w:val="32"/>
        </w:rPr>
        <w:t>00间以下或150户以下；</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（4）干旱灾害造成缺粮或缺水等生活困难，需政府救助人数占全市农业人口</w:t>
      </w:r>
      <w:r>
        <w:rPr>
          <w:rFonts w:ascii="仿宋_GB2312" w:hAnsi="仿宋_GB2312" w:eastAsia="仿宋_GB2312" w:cs="仿宋_GB2312"/>
          <w:color w:val="auto"/>
          <w:spacing w:val="-3"/>
          <w:sz w:val="32"/>
          <w:szCs w:val="32"/>
        </w:rPr>
        <w:t>10%</w:t>
      </w:r>
      <w:r>
        <w:rPr>
          <w:rFonts w:hint="eastAsia" w:ascii="仿宋_GB2312" w:hAnsi="仿宋_GB2312" w:eastAsia="仿宋_GB2312" w:cs="仿宋_GB2312"/>
          <w:color w:val="auto"/>
          <w:spacing w:val="-3"/>
          <w:sz w:val="32"/>
          <w:szCs w:val="32"/>
        </w:rPr>
        <w:t>以上，</w:t>
      </w:r>
      <w:r>
        <w:rPr>
          <w:rFonts w:ascii="仿宋_GB2312" w:hAnsi="仿宋_GB2312" w:eastAsia="仿宋_GB2312" w:cs="仿宋_GB2312"/>
          <w:color w:val="auto"/>
          <w:spacing w:val="-3"/>
          <w:sz w:val="32"/>
          <w:szCs w:val="32"/>
        </w:rPr>
        <w:t>15%</w:t>
      </w:r>
      <w:r>
        <w:rPr>
          <w:rFonts w:hint="eastAsia" w:ascii="仿宋_GB2312" w:hAnsi="仿宋_GB2312" w:eastAsia="仿宋_GB2312" w:cs="仿宋_GB2312"/>
          <w:color w:val="auto"/>
          <w:spacing w:val="-3"/>
          <w:sz w:val="32"/>
          <w:szCs w:val="32"/>
        </w:rPr>
        <w:t>以下</w:t>
      </w:r>
      <w:r>
        <w:rPr>
          <w:rFonts w:ascii="仿宋_GB2312" w:hAnsi="仿宋_GB2312" w:eastAsia="仿宋_GB2312" w:cs="仿宋_GB2312"/>
          <w:color w:val="auto"/>
          <w:spacing w:val="-3"/>
          <w:sz w:val="32"/>
          <w:szCs w:val="32"/>
        </w:rPr>
        <w:t>;</w:t>
      </w:r>
      <w:r>
        <w:rPr>
          <w:rFonts w:hint="eastAsia" w:ascii="仿宋_GB2312" w:hAnsi="仿宋_GB2312" w:eastAsia="仿宋_GB2312" w:cs="仿宋_GB2312"/>
          <w:color w:val="auto"/>
          <w:spacing w:val="-3"/>
          <w:sz w:val="32"/>
          <w:szCs w:val="32"/>
        </w:rPr>
        <w:t>或</w:t>
      </w:r>
      <w:r>
        <w:rPr>
          <w:rFonts w:ascii="仿宋_GB2312" w:hAnsi="仿宋_GB2312" w:eastAsia="仿宋_GB2312" w:cs="仿宋_GB2312"/>
          <w:color w:val="auto"/>
          <w:spacing w:val="-3"/>
          <w:sz w:val="32"/>
          <w:szCs w:val="32"/>
        </w:rPr>
        <w:t>3</w:t>
      </w:r>
      <w:r>
        <w:rPr>
          <w:rFonts w:hint="eastAsia" w:ascii="仿宋_GB2312" w:hAnsi="仿宋_GB2312" w:eastAsia="仿宋_GB2312" w:cs="仿宋_GB2312"/>
          <w:color w:val="auto"/>
          <w:spacing w:val="-3"/>
          <w:sz w:val="32"/>
          <w:szCs w:val="32"/>
        </w:rPr>
        <w:t>万人以上，</w:t>
      </w:r>
      <w:r>
        <w:rPr>
          <w:rFonts w:ascii="仿宋_GB2312" w:hAnsi="仿宋_GB2312" w:eastAsia="仿宋_GB2312" w:cs="仿宋_GB2312"/>
          <w:color w:val="auto"/>
          <w:spacing w:val="-3"/>
          <w:sz w:val="32"/>
          <w:szCs w:val="32"/>
        </w:rPr>
        <w:t>4.5</w:t>
      </w:r>
      <w:r>
        <w:rPr>
          <w:rFonts w:hint="eastAsia" w:ascii="仿宋_GB2312" w:hAnsi="仿宋_GB2312" w:eastAsia="仿宋_GB2312" w:cs="仿宋_GB2312"/>
          <w:color w:val="auto"/>
          <w:spacing w:val="-3"/>
          <w:sz w:val="32"/>
          <w:szCs w:val="32"/>
        </w:rPr>
        <w:t>万人以下</w:t>
      </w:r>
      <w:r>
        <w:rPr>
          <w:rFonts w:ascii="仿宋_GB2312" w:hAnsi="仿宋_GB2312" w:eastAsia="仿宋_GB2312" w:cs="仿宋_GB2312"/>
          <w:color w:val="auto"/>
          <w:spacing w:val="-3"/>
          <w:sz w:val="32"/>
          <w:szCs w:val="32"/>
        </w:rPr>
        <w:t>;</w:t>
      </w:r>
      <w:r>
        <w:rPr>
          <w:rFonts w:hint="eastAsia" w:ascii="仿宋_GB2312" w:hAnsi="仿宋_GB2312" w:eastAsia="仿宋_GB2312" w:cs="仿宋_GB2312"/>
          <w:color w:val="auto"/>
          <w:spacing w:val="-3"/>
          <w:sz w:val="32"/>
          <w:szCs w:val="32"/>
        </w:rPr>
        <w:t xml:space="preserve"> </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（5）灾害造成群众生产生活资料遭受损失、引起社会关注。</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w:t>
      </w:r>
      <w:r>
        <w:rPr>
          <w:rFonts w:ascii="仿宋_GB2312" w:hAnsi="仿宋_GB2312" w:eastAsia="仿宋_GB2312" w:cs="仿宋_GB2312"/>
          <w:color w:val="auto"/>
          <w:spacing w:val="-3"/>
          <w:sz w:val="32"/>
          <w:szCs w:val="32"/>
        </w:rPr>
        <w:t>6</w:t>
      </w:r>
      <w:r>
        <w:rPr>
          <w:rFonts w:hint="eastAsia" w:ascii="仿宋_GB2312" w:hAnsi="仿宋_GB2312" w:eastAsia="仿宋_GB2312" w:cs="仿宋_GB2312"/>
          <w:color w:val="auto"/>
          <w:spacing w:val="-3"/>
          <w:sz w:val="32"/>
          <w:szCs w:val="32"/>
        </w:rPr>
        <w:t>）区人民政府决定的其他事项。</w:t>
      </w:r>
    </w:p>
    <w:p>
      <w:pPr>
        <w:spacing w:line="360" w:lineRule="auto"/>
        <w:ind w:firstLine="630" w:firstLineChars="200"/>
        <w:rPr>
          <w:rFonts w:ascii="仿宋_GB2312" w:hAnsi="仿宋_GB2312" w:eastAsia="仿宋_GB2312" w:cs="仿宋_GB2312"/>
          <w:b/>
          <w:color w:val="auto"/>
          <w:spacing w:val="-3"/>
          <w:sz w:val="32"/>
          <w:szCs w:val="32"/>
        </w:rPr>
      </w:pPr>
      <w:r>
        <w:rPr>
          <w:rFonts w:hint="eastAsia" w:ascii="仿宋_GB2312" w:hAnsi="仿宋_GB2312" w:eastAsia="仿宋_GB2312" w:cs="仿宋_GB2312"/>
          <w:b/>
          <w:color w:val="auto"/>
          <w:spacing w:val="-3"/>
          <w:sz w:val="32"/>
          <w:szCs w:val="32"/>
        </w:rPr>
        <w:t>2</w:t>
      </w:r>
      <w:r>
        <w:rPr>
          <w:rFonts w:ascii="仿宋_GB2312" w:hAnsi="仿宋_GB2312" w:eastAsia="仿宋_GB2312" w:cs="仿宋_GB2312"/>
          <w:b/>
          <w:color w:val="auto"/>
          <w:spacing w:val="-3"/>
          <w:sz w:val="32"/>
          <w:szCs w:val="32"/>
        </w:rPr>
        <w:t>.</w:t>
      </w:r>
      <w:r>
        <w:rPr>
          <w:rFonts w:hint="eastAsia" w:ascii="仿宋_GB2312" w:hAnsi="仿宋_GB2312" w:eastAsia="仿宋_GB2312" w:cs="仿宋_GB2312"/>
          <w:b/>
          <w:color w:val="auto"/>
          <w:spacing w:val="-3"/>
          <w:sz w:val="32"/>
          <w:szCs w:val="32"/>
        </w:rPr>
        <w:t xml:space="preserve">启动程序 </w:t>
      </w:r>
    </w:p>
    <w:p>
      <w:pPr>
        <w:kinsoku/>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 xml:space="preserve">灾害发生后，区减灾办经分析评估，认定灾情达到启动标准，区减灾办主任决定启动Ⅳ级应急响应，并报告区减灾委主任。 </w:t>
      </w:r>
    </w:p>
    <w:p>
      <w:pPr>
        <w:spacing w:line="360" w:lineRule="auto"/>
        <w:ind w:firstLine="630"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b/>
          <w:color w:val="auto"/>
          <w:spacing w:val="-3"/>
          <w:sz w:val="32"/>
          <w:szCs w:val="32"/>
        </w:rPr>
        <w:t>3.响应措施</w:t>
      </w:r>
      <w:r>
        <w:rPr>
          <w:rFonts w:hint="eastAsia" w:ascii="仿宋_GB2312" w:hAnsi="仿宋_GB2312" w:eastAsia="仿宋_GB2312" w:cs="仿宋_GB2312"/>
          <w:color w:val="auto"/>
          <w:spacing w:val="-3"/>
          <w:sz w:val="32"/>
          <w:szCs w:val="32"/>
        </w:rPr>
        <w:t xml:space="preserve"> </w:t>
      </w:r>
    </w:p>
    <w:p>
      <w:pPr>
        <w:widowControl w:val="0"/>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区减灾办组织协调区级层面自然灾害救助工作，指导支持受灾辖区自然灾害救助工作。区减灾委及其成员单位视情采取以下措施：</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（1）区减灾办分析受灾辖区形势，视情组织协调有关部门和单位，研究落实对受灾辖区的救灾救助支持和措施。</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（2）受灾地区根据自然灾害救助工作需要，成立区级灾害救助现场工作组，具体负责受灾人员基本生活救助和相关善后处置工作。</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（3）区减灾办派出工作组赴受灾地区慰问受灾人员，核查灾情，协助指导受灾辖区开展救灾工作。</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（4）区减灾办及时掌握并按照有关规定统一发布灾情和救灾工作动态信息。</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（5）区应急管理局会同区财政局根据地方申请和有关单位对灾情的核定情况，及时下拨区级自然灾害生活补助资金。紧急调拨区级生活类救灾物资，指导、监督受灾地区救灾应急措施落实和救灾款物发放。</w:t>
      </w:r>
    </w:p>
    <w:p>
      <w:pPr>
        <w:kinsoku/>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（6）区卫</w:t>
      </w:r>
      <w:r>
        <w:rPr>
          <w:rFonts w:hint="eastAsia" w:ascii="仿宋_GB2312" w:hAnsi="仿宋_GB2312" w:eastAsia="仿宋_GB2312" w:cs="仿宋_GB2312"/>
          <w:color w:val="auto"/>
          <w:spacing w:val="-3"/>
          <w:sz w:val="32"/>
          <w:szCs w:val="32"/>
          <w:lang w:val="en-US" w:eastAsia="zh-CN"/>
        </w:rPr>
        <w:t>健委</w:t>
      </w:r>
      <w:r>
        <w:rPr>
          <w:rFonts w:hint="eastAsia" w:ascii="仿宋_GB2312" w:hAnsi="仿宋_GB2312" w:eastAsia="仿宋_GB2312" w:cs="仿宋_GB2312"/>
          <w:color w:val="auto"/>
          <w:spacing w:val="-3"/>
          <w:sz w:val="32"/>
          <w:szCs w:val="32"/>
        </w:rPr>
        <w:t>根据需要，及时派出医疗卫生队伍赴灾区协助开展医疗救治、疾病预防控制和心理援助等卫生应急工作。</w:t>
      </w:r>
    </w:p>
    <w:p>
      <w:pPr>
        <w:kinsoku/>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（7）灾情稳定后，区应急管理局指导受灾地区开展评估、核定损失等工作，汇总上报灾情信息。</w:t>
      </w:r>
    </w:p>
    <w:p>
      <w:pPr>
        <w:kinsoku/>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（8）区减灾委其他成员单位按照职责分工，做好有关工作。</w:t>
      </w:r>
    </w:p>
    <w:p>
      <w:pPr>
        <w:pStyle w:val="5"/>
        <w:spacing w:line="360" w:lineRule="auto"/>
        <w:ind w:firstLine="643"/>
        <w:rPr>
          <w:rFonts w:ascii="宋体" w:hAnsi="宋体" w:eastAsia="宋体" w:cs="仿宋_GB2312"/>
          <w:b/>
          <w:color w:val="auto"/>
        </w:rPr>
      </w:pPr>
      <w:bookmarkStart w:id="21" w:name="_Toc16426"/>
      <w:r>
        <w:rPr>
          <w:rFonts w:hint="eastAsia" w:ascii="宋体" w:hAnsi="宋体" w:eastAsia="宋体" w:cs="仿宋_GB2312"/>
          <w:b/>
          <w:color w:val="auto"/>
        </w:rPr>
        <w:t>5.2.2 Ⅲ级响应</w:t>
      </w:r>
      <w:bookmarkEnd w:id="21"/>
    </w:p>
    <w:p>
      <w:pPr>
        <w:spacing w:line="360" w:lineRule="auto"/>
        <w:ind w:firstLine="630" w:firstLineChars="200"/>
        <w:rPr>
          <w:rFonts w:ascii="仿宋_GB2312" w:hAnsi="仿宋_GB2312" w:eastAsia="仿宋_GB2312" w:cs="仿宋_GB2312"/>
          <w:b/>
          <w:color w:val="auto"/>
          <w:spacing w:val="-3"/>
          <w:sz w:val="32"/>
          <w:szCs w:val="32"/>
        </w:rPr>
      </w:pPr>
      <w:r>
        <w:rPr>
          <w:rFonts w:hint="eastAsia" w:ascii="仿宋_GB2312" w:hAnsi="仿宋_GB2312" w:eastAsia="仿宋_GB2312" w:cs="仿宋_GB2312"/>
          <w:b/>
          <w:color w:val="auto"/>
          <w:spacing w:val="-3"/>
          <w:sz w:val="32"/>
          <w:szCs w:val="32"/>
        </w:rPr>
        <w:t>1</w:t>
      </w:r>
      <w:r>
        <w:rPr>
          <w:rFonts w:ascii="仿宋_GB2312" w:hAnsi="仿宋_GB2312" w:eastAsia="仿宋_GB2312" w:cs="仿宋_GB2312"/>
          <w:b/>
          <w:color w:val="auto"/>
          <w:spacing w:val="-3"/>
          <w:sz w:val="32"/>
          <w:szCs w:val="32"/>
        </w:rPr>
        <w:t>.</w:t>
      </w:r>
      <w:r>
        <w:rPr>
          <w:rFonts w:hint="eastAsia" w:ascii="仿宋_GB2312" w:hAnsi="仿宋_GB2312" w:eastAsia="仿宋_GB2312" w:cs="仿宋_GB2312"/>
          <w:b/>
          <w:color w:val="auto"/>
          <w:spacing w:val="-3"/>
          <w:sz w:val="32"/>
          <w:szCs w:val="32"/>
        </w:rPr>
        <w:t xml:space="preserve">启动条件 </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一次灾害过程出现下列情况之一的，启动Ⅲ级响应：</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（1）死亡（含失踪）死亡</w:t>
      </w:r>
      <w:r>
        <w:rPr>
          <w:rFonts w:ascii="仿宋_GB2312" w:hAnsi="仿宋_GB2312" w:eastAsia="仿宋_GB2312" w:cs="仿宋_GB2312"/>
          <w:color w:val="auto"/>
          <w:spacing w:val="-3"/>
          <w:sz w:val="32"/>
          <w:szCs w:val="32"/>
        </w:rPr>
        <w:t>10</w:t>
      </w:r>
      <w:r>
        <w:rPr>
          <w:rFonts w:hint="eastAsia" w:ascii="仿宋_GB2312" w:hAnsi="仿宋_GB2312" w:eastAsia="仿宋_GB2312" w:cs="仿宋_GB2312"/>
          <w:color w:val="auto"/>
          <w:spacing w:val="-3"/>
          <w:sz w:val="32"/>
          <w:szCs w:val="32"/>
        </w:rPr>
        <w:t>人以上、</w:t>
      </w:r>
      <w:r>
        <w:rPr>
          <w:rFonts w:ascii="仿宋_GB2312" w:hAnsi="仿宋_GB2312" w:eastAsia="仿宋_GB2312" w:cs="仿宋_GB2312"/>
          <w:color w:val="auto"/>
          <w:spacing w:val="-3"/>
          <w:sz w:val="32"/>
          <w:szCs w:val="32"/>
        </w:rPr>
        <w:t>2</w:t>
      </w:r>
      <w:r>
        <w:rPr>
          <w:rFonts w:hint="eastAsia" w:ascii="仿宋_GB2312" w:hAnsi="仿宋_GB2312" w:eastAsia="仿宋_GB2312" w:cs="仿宋_GB2312"/>
          <w:color w:val="auto"/>
          <w:spacing w:val="-3"/>
          <w:sz w:val="32"/>
          <w:szCs w:val="32"/>
        </w:rPr>
        <w:t>0人以下；</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（2）紧急转移安置（含临时转移安置）或需紧急生活救助</w:t>
      </w:r>
      <w:r>
        <w:rPr>
          <w:rFonts w:ascii="仿宋_GB2312" w:hAnsi="仿宋_GB2312" w:eastAsia="仿宋_GB2312" w:cs="仿宋_GB2312"/>
          <w:color w:val="auto"/>
          <w:spacing w:val="-3"/>
          <w:sz w:val="32"/>
          <w:szCs w:val="32"/>
        </w:rPr>
        <w:t>1</w:t>
      </w:r>
      <w:r>
        <w:rPr>
          <w:rFonts w:hint="eastAsia" w:ascii="仿宋_GB2312" w:hAnsi="仿宋_GB2312" w:eastAsia="仿宋_GB2312" w:cs="仿宋_GB2312"/>
          <w:color w:val="auto"/>
          <w:spacing w:val="-3"/>
          <w:sz w:val="32"/>
          <w:szCs w:val="32"/>
        </w:rPr>
        <w:t>万人以上、</w:t>
      </w:r>
      <w:r>
        <w:rPr>
          <w:rFonts w:ascii="仿宋_GB2312" w:hAnsi="仿宋_GB2312" w:eastAsia="仿宋_GB2312" w:cs="仿宋_GB2312"/>
          <w:color w:val="auto"/>
          <w:spacing w:val="-3"/>
          <w:sz w:val="32"/>
          <w:szCs w:val="32"/>
        </w:rPr>
        <w:t>3</w:t>
      </w:r>
      <w:r>
        <w:rPr>
          <w:rFonts w:hint="eastAsia" w:ascii="仿宋_GB2312" w:hAnsi="仿宋_GB2312" w:eastAsia="仿宋_GB2312" w:cs="仿宋_GB2312"/>
          <w:color w:val="auto"/>
          <w:spacing w:val="-3"/>
          <w:sz w:val="32"/>
          <w:szCs w:val="32"/>
        </w:rPr>
        <w:t>万人以下；</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（3）倒塌和严重损坏房屋</w:t>
      </w:r>
      <w:r>
        <w:rPr>
          <w:rFonts w:ascii="仿宋_GB2312" w:hAnsi="仿宋_GB2312" w:eastAsia="仿宋_GB2312" w:cs="仿宋_GB2312"/>
          <w:color w:val="auto"/>
          <w:spacing w:val="-3"/>
          <w:sz w:val="32"/>
          <w:szCs w:val="32"/>
        </w:rPr>
        <w:t>5</w:t>
      </w:r>
      <w:r>
        <w:rPr>
          <w:rFonts w:hint="eastAsia" w:ascii="仿宋_GB2312" w:hAnsi="仿宋_GB2312" w:eastAsia="仿宋_GB2312" w:cs="仿宋_GB2312"/>
          <w:color w:val="auto"/>
          <w:spacing w:val="-3"/>
          <w:sz w:val="32"/>
          <w:szCs w:val="32"/>
        </w:rPr>
        <w:t>00间以上或150户</w:t>
      </w:r>
      <w:r>
        <w:rPr>
          <w:rFonts w:ascii="仿宋_GB2312" w:hAnsi="仿宋_GB2312" w:eastAsia="仿宋_GB2312" w:cs="仿宋_GB2312"/>
          <w:color w:val="auto"/>
          <w:spacing w:val="-3"/>
          <w:sz w:val="32"/>
          <w:szCs w:val="32"/>
        </w:rPr>
        <w:t>以上</w:t>
      </w:r>
      <w:r>
        <w:rPr>
          <w:rFonts w:hint="eastAsia" w:ascii="仿宋_GB2312" w:hAnsi="仿宋_GB2312" w:eastAsia="仿宋_GB2312" w:cs="仿宋_GB2312"/>
          <w:color w:val="auto"/>
          <w:spacing w:val="-3"/>
          <w:sz w:val="32"/>
          <w:szCs w:val="32"/>
        </w:rPr>
        <w:t>、3000间以下或</w:t>
      </w:r>
      <w:r>
        <w:rPr>
          <w:rFonts w:ascii="仿宋_GB2312" w:hAnsi="仿宋_GB2312" w:eastAsia="仿宋_GB2312" w:cs="仿宋_GB2312"/>
          <w:color w:val="auto"/>
          <w:spacing w:val="-3"/>
          <w:sz w:val="32"/>
          <w:szCs w:val="32"/>
        </w:rPr>
        <w:t>10</w:t>
      </w:r>
      <w:r>
        <w:rPr>
          <w:rFonts w:hint="eastAsia" w:ascii="仿宋_GB2312" w:hAnsi="仿宋_GB2312" w:eastAsia="仿宋_GB2312" w:cs="仿宋_GB2312"/>
          <w:color w:val="auto"/>
          <w:spacing w:val="-3"/>
          <w:sz w:val="32"/>
          <w:szCs w:val="32"/>
        </w:rPr>
        <w:t>00户以下；</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（4）干旱灾害造成缺粮或缺水等生活困难，需政府救助人数占全市农业人口</w:t>
      </w:r>
      <w:r>
        <w:rPr>
          <w:rFonts w:ascii="仿宋_GB2312" w:hAnsi="仿宋_GB2312" w:eastAsia="仿宋_GB2312" w:cs="仿宋_GB2312"/>
          <w:color w:val="auto"/>
          <w:spacing w:val="-3"/>
          <w:sz w:val="32"/>
          <w:szCs w:val="32"/>
        </w:rPr>
        <w:t>15%</w:t>
      </w:r>
      <w:r>
        <w:rPr>
          <w:rFonts w:hint="eastAsia" w:ascii="仿宋_GB2312" w:hAnsi="仿宋_GB2312" w:eastAsia="仿宋_GB2312" w:cs="仿宋_GB2312"/>
          <w:color w:val="auto"/>
          <w:spacing w:val="-3"/>
          <w:sz w:val="32"/>
          <w:szCs w:val="32"/>
        </w:rPr>
        <w:t>以上，</w:t>
      </w:r>
      <w:r>
        <w:rPr>
          <w:rFonts w:ascii="仿宋_GB2312" w:hAnsi="仿宋_GB2312" w:eastAsia="仿宋_GB2312" w:cs="仿宋_GB2312"/>
          <w:color w:val="auto"/>
          <w:spacing w:val="-3"/>
          <w:sz w:val="32"/>
          <w:szCs w:val="32"/>
        </w:rPr>
        <w:t>20%</w:t>
      </w:r>
      <w:r>
        <w:rPr>
          <w:rFonts w:hint="eastAsia" w:ascii="仿宋_GB2312" w:hAnsi="仿宋_GB2312" w:eastAsia="仿宋_GB2312" w:cs="仿宋_GB2312"/>
          <w:color w:val="auto"/>
          <w:spacing w:val="-3"/>
          <w:sz w:val="32"/>
          <w:szCs w:val="32"/>
        </w:rPr>
        <w:t>以下</w:t>
      </w:r>
      <w:r>
        <w:rPr>
          <w:rFonts w:ascii="仿宋_GB2312" w:hAnsi="仿宋_GB2312" w:eastAsia="仿宋_GB2312" w:cs="仿宋_GB2312"/>
          <w:color w:val="auto"/>
          <w:spacing w:val="-3"/>
          <w:sz w:val="32"/>
          <w:szCs w:val="32"/>
        </w:rPr>
        <w:t>;</w:t>
      </w:r>
      <w:r>
        <w:rPr>
          <w:rFonts w:hint="eastAsia" w:ascii="仿宋_GB2312" w:hAnsi="仿宋_GB2312" w:eastAsia="仿宋_GB2312" w:cs="仿宋_GB2312"/>
          <w:color w:val="auto"/>
          <w:spacing w:val="-3"/>
          <w:sz w:val="32"/>
          <w:szCs w:val="32"/>
        </w:rPr>
        <w:t>或</w:t>
      </w:r>
      <w:r>
        <w:rPr>
          <w:rFonts w:ascii="仿宋_GB2312" w:hAnsi="仿宋_GB2312" w:eastAsia="仿宋_GB2312" w:cs="仿宋_GB2312"/>
          <w:color w:val="auto"/>
          <w:spacing w:val="-3"/>
          <w:sz w:val="32"/>
          <w:szCs w:val="32"/>
        </w:rPr>
        <w:t>4.5</w:t>
      </w:r>
      <w:r>
        <w:rPr>
          <w:rFonts w:hint="eastAsia" w:ascii="仿宋_GB2312" w:hAnsi="仿宋_GB2312" w:eastAsia="仿宋_GB2312" w:cs="仿宋_GB2312"/>
          <w:color w:val="auto"/>
          <w:spacing w:val="-3"/>
          <w:sz w:val="32"/>
          <w:szCs w:val="32"/>
        </w:rPr>
        <w:t>万人以上，</w:t>
      </w:r>
      <w:r>
        <w:rPr>
          <w:rFonts w:ascii="仿宋_GB2312" w:hAnsi="仿宋_GB2312" w:eastAsia="仿宋_GB2312" w:cs="仿宋_GB2312"/>
          <w:color w:val="auto"/>
          <w:spacing w:val="-3"/>
          <w:sz w:val="32"/>
          <w:szCs w:val="32"/>
        </w:rPr>
        <w:t>6</w:t>
      </w:r>
      <w:r>
        <w:rPr>
          <w:rFonts w:hint="eastAsia" w:ascii="仿宋_GB2312" w:hAnsi="仿宋_GB2312" w:eastAsia="仿宋_GB2312" w:cs="仿宋_GB2312"/>
          <w:color w:val="auto"/>
          <w:spacing w:val="-3"/>
          <w:sz w:val="32"/>
          <w:szCs w:val="32"/>
        </w:rPr>
        <w:t xml:space="preserve">万人以下； </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（5）灾害造成群众生产生活资料遭受较大损失、社会关注度较高。</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w:t>
      </w:r>
      <w:r>
        <w:rPr>
          <w:rFonts w:ascii="仿宋_GB2312" w:hAnsi="仿宋_GB2312" w:eastAsia="仿宋_GB2312" w:cs="仿宋_GB2312"/>
          <w:color w:val="auto"/>
          <w:spacing w:val="-3"/>
          <w:sz w:val="32"/>
          <w:szCs w:val="32"/>
        </w:rPr>
        <w:t>6</w:t>
      </w:r>
      <w:r>
        <w:rPr>
          <w:rFonts w:hint="eastAsia" w:ascii="仿宋_GB2312" w:hAnsi="仿宋_GB2312" w:eastAsia="仿宋_GB2312" w:cs="仿宋_GB2312"/>
          <w:color w:val="auto"/>
          <w:spacing w:val="-3"/>
          <w:sz w:val="32"/>
          <w:szCs w:val="32"/>
        </w:rPr>
        <w:t>）区人民政府决定的其他事项。</w:t>
      </w:r>
    </w:p>
    <w:p>
      <w:pPr>
        <w:spacing w:line="360" w:lineRule="auto"/>
        <w:ind w:firstLine="630" w:firstLineChars="200"/>
        <w:rPr>
          <w:rFonts w:ascii="仿宋_GB2312" w:hAnsi="仿宋_GB2312" w:eastAsia="仿宋_GB2312" w:cs="仿宋_GB2312"/>
          <w:b/>
          <w:color w:val="auto"/>
          <w:spacing w:val="-3"/>
          <w:sz w:val="32"/>
          <w:szCs w:val="32"/>
        </w:rPr>
      </w:pPr>
      <w:r>
        <w:rPr>
          <w:rFonts w:hint="eastAsia" w:ascii="仿宋_GB2312" w:hAnsi="仿宋_GB2312" w:eastAsia="仿宋_GB2312" w:cs="仿宋_GB2312"/>
          <w:b/>
          <w:color w:val="auto"/>
          <w:spacing w:val="-3"/>
          <w:sz w:val="32"/>
          <w:szCs w:val="32"/>
        </w:rPr>
        <w:t>2</w:t>
      </w:r>
      <w:r>
        <w:rPr>
          <w:rFonts w:ascii="仿宋_GB2312" w:hAnsi="仿宋_GB2312" w:eastAsia="仿宋_GB2312" w:cs="仿宋_GB2312"/>
          <w:b/>
          <w:color w:val="auto"/>
          <w:spacing w:val="-3"/>
          <w:sz w:val="32"/>
          <w:szCs w:val="32"/>
        </w:rPr>
        <w:t>.</w:t>
      </w:r>
      <w:r>
        <w:rPr>
          <w:rFonts w:hint="eastAsia" w:ascii="仿宋_GB2312" w:hAnsi="仿宋_GB2312" w:eastAsia="仿宋_GB2312" w:cs="仿宋_GB2312"/>
          <w:b/>
          <w:color w:val="auto"/>
          <w:spacing w:val="-3"/>
          <w:sz w:val="32"/>
          <w:szCs w:val="32"/>
        </w:rPr>
        <w:t xml:space="preserve">启动程序 </w:t>
      </w:r>
    </w:p>
    <w:p>
      <w:pPr>
        <w:kinsoku/>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 xml:space="preserve">灾害发生后，区减灾办经分析评估，认定灾情达到启动标准，向区减灾委提出启动Ⅲ级响应的建议，由区减灾委副主任决定启动Ⅲ级响应，并报告区减灾委主任。 </w:t>
      </w:r>
    </w:p>
    <w:p>
      <w:pPr>
        <w:spacing w:line="360" w:lineRule="auto"/>
        <w:ind w:firstLine="630" w:firstLineChars="200"/>
        <w:rPr>
          <w:rFonts w:ascii="仿宋_GB2312" w:hAnsi="仿宋_GB2312" w:eastAsia="仿宋_GB2312" w:cs="仿宋_GB2312"/>
          <w:b/>
          <w:color w:val="auto"/>
          <w:spacing w:val="-3"/>
          <w:sz w:val="32"/>
          <w:szCs w:val="32"/>
        </w:rPr>
      </w:pPr>
      <w:r>
        <w:rPr>
          <w:rFonts w:hint="eastAsia" w:ascii="仿宋_GB2312" w:hAnsi="仿宋_GB2312" w:eastAsia="仿宋_GB2312" w:cs="仿宋_GB2312"/>
          <w:b/>
          <w:color w:val="auto"/>
          <w:spacing w:val="-3"/>
          <w:sz w:val="32"/>
          <w:szCs w:val="32"/>
        </w:rPr>
        <w:t>3</w:t>
      </w:r>
      <w:r>
        <w:rPr>
          <w:rFonts w:ascii="仿宋_GB2312" w:hAnsi="仿宋_GB2312" w:eastAsia="仿宋_GB2312" w:cs="仿宋_GB2312"/>
          <w:b/>
          <w:color w:val="auto"/>
          <w:spacing w:val="-3"/>
          <w:sz w:val="32"/>
          <w:szCs w:val="32"/>
        </w:rPr>
        <w:t>.</w:t>
      </w:r>
      <w:r>
        <w:rPr>
          <w:rFonts w:hint="eastAsia" w:ascii="仿宋_GB2312" w:hAnsi="仿宋_GB2312" w:eastAsia="仿宋_GB2312" w:cs="仿宋_GB2312"/>
          <w:b/>
          <w:color w:val="auto"/>
          <w:spacing w:val="-3"/>
          <w:sz w:val="32"/>
          <w:szCs w:val="32"/>
        </w:rPr>
        <w:t xml:space="preserve">响应措施 </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区减灾委副主任组织协调区级层面自然灾害救助工作，指导支持受灾地区开展自然灾害救助工作。区减灾委及其成员单位视情采取以下措施：</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（1）区减灾办分析受灾辖区形势，视情组织协调有关部门和单位，研究落实对受灾辖区的救灾救助支持和措施。</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（2）根据自然灾害救助工作需要，成立区级灾害救助现场工作组，具体负责受灾人员基本生活救助和善后处置工作。</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（3）派出由区减灾办负责同志带队、有关部门参加的联合工作组赴受灾地区慰问受灾人员，核查灾情，协助指导受灾地区开展救灾工作。</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（4）区减灾办及时掌握并按照有关规定统一发布灾情和救灾工作动态信息。</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（5）区应急管理局会同区财政局根据地方申请和有关单位对灾情的核定情况，及时下拨区级自然灾害生活补助资金。紧急调拨区级生活类救灾物资，指导、监督受灾地区救灾应急措施落实和救灾款物发放。</w:t>
      </w:r>
    </w:p>
    <w:p>
      <w:pPr>
        <w:kinsoku/>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（6）区</w:t>
      </w:r>
      <w:r>
        <w:rPr>
          <w:rFonts w:hint="eastAsia" w:ascii="仿宋_GB2312" w:hAnsi="仿宋_GB2312" w:eastAsia="仿宋_GB2312" w:cs="仿宋_GB2312"/>
          <w:color w:val="auto"/>
          <w:spacing w:val="-3"/>
          <w:sz w:val="32"/>
          <w:szCs w:val="32"/>
          <w:lang w:val="en-US" w:eastAsia="zh-CN"/>
        </w:rPr>
        <w:t>卫健委</w:t>
      </w:r>
      <w:r>
        <w:rPr>
          <w:rFonts w:hint="eastAsia" w:ascii="仿宋_GB2312" w:hAnsi="仿宋_GB2312" w:eastAsia="仿宋_GB2312" w:cs="仿宋_GB2312"/>
          <w:color w:val="auto"/>
          <w:spacing w:val="-3"/>
          <w:sz w:val="32"/>
          <w:szCs w:val="32"/>
        </w:rPr>
        <w:t>根据需要，及时派出医疗卫生队伍赴灾区协助开展医疗救治、疾病预防控制和心理援助等卫生应急工作。</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（7）区应急管理局会同区民政局、区团委指导社会组织、志愿者等社会力量参与灾害救助工作。</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（8）灾情稳定后，区应急管理局指导受灾地区评估、核定自然灾害损失情况。</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 xml:space="preserve">（9）区减灾委其他成员单位按照职责分工，做好有关工作。 </w:t>
      </w:r>
    </w:p>
    <w:p>
      <w:pPr>
        <w:pStyle w:val="5"/>
        <w:spacing w:line="360" w:lineRule="auto"/>
        <w:ind w:firstLine="643"/>
        <w:rPr>
          <w:rFonts w:ascii="宋体" w:hAnsi="宋体" w:eastAsia="宋体" w:cs="仿宋_GB2312"/>
          <w:b/>
          <w:color w:val="auto"/>
        </w:rPr>
      </w:pPr>
      <w:bookmarkStart w:id="22" w:name="_Toc31305"/>
      <w:r>
        <w:rPr>
          <w:rFonts w:hint="eastAsia" w:ascii="宋体" w:hAnsi="宋体" w:eastAsia="宋体" w:cs="仿宋_GB2312"/>
          <w:b/>
          <w:color w:val="auto"/>
        </w:rPr>
        <w:t>5.2.3 Ⅱ级响应</w:t>
      </w:r>
      <w:bookmarkEnd w:id="22"/>
    </w:p>
    <w:p>
      <w:pPr>
        <w:spacing w:line="360" w:lineRule="auto"/>
        <w:ind w:firstLine="630" w:firstLineChars="200"/>
        <w:rPr>
          <w:rFonts w:ascii="仿宋_GB2312" w:hAnsi="仿宋_GB2312" w:eastAsia="仿宋_GB2312" w:cs="仿宋_GB2312"/>
          <w:b/>
          <w:color w:val="auto"/>
          <w:spacing w:val="-3"/>
          <w:sz w:val="32"/>
          <w:szCs w:val="32"/>
        </w:rPr>
      </w:pPr>
      <w:r>
        <w:rPr>
          <w:rFonts w:hint="eastAsia" w:ascii="仿宋_GB2312" w:hAnsi="仿宋_GB2312" w:eastAsia="仿宋_GB2312" w:cs="仿宋_GB2312"/>
          <w:b/>
          <w:color w:val="auto"/>
          <w:spacing w:val="-3"/>
          <w:sz w:val="32"/>
          <w:szCs w:val="32"/>
        </w:rPr>
        <w:t>1</w:t>
      </w:r>
      <w:r>
        <w:rPr>
          <w:rFonts w:ascii="仿宋_GB2312" w:hAnsi="仿宋_GB2312" w:eastAsia="仿宋_GB2312" w:cs="仿宋_GB2312"/>
          <w:b/>
          <w:color w:val="auto"/>
          <w:spacing w:val="-3"/>
          <w:sz w:val="32"/>
          <w:szCs w:val="32"/>
        </w:rPr>
        <w:t>.</w:t>
      </w:r>
      <w:r>
        <w:rPr>
          <w:rFonts w:hint="eastAsia" w:ascii="仿宋_GB2312" w:hAnsi="仿宋_GB2312" w:eastAsia="仿宋_GB2312" w:cs="仿宋_GB2312"/>
          <w:b/>
          <w:color w:val="auto"/>
          <w:spacing w:val="-3"/>
          <w:sz w:val="32"/>
          <w:szCs w:val="32"/>
        </w:rPr>
        <w:t xml:space="preserve">启动条件 </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一次灾害过程出现下列情况之一的，启动Ⅱ级响应：</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（1）死亡（含失踪）</w:t>
      </w:r>
      <w:r>
        <w:rPr>
          <w:rFonts w:ascii="仿宋_GB2312" w:hAnsi="仿宋_GB2312" w:eastAsia="仿宋_GB2312" w:cs="仿宋_GB2312"/>
          <w:color w:val="auto"/>
          <w:spacing w:val="-3"/>
          <w:sz w:val="32"/>
          <w:szCs w:val="32"/>
        </w:rPr>
        <w:t>2</w:t>
      </w:r>
      <w:r>
        <w:rPr>
          <w:rFonts w:hint="eastAsia" w:ascii="仿宋_GB2312" w:hAnsi="仿宋_GB2312" w:eastAsia="仿宋_GB2312" w:cs="仿宋_GB2312"/>
          <w:color w:val="auto"/>
          <w:spacing w:val="-3"/>
          <w:sz w:val="32"/>
          <w:szCs w:val="32"/>
        </w:rPr>
        <w:t>0人以上、</w:t>
      </w:r>
      <w:r>
        <w:rPr>
          <w:rFonts w:ascii="仿宋_GB2312" w:hAnsi="仿宋_GB2312" w:eastAsia="仿宋_GB2312" w:cs="仿宋_GB2312"/>
          <w:color w:val="auto"/>
          <w:spacing w:val="-3"/>
          <w:sz w:val="32"/>
          <w:szCs w:val="32"/>
        </w:rPr>
        <w:t>5</w:t>
      </w:r>
      <w:r>
        <w:rPr>
          <w:rFonts w:hint="eastAsia" w:ascii="仿宋_GB2312" w:hAnsi="仿宋_GB2312" w:eastAsia="仿宋_GB2312" w:cs="仿宋_GB2312"/>
          <w:color w:val="auto"/>
          <w:spacing w:val="-3"/>
          <w:sz w:val="32"/>
          <w:szCs w:val="32"/>
        </w:rPr>
        <w:t>0人以下；</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（2）紧急转移安置（含临时转移安置）或需紧急生活救助</w:t>
      </w:r>
      <w:r>
        <w:rPr>
          <w:rFonts w:ascii="仿宋_GB2312" w:hAnsi="仿宋_GB2312" w:eastAsia="仿宋_GB2312" w:cs="仿宋_GB2312"/>
          <w:color w:val="auto"/>
          <w:spacing w:val="-3"/>
          <w:sz w:val="32"/>
          <w:szCs w:val="32"/>
        </w:rPr>
        <w:t>3</w:t>
      </w:r>
      <w:r>
        <w:rPr>
          <w:rFonts w:hint="eastAsia" w:ascii="仿宋_GB2312" w:hAnsi="仿宋_GB2312" w:eastAsia="仿宋_GB2312" w:cs="仿宋_GB2312"/>
          <w:color w:val="auto"/>
          <w:spacing w:val="-3"/>
          <w:sz w:val="32"/>
          <w:szCs w:val="32"/>
        </w:rPr>
        <w:t>万人以上、10万人以下；</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（3）倒塌和严重损坏房屋3000间以上或1000户以上、</w:t>
      </w:r>
      <w:r>
        <w:rPr>
          <w:rFonts w:ascii="仿宋_GB2312" w:hAnsi="仿宋_GB2312" w:eastAsia="仿宋_GB2312" w:cs="仿宋_GB2312"/>
          <w:color w:val="auto"/>
          <w:spacing w:val="-3"/>
          <w:sz w:val="32"/>
          <w:szCs w:val="32"/>
        </w:rPr>
        <w:t>10</w:t>
      </w:r>
      <w:r>
        <w:rPr>
          <w:rFonts w:hint="eastAsia" w:ascii="仿宋_GB2312" w:hAnsi="仿宋_GB2312" w:eastAsia="仿宋_GB2312" w:cs="仿宋_GB2312"/>
          <w:color w:val="auto"/>
          <w:spacing w:val="-3"/>
          <w:sz w:val="32"/>
          <w:szCs w:val="32"/>
        </w:rPr>
        <w:t>000间以下或</w:t>
      </w:r>
      <w:r>
        <w:rPr>
          <w:rFonts w:ascii="仿宋_GB2312" w:hAnsi="仿宋_GB2312" w:eastAsia="仿宋_GB2312" w:cs="仿宋_GB2312"/>
          <w:color w:val="auto"/>
          <w:spacing w:val="-3"/>
          <w:sz w:val="32"/>
          <w:szCs w:val="32"/>
        </w:rPr>
        <w:t>30</w:t>
      </w:r>
      <w:r>
        <w:rPr>
          <w:rFonts w:hint="eastAsia" w:ascii="仿宋_GB2312" w:hAnsi="仿宋_GB2312" w:eastAsia="仿宋_GB2312" w:cs="仿宋_GB2312"/>
          <w:color w:val="auto"/>
          <w:spacing w:val="-3"/>
          <w:sz w:val="32"/>
          <w:szCs w:val="32"/>
        </w:rPr>
        <w:t>00户以下；</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（4）干旱灾害造成缺粮或缺水等生活困难，需政府救助人以上数占全市农业人口</w:t>
      </w:r>
      <w:r>
        <w:rPr>
          <w:rFonts w:ascii="仿宋_GB2312" w:hAnsi="仿宋_GB2312" w:eastAsia="仿宋_GB2312" w:cs="仿宋_GB2312"/>
          <w:color w:val="auto"/>
          <w:spacing w:val="-3"/>
          <w:sz w:val="32"/>
          <w:szCs w:val="32"/>
        </w:rPr>
        <w:t>20%</w:t>
      </w:r>
      <w:r>
        <w:rPr>
          <w:rFonts w:hint="eastAsia" w:ascii="仿宋_GB2312" w:hAnsi="仿宋_GB2312" w:eastAsia="仿宋_GB2312" w:cs="仿宋_GB2312"/>
          <w:color w:val="auto"/>
          <w:spacing w:val="-3"/>
          <w:sz w:val="32"/>
          <w:szCs w:val="32"/>
        </w:rPr>
        <w:t>以上，</w:t>
      </w:r>
      <w:r>
        <w:rPr>
          <w:rFonts w:ascii="仿宋_GB2312" w:hAnsi="仿宋_GB2312" w:eastAsia="仿宋_GB2312" w:cs="仿宋_GB2312"/>
          <w:color w:val="auto"/>
          <w:spacing w:val="-3"/>
          <w:sz w:val="32"/>
          <w:szCs w:val="32"/>
        </w:rPr>
        <w:t>25%</w:t>
      </w:r>
      <w:r>
        <w:rPr>
          <w:rFonts w:hint="eastAsia" w:ascii="仿宋_GB2312" w:hAnsi="仿宋_GB2312" w:eastAsia="仿宋_GB2312" w:cs="仿宋_GB2312"/>
          <w:color w:val="auto"/>
          <w:spacing w:val="-3"/>
          <w:sz w:val="32"/>
          <w:szCs w:val="32"/>
        </w:rPr>
        <w:t>以下</w:t>
      </w:r>
      <w:r>
        <w:rPr>
          <w:rFonts w:ascii="仿宋_GB2312" w:hAnsi="仿宋_GB2312" w:eastAsia="仿宋_GB2312" w:cs="仿宋_GB2312"/>
          <w:color w:val="auto"/>
          <w:spacing w:val="-3"/>
          <w:sz w:val="32"/>
          <w:szCs w:val="32"/>
        </w:rPr>
        <w:t>;</w:t>
      </w:r>
      <w:r>
        <w:rPr>
          <w:rFonts w:hint="eastAsia" w:ascii="仿宋_GB2312" w:hAnsi="仿宋_GB2312" w:eastAsia="仿宋_GB2312" w:cs="仿宋_GB2312"/>
          <w:color w:val="auto"/>
          <w:spacing w:val="-3"/>
          <w:sz w:val="32"/>
          <w:szCs w:val="32"/>
        </w:rPr>
        <w:t>或</w:t>
      </w:r>
      <w:r>
        <w:rPr>
          <w:rFonts w:ascii="仿宋_GB2312" w:hAnsi="仿宋_GB2312" w:eastAsia="仿宋_GB2312" w:cs="仿宋_GB2312"/>
          <w:color w:val="auto"/>
          <w:spacing w:val="-3"/>
          <w:sz w:val="32"/>
          <w:szCs w:val="32"/>
        </w:rPr>
        <w:t>6</w:t>
      </w:r>
      <w:r>
        <w:rPr>
          <w:rFonts w:hint="eastAsia" w:ascii="仿宋_GB2312" w:hAnsi="仿宋_GB2312" w:eastAsia="仿宋_GB2312" w:cs="仿宋_GB2312"/>
          <w:color w:val="auto"/>
          <w:spacing w:val="-3"/>
          <w:sz w:val="32"/>
          <w:szCs w:val="32"/>
        </w:rPr>
        <w:t>万人以上，</w:t>
      </w:r>
      <w:r>
        <w:rPr>
          <w:rFonts w:ascii="仿宋_GB2312" w:hAnsi="仿宋_GB2312" w:eastAsia="仿宋_GB2312" w:cs="仿宋_GB2312"/>
          <w:color w:val="auto"/>
          <w:spacing w:val="-3"/>
          <w:sz w:val="32"/>
          <w:szCs w:val="32"/>
        </w:rPr>
        <w:t>7.5</w:t>
      </w:r>
      <w:r>
        <w:rPr>
          <w:rFonts w:hint="eastAsia" w:ascii="仿宋_GB2312" w:hAnsi="仿宋_GB2312" w:eastAsia="仿宋_GB2312" w:cs="仿宋_GB2312"/>
          <w:color w:val="auto"/>
          <w:spacing w:val="-3"/>
          <w:sz w:val="32"/>
          <w:szCs w:val="32"/>
        </w:rPr>
        <w:t xml:space="preserve">万人以下； </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 xml:space="preserve">（5）灾害造成群众生产生活资料遭受重大损失、社会关注度高。 </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w:t>
      </w:r>
      <w:r>
        <w:rPr>
          <w:rFonts w:ascii="仿宋_GB2312" w:hAnsi="仿宋_GB2312" w:eastAsia="仿宋_GB2312" w:cs="仿宋_GB2312"/>
          <w:color w:val="auto"/>
          <w:spacing w:val="-3"/>
          <w:sz w:val="32"/>
          <w:szCs w:val="32"/>
        </w:rPr>
        <w:t>6</w:t>
      </w:r>
      <w:r>
        <w:rPr>
          <w:rFonts w:hint="eastAsia" w:ascii="仿宋_GB2312" w:hAnsi="仿宋_GB2312" w:eastAsia="仿宋_GB2312" w:cs="仿宋_GB2312"/>
          <w:color w:val="auto"/>
          <w:spacing w:val="-3"/>
          <w:sz w:val="32"/>
          <w:szCs w:val="32"/>
        </w:rPr>
        <w:t>）区人民政府决定的其他事项。</w:t>
      </w:r>
    </w:p>
    <w:p>
      <w:pPr>
        <w:spacing w:line="360" w:lineRule="auto"/>
        <w:ind w:firstLine="630" w:firstLineChars="200"/>
        <w:rPr>
          <w:rFonts w:ascii="仿宋_GB2312" w:hAnsi="仿宋_GB2312" w:eastAsia="仿宋_GB2312" w:cs="仿宋_GB2312"/>
          <w:b/>
          <w:color w:val="auto"/>
          <w:spacing w:val="-3"/>
          <w:sz w:val="32"/>
          <w:szCs w:val="32"/>
        </w:rPr>
      </w:pPr>
      <w:r>
        <w:rPr>
          <w:rFonts w:hint="eastAsia" w:ascii="仿宋_GB2312" w:hAnsi="仿宋_GB2312" w:eastAsia="仿宋_GB2312" w:cs="仿宋_GB2312"/>
          <w:b/>
          <w:color w:val="auto"/>
          <w:spacing w:val="-3"/>
          <w:sz w:val="32"/>
          <w:szCs w:val="32"/>
        </w:rPr>
        <w:t>2</w:t>
      </w:r>
      <w:r>
        <w:rPr>
          <w:rFonts w:ascii="仿宋_GB2312" w:hAnsi="仿宋_GB2312" w:eastAsia="仿宋_GB2312" w:cs="仿宋_GB2312"/>
          <w:b/>
          <w:color w:val="auto"/>
          <w:spacing w:val="-3"/>
          <w:sz w:val="32"/>
          <w:szCs w:val="32"/>
        </w:rPr>
        <w:t>.</w:t>
      </w:r>
      <w:r>
        <w:rPr>
          <w:rFonts w:hint="eastAsia" w:ascii="仿宋_GB2312" w:hAnsi="仿宋_GB2312" w:eastAsia="仿宋_GB2312" w:cs="仿宋_GB2312"/>
          <w:b/>
          <w:color w:val="auto"/>
          <w:spacing w:val="-3"/>
          <w:sz w:val="32"/>
          <w:szCs w:val="32"/>
        </w:rPr>
        <w:t xml:space="preserve">启动程序 </w:t>
      </w:r>
    </w:p>
    <w:p>
      <w:pPr>
        <w:kinsoku/>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 xml:space="preserve">灾害发生后，区减灾办经分析评估，认定灾情达到启动标准，向区减灾委提出启动Ⅱ级响应的建议，由区减灾委主任决定启动Ⅱ级响应。 </w:t>
      </w:r>
    </w:p>
    <w:p>
      <w:pPr>
        <w:spacing w:line="360" w:lineRule="auto"/>
        <w:ind w:firstLine="630" w:firstLineChars="200"/>
        <w:rPr>
          <w:rFonts w:ascii="仿宋_GB2312" w:hAnsi="仿宋_GB2312" w:eastAsia="仿宋_GB2312" w:cs="仿宋_GB2312"/>
          <w:b/>
          <w:color w:val="auto"/>
          <w:spacing w:val="-3"/>
          <w:sz w:val="32"/>
          <w:szCs w:val="32"/>
        </w:rPr>
      </w:pPr>
      <w:r>
        <w:rPr>
          <w:rFonts w:hint="eastAsia" w:ascii="仿宋_GB2312" w:hAnsi="仿宋_GB2312" w:eastAsia="仿宋_GB2312" w:cs="仿宋_GB2312"/>
          <w:b/>
          <w:color w:val="auto"/>
          <w:spacing w:val="-3"/>
          <w:sz w:val="32"/>
          <w:szCs w:val="32"/>
        </w:rPr>
        <w:t>3</w:t>
      </w:r>
      <w:r>
        <w:rPr>
          <w:rFonts w:ascii="仿宋_GB2312" w:hAnsi="仿宋_GB2312" w:eastAsia="仿宋_GB2312" w:cs="仿宋_GB2312"/>
          <w:b/>
          <w:color w:val="auto"/>
          <w:spacing w:val="-3"/>
          <w:sz w:val="32"/>
          <w:szCs w:val="32"/>
        </w:rPr>
        <w:t>.</w:t>
      </w:r>
      <w:r>
        <w:rPr>
          <w:rFonts w:hint="eastAsia" w:ascii="仿宋_GB2312" w:hAnsi="仿宋_GB2312" w:eastAsia="仿宋_GB2312" w:cs="仿宋_GB2312"/>
          <w:b/>
          <w:color w:val="auto"/>
          <w:spacing w:val="-3"/>
          <w:sz w:val="32"/>
          <w:szCs w:val="32"/>
        </w:rPr>
        <w:t xml:space="preserve">响应措施 </w:t>
      </w:r>
    </w:p>
    <w:p>
      <w:pPr>
        <w:widowControl w:val="0"/>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区减灾委主任组织协调区级层面自然灾害救助工作，指导支持受灾地区开展自然灾害救助工作。区减灾委及其成员单位视情采取以下措施：</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（1）区减灾委主任（或副主任）主持召开会商会，区减灾委成员单位、专家组及有关区政府相关负责同志参加，分析受灾地区形势，研究落实对受灾地区的救灾支持措施。</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（2）区减灾委主任根据灾情发展，率有关部门或派出负责同志带队的先期工作组赴受灾地区慰问受灾人员，核查灾情，指导地方开展救灾工作。</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 xml:space="preserve">（3）区减灾办及时掌握灾情和救灾工作动态信息，组织灾情会商，按照有关规定统一发布灾情，及时发布受灾地区需求。区减灾委有关成员单位做好灾情、受灾地区需求及救灾工作动态等信息共享，每日向区减灾办通报有关情况。必要时，区减灾委专家组组织专家进行实时灾情、灾情发展趋势以及受灾地区需求评估。 </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4）区应急管理局会同区财政局根据地方申请和有关单位对灾情的核定情况，及时下拨区级自然灾害生活补助资金。区应急管理局负责紧急调拨区级生活类救灾物资，指导、监督受灾地区救灾应急措施落实和救灾款物发放。交通运输、铁路、民航等部门和单位协调指导开展救灾物资、人员运输工作。</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（5）区</w:t>
      </w:r>
      <w:r>
        <w:rPr>
          <w:rFonts w:hint="eastAsia" w:ascii="仿宋_GB2312" w:hAnsi="仿宋_GB2312" w:eastAsia="仿宋_GB2312" w:cs="仿宋_GB2312"/>
          <w:color w:val="auto"/>
          <w:spacing w:val="-3"/>
          <w:sz w:val="32"/>
          <w:szCs w:val="32"/>
          <w:lang w:val="en-US" w:eastAsia="zh-CN"/>
        </w:rPr>
        <w:t>卫健委</w:t>
      </w:r>
      <w:r>
        <w:rPr>
          <w:rFonts w:hint="eastAsia" w:ascii="仿宋_GB2312" w:hAnsi="仿宋_GB2312" w:eastAsia="仿宋_GB2312" w:cs="仿宋_GB2312"/>
          <w:color w:val="auto"/>
          <w:spacing w:val="-3"/>
          <w:sz w:val="32"/>
          <w:szCs w:val="32"/>
        </w:rPr>
        <w:t>根据需要，及时派出医疗卫生队伍赴灾区协助开展医疗救治、疾病预防控制和心理援助等卫生应急工作。</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w:t>
      </w:r>
      <w:r>
        <w:rPr>
          <w:rFonts w:ascii="仿宋_GB2312" w:hAnsi="仿宋_GB2312" w:eastAsia="仿宋_GB2312" w:cs="仿宋_GB2312"/>
          <w:color w:val="auto"/>
          <w:spacing w:val="-3"/>
          <w:sz w:val="32"/>
          <w:szCs w:val="32"/>
        </w:rPr>
        <w:t>6</w:t>
      </w:r>
      <w:r>
        <w:rPr>
          <w:rFonts w:hint="eastAsia" w:ascii="仿宋_GB2312" w:hAnsi="仿宋_GB2312" w:eastAsia="仿宋_GB2312" w:cs="仿宋_GB2312"/>
          <w:color w:val="auto"/>
          <w:spacing w:val="-3"/>
          <w:sz w:val="32"/>
          <w:szCs w:val="32"/>
        </w:rPr>
        <w:t>）区委宣传部指导做好新闻宣传和舆论引导等工作。</w:t>
      </w:r>
    </w:p>
    <w:p>
      <w:pPr>
        <w:spacing w:line="360" w:lineRule="auto"/>
        <w:ind w:firstLine="628" w:firstLineChars="200"/>
        <w:rPr>
          <w:rFonts w:hint="eastAsia"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w:t>
      </w:r>
      <w:r>
        <w:rPr>
          <w:rFonts w:ascii="仿宋_GB2312" w:hAnsi="仿宋_GB2312" w:eastAsia="仿宋_GB2312" w:cs="仿宋_GB2312"/>
          <w:color w:val="auto"/>
          <w:spacing w:val="-3"/>
          <w:sz w:val="32"/>
          <w:szCs w:val="32"/>
        </w:rPr>
        <w:t>7</w:t>
      </w:r>
      <w:r>
        <w:rPr>
          <w:rFonts w:hint="eastAsia" w:ascii="仿宋_GB2312" w:hAnsi="仿宋_GB2312" w:eastAsia="仿宋_GB2312" w:cs="仿宋_GB2312"/>
          <w:color w:val="auto"/>
          <w:spacing w:val="-3"/>
          <w:sz w:val="32"/>
          <w:szCs w:val="32"/>
        </w:rPr>
        <w:t>）区应急管理局会同区民政局、区团委指导社会组织、志愿者等社会力量参与灾害救助工作。</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w:t>
      </w:r>
      <w:r>
        <w:rPr>
          <w:rFonts w:ascii="仿宋_GB2312" w:hAnsi="仿宋_GB2312" w:eastAsia="仿宋_GB2312" w:cs="仿宋_GB2312"/>
          <w:color w:val="auto"/>
          <w:spacing w:val="-3"/>
          <w:sz w:val="32"/>
          <w:szCs w:val="32"/>
        </w:rPr>
        <w:t>8</w:t>
      </w:r>
      <w:r>
        <w:rPr>
          <w:rFonts w:hint="eastAsia" w:ascii="仿宋_GB2312" w:hAnsi="仿宋_GB2312" w:eastAsia="仿宋_GB2312" w:cs="仿宋_GB2312"/>
          <w:color w:val="auto"/>
          <w:spacing w:val="-3"/>
          <w:sz w:val="32"/>
          <w:szCs w:val="32"/>
        </w:rPr>
        <w:t>）灾情稳定后，区应急管理局牵头开展灾害损失综合评估工作，及时将评估结果报送市减灾委。</w:t>
      </w:r>
    </w:p>
    <w:p>
      <w:pPr>
        <w:kinsoku/>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w:t>
      </w:r>
      <w:r>
        <w:rPr>
          <w:rFonts w:ascii="仿宋_GB2312" w:hAnsi="仿宋_GB2312" w:eastAsia="仿宋_GB2312" w:cs="仿宋_GB2312"/>
          <w:color w:val="auto"/>
          <w:spacing w:val="-3"/>
          <w:sz w:val="32"/>
          <w:szCs w:val="32"/>
        </w:rPr>
        <w:t>9</w:t>
      </w:r>
      <w:r>
        <w:rPr>
          <w:rFonts w:hint="eastAsia" w:ascii="仿宋_GB2312" w:hAnsi="仿宋_GB2312" w:eastAsia="仿宋_GB2312" w:cs="仿宋_GB2312"/>
          <w:color w:val="auto"/>
          <w:spacing w:val="-3"/>
          <w:sz w:val="32"/>
          <w:szCs w:val="32"/>
        </w:rPr>
        <w:t xml:space="preserve">）区减灾委其他成员单位按照职责分工，做好有关工作。 </w:t>
      </w:r>
    </w:p>
    <w:p>
      <w:pPr>
        <w:pStyle w:val="5"/>
        <w:spacing w:line="360" w:lineRule="auto"/>
        <w:ind w:firstLine="643"/>
        <w:rPr>
          <w:rFonts w:ascii="宋体" w:hAnsi="宋体" w:eastAsia="宋体" w:cs="仿宋_GB2312"/>
          <w:b/>
          <w:color w:val="auto"/>
        </w:rPr>
      </w:pPr>
      <w:bookmarkStart w:id="23" w:name="_Toc31448"/>
      <w:r>
        <w:rPr>
          <w:rFonts w:hint="eastAsia" w:ascii="宋体" w:hAnsi="宋体" w:eastAsia="宋体" w:cs="仿宋_GB2312"/>
          <w:b/>
          <w:color w:val="auto"/>
        </w:rPr>
        <w:t>5.2.4 Ⅰ级响应</w:t>
      </w:r>
      <w:bookmarkEnd w:id="23"/>
    </w:p>
    <w:p>
      <w:pPr>
        <w:spacing w:line="360" w:lineRule="auto"/>
        <w:ind w:firstLine="630" w:firstLineChars="200"/>
        <w:rPr>
          <w:rFonts w:ascii="仿宋_GB2312" w:hAnsi="仿宋_GB2312" w:eastAsia="仿宋_GB2312" w:cs="仿宋_GB2312"/>
          <w:b/>
          <w:color w:val="auto"/>
          <w:spacing w:val="-3"/>
          <w:sz w:val="32"/>
          <w:szCs w:val="32"/>
        </w:rPr>
      </w:pPr>
      <w:r>
        <w:rPr>
          <w:rFonts w:hint="eastAsia" w:ascii="仿宋_GB2312" w:hAnsi="仿宋_GB2312" w:eastAsia="仿宋_GB2312" w:cs="仿宋_GB2312"/>
          <w:b/>
          <w:color w:val="auto"/>
          <w:spacing w:val="-3"/>
          <w:sz w:val="32"/>
          <w:szCs w:val="32"/>
        </w:rPr>
        <w:t>1</w:t>
      </w:r>
      <w:r>
        <w:rPr>
          <w:rFonts w:ascii="仿宋_GB2312" w:hAnsi="仿宋_GB2312" w:eastAsia="仿宋_GB2312" w:cs="仿宋_GB2312"/>
          <w:b/>
          <w:color w:val="auto"/>
          <w:spacing w:val="-3"/>
          <w:sz w:val="32"/>
          <w:szCs w:val="32"/>
        </w:rPr>
        <w:t>.</w:t>
      </w:r>
      <w:r>
        <w:rPr>
          <w:rFonts w:hint="eastAsia" w:ascii="仿宋_GB2312" w:hAnsi="仿宋_GB2312" w:eastAsia="仿宋_GB2312" w:cs="仿宋_GB2312"/>
          <w:b/>
          <w:color w:val="auto"/>
          <w:spacing w:val="-3"/>
          <w:sz w:val="32"/>
          <w:szCs w:val="32"/>
        </w:rPr>
        <w:t xml:space="preserve">启动条件 </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一次灾害过程出现下列情况之一的，启动Ⅰ级响应：</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（1）死亡（含失踪）</w:t>
      </w:r>
      <w:r>
        <w:rPr>
          <w:rFonts w:ascii="仿宋_GB2312" w:hAnsi="仿宋_GB2312" w:eastAsia="仿宋_GB2312" w:cs="仿宋_GB2312"/>
          <w:color w:val="auto"/>
          <w:spacing w:val="-3"/>
          <w:sz w:val="32"/>
          <w:szCs w:val="32"/>
        </w:rPr>
        <w:t>5</w:t>
      </w:r>
      <w:r>
        <w:rPr>
          <w:rFonts w:hint="eastAsia" w:ascii="仿宋_GB2312" w:hAnsi="仿宋_GB2312" w:eastAsia="仿宋_GB2312" w:cs="仿宋_GB2312"/>
          <w:color w:val="auto"/>
          <w:spacing w:val="-3"/>
          <w:sz w:val="32"/>
          <w:szCs w:val="32"/>
        </w:rPr>
        <w:t>0人以上；</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（2）紧急转移安置（含临时转移安置）或需紧急生活救助10万人以上；</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（3）倒塌和严重损坏房屋</w:t>
      </w:r>
      <w:r>
        <w:rPr>
          <w:rFonts w:ascii="仿宋_GB2312" w:hAnsi="仿宋_GB2312" w:eastAsia="仿宋_GB2312" w:cs="仿宋_GB2312"/>
          <w:color w:val="auto"/>
          <w:spacing w:val="-3"/>
          <w:sz w:val="32"/>
          <w:szCs w:val="32"/>
        </w:rPr>
        <w:t>10</w:t>
      </w:r>
      <w:r>
        <w:rPr>
          <w:rFonts w:hint="eastAsia" w:ascii="仿宋_GB2312" w:hAnsi="仿宋_GB2312" w:eastAsia="仿宋_GB2312" w:cs="仿宋_GB2312"/>
          <w:color w:val="auto"/>
          <w:spacing w:val="-3"/>
          <w:sz w:val="32"/>
          <w:szCs w:val="32"/>
        </w:rPr>
        <w:t>000间或</w:t>
      </w:r>
      <w:r>
        <w:rPr>
          <w:rFonts w:ascii="仿宋_GB2312" w:hAnsi="仿宋_GB2312" w:eastAsia="仿宋_GB2312" w:cs="仿宋_GB2312"/>
          <w:color w:val="auto"/>
          <w:spacing w:val="-3"/>
          <w:sz w:val="32"/>
          <w:szCs w:val="32"/>
        </w:rPr>
        <w:t>30</w:t>
      </w:r>
      <w:r>
        <w:rPr>
          <w:rFonts w:hint="eastAsia" w:ascii="仿宋_GB2312" w:hAnsi="仿宋_GB2312" w:eastAsia="仿宋_GB2312" w:cs="仿宋_GB2312"/>
          <w:color w:val="auto"/>
          <w:spacing w:val="-3"/>
          <w:sz w:val="32"/>
          <w:szCs w:val="32"/>
        </w:rPr>
        <w:t>00户及以上；</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（4）干旱灾害造成缺粮或缺水等生活困难，需政府救助人数占全市农业人口</w:t>
      </w:r>
      <w:r>
        <w:rPr>
          <w:rFonts w:ascii="仿宋_GB2312" w:hAnsi="仿宋_GB2312" w:eastAsia="仿宋_GB2312" w:cs="仿宋_GB2312"/>
          <w:color w:val="auto"/>
          <w:spacing w:val="-3"/>
          <w:sz w:val="32"/>
          <w:szCs w:val="32"/>
        </w:rPr>
        <w:t>25%</w:t>
      </w:r>
      <w:r>
        <w:rPr>
          <w:rFonts w:hint="eastAsia" w:ascii="仿宋_GB2312" w:hAnsi="仿宋_GB2312" w:eastAsia="仿宋_GB2312" w:cs="仿宋_GB2312"/>
          <w:color w:val="auto"/>
          <w:spacing w:val="-3"/>
          <w:sz w:val="32"/>
          <w:szCs w:val="32"/>
        </w:rPr>
        <w:t>以上</w:t>
      </w:r>
      <w:r>
        <w:rPr>
          <w:rFonts w:ascii="仿宋_GB2312" w:hAnsi="仿宋_GB2312" w:eastAsia="仿宋_GB2312" w:cs="仿宋_GB2312"/>
          <w:color w:val="auto"/>
          <w:spacing w:val="-3"/>
          <w:sz w:val="32"/>
          <w:szCs w:val="32"/>
        </w:rPr>
        <w:t>;</w:t>
      </w:r>
      <w:r>
        <w:rPr>
          <w:rFonts w:hint="eastAsia" w:ascii="仿宋_GB2312" w:hAnsi="仿宋_GB2312" w:eastAsia="仿宋_GB2312" w:cs="仿宋_GB2312"/>
          <w:color w:val="auto"/>
          <w:spacing w:val="-3"/>
          <w:sz w:val="32"/>
          <w:szCs w:val="32"/>
        </w:rPr>
        <w:t>或</w:t>
      </w:r>
      <w:r>
        <w:rPr>
          <w:rFonts w:ascii="仿宋_GB2312" w:hAnsi="仿宋_GB2312" w:eastAsia="仿宋_GB2312" w:cs="仿宋_GB2312"/>
          <w:color w:val="auto"/>
          <w:spacing w:val="-3"/>
          <w:sz w:val="32"/>
          <w:szCs w:val="32"/>
        </w:rPr>
        <w:t>7.5</w:t>
      </w:r>
      <w:r>
        <w:rPr>
          <w:rFonts w:hint="eastAsia" w:ascii="仿宋_GB2312" w:hAnsi="仿宋_GB2312" w:eastAsia="仿宋_GB2312" w:cs="仿宋_GB2312"/>
          <w:color w:val="auto"/>
          <w:spacing w:val="-3"/>
          <w:sz w:val="32"/>
          <w:szCs w:val="32"/>
        </w:rPr>
        <w:t>万人以上</w:t>
      </w:r>
      <w:r>
        <w:rPr>
          <w:rFonts w:ascii="仿宋_GB2312" w:hAnsi="仿宋_GB2312" w:eastAsia="仿宋_GB2312" w:cs="仿宋_GB2312"/>
          <w:color w:val="auto"/>
          <w:spacing w:val="-3"/>
          <w:sz w:val="32"/>
          <w:szCs w:val="32"/>
        </w:rPr>
        <w:t>;</w:t>
      </w:r>
      <w:r>
        <w:rPr>
          <w:rFonts w:hint="eastAsia" w:ascii="仿宋_GB2312" w:hAnsi="仿宋_GB2312" w:eastAsia="仿宋_GB2312" w:cs="仿宋_GB2312"/>
          <w:color w:val="auto"/>
          <w:spacing w:val="-3"/>
          <w:sz w:val="32"/>
          <w:szCs w:val="32"/>
        </w:rPr>
        <w:t xml:space="preserve"> </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 xml:space="preserve">（5）灾害造成群众生产生活资料遭受巨大损失、社会关注度特别高。 </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w:t>
      </w:r>
      <w:r>
        <w:rPr>
          <w:rFonts w:ascii="仿宋_GB2312" w:hAnsi="仿宋_GB2312" w:eastAsia="仿宋_GB2312" w:cs="仿宋_GB2312"/>
          <w:color w:val="auto"/>
          <w:spacing w:val="-3"/>
          <w:sz w:val="32"/>
          <w:szCs w:val="32"/>
        </w:rPr>
        <w:t>6</w:t>
      </w:r>
      <w:r>
        <w:rPr>
          <w:rFonts w:hint="eastAsia" w:ascii="仿宋_GB2312" w:hAnsi="仿宋_GB2312" w:eastAsia="仿宋_GB2312" w:cs="仿宋_GB2312"/>
          <w:color w:val="auto"/>
          <w:spacing w:val="-3"/>
          <w:sz w:val="32"/>
          <w:szCs w:val="32"/>
        </w:rPr>
        <w:t>）区人民政府决定的其他事项。</w:t>
      </w:r>
    </w:p>
    <w:p>
      <w:pPr>
        <w:spacing w:line="360" w:lineRule="auto"/>
        <w:ind w:firstLine="630" w:firstLineChars="200"/>
        <w:rPr>
          <w:rFonts w:ascii="仿宋_GB2312" w:hAnsi="仿宋_GB2312" w:eastAsia="仿宋_GB2312" w:cs="仿宋_GB2312"/>
          <w:b/>
          <w:color w:val="auto"/>
          <w:spacing w:val="-3"/>
          <w:sz w:val="32"/>
          <w:szCs w:val="32"/>
        </w:rPr>
      </w:pPr>
      <w:r>
        <w:rPr>
          <w:rFonts w:hint="eastAsia" w:ascii="仿宋_GB2312" w:hAnsi="仿宋_GB2312" w:eastAsia="仿宋_GB2312" w:cs="仿宋_GB2312"/>
          <w:b/>
          <w:color w:val="auto"/>
          <w:spacing w:val="-3"/>
          <w:sz w:val="32"/>
          <w:szCs w:val="32"/>
        </w:rPr>
        <w:t>2</w:t>
      </w:r>
      <w:r>
        <w:rPr>
          <w:rFonts w:ascii="仿宋_GB2312" w:hAnsi="仿宋_GB2312" w:eastAsia="仿宋_GB2312" w:cs="仿宋_GB2312"/>
          <w:b/>
          <w:color w:val="auto"/>
          <w:spacing w:val="-3"/>
          <w:sz w:val="32"/>
          <w:szCs w:val="32"/>
        </w:rPr>
        <w:t>.</w:t>
      </w:r>
      <w:r>
        <w:rPr>
          <w:rFonts w:hint="eastAsia" w:ascii="仿宋_GB2312" w:hAnsi="仿宋_GB2312" w:eastAsia="仿宋_GB2312" w:cs="仿宋_GB2312"/>
          <w:b/>
          <w:color w:val="auto"/>
          <w:spacing w:val="-3"/>
          <w:sz w:val="32"/>
          <w:szCs w:val="32"/>
        </w:rPr>
        <w:t xml:space="preserve">启动程序 </w:t>
      </w:r>
    </w:p>
    <w:p>
      <w:pPr>
        <w:kinsoku/>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 xml:space="preserve">灾害发生后，区减灾办经分析评估，认定灾情达到启动标准，向区减灾委提出启动Ⅰ级响应的建议，按照区委区政府决定，启动Ⅰ级应急响应。 </w:t>
      </w:r>
    </w:p>
    <w:p>
      <w:pPr>
        <w:spacing w:line="360" w:lineRule="auto"/>
        <w:ind w:firstLine="630" w:firstLineChars="200"/>
        <w:rPr>
          <w:rFonts w:ascii="仿宋_GB2312" w:hAnsi="仿宋_GB2312" w:eastAsia="仿宋_GB2312" w:cs="仿宋_GB2312"/>
          <w:b/>
          <w:color w:val="auto"/>
          <w:spacing w:val="-3"/>
          <w:sz w:val="32"/>
          <w:szCs w:val="32"/>
        </w:rPr>
      </w:pPr>
      <w:r>
        <w:rPr>
          <w:rFonts w:hint="eastAsia" w:ascii="仿宋_GB2312" w:hAnsi="仿宋_GB2312" w:eastAsia="仿宋_GB2312" w:cs="仿宋_GB2312"/>
          <w:b/>
          <w:color w:val="auto"/>
          <w:spacing w:val="-3"/>
          <w:sz w:val="32"/>
          <w:szCs w:val="32"/>
        </w:rPr>
        <w:t>3</w:t>
      </w:r>
      <w:r>
        <w:rPr>
          <w:rFonts w:ascii="仿宋_GB2312" w:hAnsi="仿宋_GB2312" w:eastAsia="仿宋_GB2312" w:cs="仿宋_GB2312"/>
          <w:b/>
          <w:color w:val="auto"/>
          <w:spacing w:val="-3"/>
          <w:sz w:val="32"/>
          <w:szCs w:val="32"/>
        </w:rPr>
        <w:t>.</w:t>
      </w:r>
      <w:r>
        <w:rPr>
          <w:rFonts w:hint="eastAsia" w:ascii="仿宋_GB2312" w:hAnsi="仿宋_GB2312" w:eastAsia="仿宋_GB2312" w:cs="仿宋_GB2312"/>
          <w:b/>
          <w:color w:val="auto"/>
          <w:spacing w:val="-3"/>
          <w:sz w:val="32"/>
          <w:szCs w:val="32"/>
        </w:rPr>
        <w:t xml:space="preserve">响应措施 </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区减灾委主任统一组织、领导、协调区级层面自然灾害救助工作，指导支持受灾地区自然灾害救助工作。区减灾委及其成员单位视情采取以下措施：</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 xml:space="preserve">（1）区减灾委主任主持召开会商会，区减灾委各成员单位、专家组及区政府有关负责同志参加，对指导支持受灾地区减灾救灾重大事项作出决定，分析灾情形势，研究落实对受灾地区的救灾支持措施。 </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（2）区减灾委主任率有关单位赴受灾地区指导自然灾害救助工作，根据灾情发展和区委区政府批示指示，率有关部门或派出负责同志带队的先期工作组赴受灾地区指导自然灾害救助工作。</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3）区减灾办及时掌握灾情、救灾工作动态信息，组织灾情会商，按照有关规定统一发布灾情，及时发布受灾地区需求。区减灾委有关成员单位按照职责做好灾情、受灾地区需求及救灾工作动态等信息共享，每日向区减灾办报送有关情况。必要时，区减灾委专家组组织专家进行实时灾情、灾情发展趋势以及受灾地区需求评估。</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4）区应急管理局会同区财政局根据地方申请和有关单位对灾情的核定情况，及时下拨区级自然灾害生活补助资金。区应急管理局负责紧急调拨区级生活类救灾物资，指导、监督受灾地区救灾应急措施落实和救灾款物发放。交通运输、铁路、民航等部门和单位协调指导开展救灾物资、人员运输工作。</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（5）市</w:t>
      </w:r>
      <w:r>
        <w:rPr>
          <w:rFonts w:ascii="仿宋_GB2312" w:hAnsi="仿宋_GB2312" w:eastAsia="仿宋_GB2312" w:cs="仿宋_GB2312"/>
          <w:color w:val="auto"/>
          <w:spacing w:val="-3"/>
          <w:sz w:val="32"/>
          <w:szCs w:val="32"/>
        </w:rPr>
        <w:t>公安局海棠分局</w:t>
      </w:r>
      <w:r>
        <w:rPr>
          <w:rFonts w:hint="eastAsia" w:ascii="仿宋_GB2312" w:hAnsi="仿宋_GB2312" w:eastAsia="仿宋_GB2312" w:cs="仿宋_GB2312"/>
          <w:color w:val="auto"/>
          <w:spacing w:val="-3"/>
          <w:sz w:val="32"/>
          <w:szCs w:val="32"/>
        </w:rPr>
        <w:t>加强受灾地区社会治安和道路交通应急管理，协助组织受灾地区群众紧急转移。</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（6）区</w:t>
      </w:r>
      <w:r>
        <w:rPr>
          <w:rFonts w:ascii="仿宋_GB2312" w:hAnsi="仿宋_GB2312" w:eastAsia="仿宋_GB2312" w:cs="仿宋_GB2312"/>
          <w:color w:val="auto"/>
          <w:spacing w:val="-3"/>
          <w:sz w:val="32"/>
          <w:szCs w:val="32"/>
        </w:rPr>
        <w:t>人民武装部</w:t>
      </w:r>
      <w:r>
        <w:rPr>
          <w:rFonts w:hint="eastAsia" w:ascii="仿宋_GB2312" w:hAnsi="仿宋_GB2312" w:eastAsia="仿宋_GB2312" w:cs="仿宋_GB2312"/>
          <w:color w:val="auto"/>
          <w:spacing w:val="-3"/>
          <w:sz w:val="32"/>
          <w:szCs w:val="32"/>
        </w:rPr>
        <w:t>组织协调部队、武警部队和民兵预备役等单位参加救灾，必要时协助运送、发放救灾物资。</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（7）区</w:t>
      </w:r>
      <w:r>
        <w:rPr>
          <w:rFonts w:hint="eastAsia" w:ascii="仿宋_GB2312" w:hAnsi="仿宋_GB2312" w:eastAsia="仿宋_GB2312" w:cs="仿宋_GB2312"/>
          <w:color w:val="auto"/>
          <w:spacing w:val="-3"/>
          <w:sz w:val="32"/>
          <w:szCs w:val="32"/>
          <w:lang w:eastAsia="zh-CN"/>
        </w:rPr>
        <w:t>卫健委</w:t>
      </w:r>
      <w:r>
        <w:rPr>
          <w:rFonts w:hint="eastAsia" w:ascii="仿宋_GB2312" w:hAnsi="仿宋_GB2312" w:eastAsia="仿宋_GB2312" w:cs="仿宋_GB2312"/>
          <w:color w:val="auto"/>
          <w:spacing w:val="-3"/>
          <w:sz w:val="32"/>
          <w:szCs w:val="32"/>
        </w:rPr>
        <w:t>、市市场监督管理局海棠</w:t>
      </w:r>
      <w:r>
        <w:rPr>
          <w:rFonts w:ascii="仿宋_GB2312" w:hAnsi="仿宋_GB2312" w:eastAsia="仿宋_GB2312" w:cs="仿宋_GB2312"/>
          <w:color w:val="auto"/>
          <w:spacing w:val="-3"/>
          <w:sz w:val="32"/>
          <w:szCs w:val="32"/>
        </w:rPr>
        <w:t>分局</w:t>
      </w:r>
      <w:r>
        <w:rPr>
          <w:rFonts w:hint="eastAsia" w:ascii="仿宋_GB2312" w:hAnsi="仿宋_GB2312" w:eastAsia="仿宋_GB2312" w:cs="仿宋_GB2312"/>
          <w:color w:val="auto"/>
          <w:spacing w:val="-3"/>
          <w:sz w:val="32"/>
          <w:szCs w:val="32"/>
        </w:rPr>
        <w:t>等部门组织协调救灾装备、防护和消杀用品、医药等生产供应工作。</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（8）区住房和建设局指导灾后房屋建筑和市政基础设施工程的安全应急评估等工作。</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（9）区水务林业局指导受灾地区水利工程修复、水利行业供水和城市应急供水工作。</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（10）区卫</w:t>
      </w:r>
      <w:r>
        <w:rPr>
          <w:rFonts w:hint="eastAsia" w:ascii="仿宋_GB2312" w:hAnsi="仿宋_GB2312" w:eastAsia="仿宋_GB2312" w:cs="仿宋_GB2312"/>
          <w:color w:val="auto"/>
          <w:spacing w:val="-3"/>
          <w:sz w:val="32"/>
          <w:szCs w:val="32"/>
          <w:lang w:val="en-US" w:eastAsia="zh-CN"/>
        </w:rPr>
        <w:t>健委</w:t>
      </w:r>
      <w:r>
        <w:rPr>
          <w:rFonts w:hint="eastAsia" w:ascii="仿宋_GB2312" w:hAnsi="仿宋_GB2312" w:eastAsia="仿宋_GB2312" w:cs="仿宋_GB2312"/>
          <w:color w:val="auto"/>
          <w:spacing w:val="-3"/>
          <w:sz w:val="32"/>
          <w:szCs w:val="32"/>
        </w:rPr>
        <w:t>根据需要，及时派出医疗卫生队伍赴灾区协助开展医疗救治、疾病预防控制和心理援助等卫生应急工作。</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（1</w:t>
      </w:r>
      <w:r>
        <w:rPr>
          <w:rFonts w:ascii="仿宋_GB2312" w:hAnsi="仿宋_GB2312" w:eastAsia="仿宋_GB2312" w:cs="仿宋_GB2312"/>
          <w:color w:val="auto"/>
          <w:spacing w:val="-3"/>
          <w:sz w:val="32"/>
          <w:szCs w:val="32"/>
        </w:rPr>
        <w:t>1</w:t>
      </w:r>
      <w:r>
        <w:rPr>
          <w:rFonts w:hint="eastAsia" w:ascii="仿宋_GB2312" w:hAnsi="仿宋_GB2312" w:eastAsia="仿宋_GB2312" w:cs="仿宋_GB2312"/>
          <w:color w:val="auto"/>
          <w:spacing w:val="-3"/>
          <w:sz w:val="32"/>
          <w:szCs w:val="32"/>
        </w:rPr>
        <w:t>）市生态环境局海棠分局及时监测因灾害导致的环境污染或变化等情况。</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（1</w:t>
      </w:r>
      <w:r>
        <w:rPr>
          <w:rFonts w:ascii="仿宋_GB2312" w:hAnsi="仿宋_GB2312" w:eastAsia="仿宋_GB2312" w:cs="仿宋_GB2312"/>
          <w:color w:val="auto"/>
          <w:spacing w:val="-3"/>
          <w:sz w:val="32"/>
          <w:szCs w:val="32"/>
        </w:rPr>
        <w:t>2</w:t>
      </w:r>
      <w:r>
        <w:rPr>
          <w:rFonts w:hint="eastAsia" w:ascii="仿宋_GB2312" w:hAnsi="仿宋_GB2312" w:eastAsia="仿宋_GB2312" w:cs="仿宋_GB2312"/>
          <w:color w:val="auto"/>
          <w:spacing w:val="-3"/>
          <w:sz w:val="32"/>
          <w:szCs w:val="32"/>
        </w:rPr>
        <w:t>）区委宣传部组织做好新闻宣传和舆论引导等工作。</w:t>
      </w:r>
    </w:p>
    <w:p>
      <w:pPr>
        <w:kinsoku/>
        <w:spacing w:line="360" w:lineRule="auto"/>
        <w:ind w:firstLine="628" w:firstLineChars="200"/>
        <w:rPr>
          <w:rFonts w:hint="eastAsia"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（1</w:t>
      </w:r>
      <w:r>
        <w:rPr>
          <w:rFonts w:ascii="仿宋_GB2312" w:hAnsi="仿宋_GB2312" w:eastAsia="仿宋_GB2312" w:cs="仿宋_GB2312"/>
          <w:color w:val="auto"/>
          <w:spacing w:val="-3"/>
          <w:sz w:val="32"/>
          <w:szCs w:val="32"/>
        </w:rPr>
        <w:t>3</w:t>
      </w:r>
      <w:r>
        <w:rPr>
          <w:rFonts w:hint="eastAsia" w:ascii="仿宋_GB2312" w:hAnsi="仿宋_GB2312" w:eastAsia="仿宋_GB2312" w:cs="仿宋_GB2312"/>
          <w:color w:val="auto"/>
          <w:spacing w:val="-3"/>
          <w:sz w:val="32"/>
          <w:szCs w:val="32"/>
        </w:rPr>
        <w:t>）区应急管理局视情组织开展救灾捐赠活动，统一接收、管理、分配救灾捐赠款物；会同区民政局、</w:t>
      </w:r>
      <w:r>
        <w:rPr>
          <w:rFonts w:ascii="仿宋_GB2312" w:hAnsi="仿宋_GB2312" w:eastAsia="仿宋_GB2312" w:cs="仿宋_GB2312"/>
          <w:color w:val="auto"/>
          <w:spacing w:val="-3"/>
          <w:sz w:val="32"/>
          <w:szCs w:val="32"/>
        </w:rPr>
        <w:t>区团委</w:t>
      </w:r>
      <w:r>
        <w:rPr>
          <w:rFonts w:hint="eastAsia" w:ascii="仿宋_GB2312" w:hAnsi="仿宋_GB2312" w:eastAsia="仿宋_GB2312" w:cs="仿宋_GB2312"/>
          <w:color w:val="auto"/>
          <w:spacing w:val="-3"/>
          <w:sz w:val="32"/>
          <w:szCs w:val="32"/>
        </w:rPr>
        <w:t>指导社会组织、志愿者等社会力量参与灾害救助工作。</w:t>
      </w:r>
    </w:p>
    <w:p>
      <w:pPr>
        <w:kinsoku/>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（1</w:t>
      </w:r>
      <w:r>
        <w:rPr>
          <w:rFonts w:ascii="仿宋_GB2312" w:hAnsi="仿宋_GB2312" w:eastAsia="仿宋_GB2312" w:cs="仿宋_GB2312"/>
          <w:color w:val="auto"/>
          <w:spacing w:val="-3"/>
          <w:sz w:val="32"/>
          <w:szCs w:val="32"/>
        </w:rPr>
        <w:t>4</w:t>
      </w:r>
      <w:r>
        <w:rPr>
          <w:rFonts w:hint="eastAsia" w:ascii="仿宋_GB2312" w:hAnsi="仿宋_GB2312" w:eastAsia="仿宋_GB2312" w:cs="仿宋_GB2312"/>
          <w:color w:val="auto"/>
          <w:spacing w:val="-3"/>
          <w:sz w:val="32"/>
          <w:szCs w:val="32"/>
        </w:rPr>
        <w:t>）灾情稳定后，区应急管理局牵头开展灾害损失综合评</w:t>
      </w:r>
    </w:p>
    <w:p>
      <w:pPr>
        <w:kinsoku/>
        <w:spacing w:line="360" w:lineRule="auto"/>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估工作，经区政府同意后及时将评估结果报送市减灾委。区应急</w:t>
      </w:r>
    </w:p>
    <w:p>
      <w:pPr>
        <w:spacing w:line="360" w:lineRule="auto"/>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管理局组织核定并按有关规定和要求发布自然灾害损失情况。</w:t>
      </w:r>
    </w:p>
    <w:p>
      <w:pPr>
        <w:kinsoku/>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（1</w:t>
      </w:r>
      <w:r>
        <w:rPr>
          <w:rFonts w:ascii="仿宋_GB2312" w:hAnsi="仿宋_GB2312" w:eastAsia="仿宋_GB2312" w:cs="仿宋_GB2312"/>
          <w:color w:val="auto"/>
          <w:spacing w:val="-3"/>
          <w:sz w:val="32"/>
          <w:szCs w:val="32"/>
        </w:rPr>
        <w:t>5</w:t>
      </w:r>
      <w:r>
        <w:rPr>
          <w:rFonts w:hint="eastAsia" w:ascii="仿宋_GB2312" w:hAnsi="仿宋_GB2312" w:eastAsia="仿宋_GB2312" w:cs="仿宋_GB2312"/>
          <w:color w:val="auto"/>
          <w:spacing w:val="-3"/>
          <w:sz w:val="32"/>
          <w:szCs w:val="32"/>
        </w:rPr>
        <w:t xml:space="preserve">）区减灾委其他成员单位按照职责分工，做好有关工作。 </w:t>
      </w:r>
    </w:p>
    <w:p>
      <w:pPr>
        <w:pStyle w:val="4"/>
        <w:spacing w:line="360" w:lineRule="auto"/>
        <w:ind w:firstLine="643"/>
        <w:rPr>
          <w:rFonts w:asciiTheme="minorEastAsia" w:hAnsiTheme="minorEastAsia" w:eastAsiaTheme="minorEastAsia"/>
          <w:b/>
        </w:rPr>
      </w:pPr>
      <w:bookmarkStart w:id="24" w:name="_Toc27293"/>
      <w:r>
        <w:rPr>
          <w:rFonts w:hint="eastAsia" w:cs="楷体_GB2312" w:asciiTheme="minorEastAsia" w:hAnsiTheme="minorEastAsia" w:eastAsiaTheme="minorEastAsia"/>
          <w:b/>
        </w:rPr>
        <w:t>5.3 启动条件调整</w:t>
      </w:r>
      <w:bookmarkEnd w:id="24"/>
      <w:r>
        <w:rPr>
          <w:rFonts w:hint="eastAsia" w:asciiTheme="minorEastAsia" w:hAnsiTheme="minorEastAsia" w:eastAsiaTheme="minorEastAsia"/>
          <w:b/>
        </w:rPr>
        <w:t xml:space="preserve"> </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 xml:space="preserve">对发生在敏感地区、敏感时间和救助能力特别薄弱的地区，或灾害对受灾地区经济社会造成重大影响时，启动区级自然灾害救助应急响应的标准可酌情调整。 </w:t>
      </w:r>
    </w:p>
    <w:p>
      <w:pPr>
        <w:pStyle w:val="4"/>
        <w:spacing w:line="360" w:lineRule="auto"/>
        <w:ind w:firstLine="643"/>
        <w:rPr>
          <w:rFonts w:cs="楷体_GB2312" w:asciiTheme="minorEastAsia" w:hAnsiTheme="minorEastAsia" w:eastAsiaTheme="minorEastAsia"/>
          <w:b/>
        </w:rPr>
      </w:pPr>
      <w:bookmarkStart w:id="25" w:name="_Toc3173"/>
      <w:r>
        <w:rPr>
          <w:rFonts w:hint="eastAsia" w:cs="楷体_GB2312" w:asciiTheme="minorEastAsia" w:hAnsiTheme="minorEastAsia" w:eastAsiaTheme="minorEastAsia"/>
          <w:b/>
        </w:rPr>
        <w:t>5.4 响应终止</w:t>
      </w:r>
      <w:bookmarkEnd w:id="25"/>
      <w:r>
        <w:rPr>
          <w:rFonts w:hint="eastAsia" w:cs="楷体_GB2312" w:asciiTheme="minorEastAsia" w:hAnsiTheme="minorEastAsia" w:eastAsiaTheme="minorEastAsia"/>
          <w:b/>
        </w:rPr>
        <w:t xml:space="preserve"> </w:t>
      </w:r>
    </w:p>
    <w:p>
      <w:pPr>
        <w:widowControl w:val="0"/>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 xml:space="preserve">灾情基本稳定、救助应急工作结束，经评估短期内灾害影响不再扩大或已经明显减轻后，由区减灾办提出建议，按照启动响应的审批程序决定降低响应级别或终止响应。 </w:t>
      </w:r>
    </w:p>
    <w:p>
      <w:pPr>
        <w:pStyle w:val="3"/>
        <w:spacing w:line="360" w:lineRule="auto"/>
        <w:ind w:firstLine="720"/>
        <w:rPr>
          <w:rStyle w:val="56"/>
          <w:rFonts w:ascii="黑体" w:hAnsi="黑体" w:cs="黑体"/>
          <w:bCs/>
          <w:sz w:val="36"/>
          <w:szCs w:val="36"/>
        </w:rPr>
      </w:pPr>
      <w:bookmarkStart w:id="26" w:name="_Toc17267"/>
      <w:r>
        <w:rPr>
          <w:rStyle w:val="56"/>
          <w:rFonts w:hint="eastAsia" w:ascii="黑体" w:hAnsi="黑体" w:cs="黑体"/>
          <w:bCs/>
          <w:sz w:val="36"/>
          <w:szCs w:val="36"/>
        </w:rPr>
        <w:t>6 灾后救助与恢复重建</w:t>
      </w:r>
      <w:bookmarkEnd w:id="26"/>
    </w:p>
    <w:p>
      <w:pPr>
        <w:pStyle w:val="4"/>
        <w:spacing w:line="360" w:lineRule="auto"/>
        <w:ind w:firstLine="643"/>
        <w:rPr>
          <w:rFonts w:cs="楷体_GB2312" w:asciiTheme="minorEastAsia" w:hAnsiTheme="minorEastAsia" w:eastAsiaTheme="minorEastAsia"/>
          <w:b/>
        </w:rPr>
      </w:pPr>
      <w:bookmarkStart w:id="27" w:name="_Toc14852"/>
      <w:r>
        <w:rPr>
          <w:rFonts w:hint="eastAsia" w:cs="楷体_GB2312" w:asciiTheme="minorEastAsia" w:hAnsiTheme="minorEastAsia" w:eastAsiaTheme="minorEastAsia"/>
          <w:b/>
        </w:rPr>
        <w:t>6.1 过渡期生活救助</w:t>
      </w:r>
      <w:bookmarkEnd w:id="27"/>
      <w:r>
        <w:rPr>
          <w:rFonts w:hint="eastAsia" w:cs="楷体_GB2312" w:asciiTheme="minorEastAsia" w:hAnsiTheme="minorEastAsia" w:eastAsiaTheme="minorEastAsia"/>
          <w:b/>
        </w:rPr>
        <w:t xml:space="preserve"> </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（1）自然灾害发生后，区减灾办组织有关单位、专家及受灾地区应急管理部门评估过渡期生活救助需求情况。</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（2）区财政局及时拨付过渡期生活救助资金。区应急管理局指导受灾地做好过渡期生活救助的人员核定、资金发放及监管等工作。</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 xml:space="preserve">（3）区减灾办会同有关单位监督检查受灾地过渡期生活救助政策和措施落实，定期通报受灾地救助工作情况，在过渡期生活救助工作结束后，组织对救助情况进行评估。 </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（4）鼓励支持社会力量协助筹集救灾款物。根据灾情和救助工作需要，积极开展捐赠、心理援助等社会救助活动。</w:t>
      </w:r>
    </w:p>
    <w:p>
      <w:pPr>
        <w:pStyle w:val="4"/>
        <w:spacing w:line="360" w:lineRule="auto"/>
        <w:ind w:firstLine="643"/>
        <w:rPr>
          <w:rFonts w:cs="楷体_GB2312" w:asciiTheme="minorEastAsia" w:hAnsiTheme="minorEastAsia" w:eastAsiaTheme="minorEastAsia"/>
          <w:b/>
        </w:rPr>
      </w:pPr>
      <w:bookmarkStart w:id="28" w:name="_Toc28757"/>
      <w:r>
        <w:rPr>
          <w:rFonts w:hint="eastAsia" w:cs="楷体_GB2312" w:asciiTheme="minorEastAsia" w:hAnsiTheme="minorEastAsia" w:eastAsiaTheme="minorEastAsia"/>
          <w:b/>
        </w:rPr>
        <w:t>6.2 冬春救助</w:t>
      </w:r>
      <w:bookmarkEnd w:id="28"/>
      <w:r>
        <w:rPr>
          <w:rFonts w:hint="eastAsia" w:cs="楷体_GB2312" w:asciiTheme="minorEastAsia" w:hAnsiTheme="minorEastAsia" w:eastAsiaTheme="minorEastAsia"/>
          <w:b/>
        </w:rPr>
        <w:t xml:space="preserve"> </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自然灾害发生后的当年冬季、次年春季，为生活困难的受灾人员提供基本生活救助。</w:t>
      </w:r>
    </w:p>
    <w:p>
      <w:pPr>
        <w:kinsoku/>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（1）区应急管理部门会同有关职能部门在每年9月下旬启动冬春受灾群众生活困难情况调查评估，并核实有关情况。</w:t>
      </w:r>
    </w:p>
    <w:p>
      <w:pPr>
        <w:kinsoku/>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2）区应急管理部门会同有关职能部门在每年10月底前统计、评估受灾人员当年冬季、次年春季基本生活救助需求，核实救助对象，编制工作台账，制定救助工作方案，经区政府批准后组织实施，并报区应急管理局备案。</w:t>
      </w:r>
    </w:p>
    <w:p>
      <w:pPr>
        <w:kinsoku/>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（3）根据受灾地的申请，结合灾情评估情况，区应急管理局会同区财政局确定资金补助方案，及时下拨区级自然灾害生活补助资金，专项用于帮助解决受灾人员冬春期间吃饭、穿衣、取暖等基本生活困难。</w:t>
      </w:r>
    </w:p>
    <w:p>
      <w:pPr>
        <w:kinsoku/>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 xml:space="preserve">（4）区应急管理局会同区政府有关职能部门通过开展救灾捐赠、对口支援、政府采购等方式解决受灾人员的过冬衣被等问题，组织有关单位和专家评估全区冬春期间中期和终期救助工作绩效。 </w:t>
      </w:r>
    </w:p>
    <w:p>
      <w:pPr>
        <w:kinsoku/>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w:t>
      </w:r>
      <w:r>
        <w:rPr>
          <w:rFonts w:ascii="仿宋_GB2312" w:hAnsi="仿宋_GB2312" w:eastAsia="仿宋_GB2312" w:cs="仿宋_GB2312"/>
          <w:color w:val="auto"/>
          <w:spacing w:val="-3"/>
          <w:sz w:val="32"/>
          <w:szCs w:val="32"/>
        </w:rPr>
        <w:t>5</w:t>
      </w:r>
      <w:r>
        <w:rPr>
          <w:rFonts w:hint="eastAsia" w:ascii="仿宋_GB2312" w:hAnsi="仿宋_GB2312" w:eastAsia="仿宋_GB2312" w:cs="仿宋_GB2312"/>
          <w:color w:val="auto"/>
          <w:spacing w:val="-3"/>
          <w:sz w:val="32"/>
          <w:szCs w:val="32"/>
        </w:rPr>
        <w:t>）救灾款应定期向社会通报，接受公众和媒体监督，确保救灾资金及时发放到户。</w:t>
      </w:r>
    </w:p>
    <w:p>
      <w:pPr>
        <w:pStyle w:val="4"/>
        <w:spacing w:line="360" w:lineRule="auto"/>
        <w:ind w:firstLine="643"/>
        <w:rPr>
          <w:rFonts w:cs="楷体_GB2312" w:asciiTheme="minorEastAsia" w:hAnsiTheme="minorEastAsia" w:eastAsiaTheme="minorEastAsia"/>
          <w:b/>
        </w:rPr>
      </w:pPr>
      <w:bookmarkStart w:id="29" w:name="_Toc30662"/>
      <w:r>
        <w:rPr>
          <w:rFonts w:hint="eastAsia" w:cs="楷体_GB2312" w:asciiTheme="minorEastAsia" w:hAnsiTheme="minorEastAsia" w:eastAsiaTheme="minorEastAsia"/>
          <w:b/>
        </w:rPr>
        <w:t>6.3 倒损住房恢复重建</w:t>
      </w:r>
      <w:bookmarkEnd w:id="29"/>
      <w:r>
        <w:rPr>
          <w:rFonts w:hint="eastAsia" w:cs="楷体_GB2312" w:asciiTheme="minorEastAsia" w:hAnsiTheme="minorEastAsia" w:eastAsiaTheme="minorEastAsia"/>
          <w:b/>
        </w:rPr>
        <w:t xml:space="preserve"> </w:t>
      </w:r>
    </w:p>
    <w:p>
      <w:pPr>
        <w:kinsoku/>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区政府负责组织实施因灾倒损住房恢复重建。因灾倒损住房恢复重建要尊重群众意愿，采取自建、援建和帮建相结合的方式。建房资金等通过政府救助、社会互助、自行筹措、政策优惠等多种途径解决。重建规划和房屋设计要根据灾情因地制宜确定方案，科学安排项目选址，合理布局，避开地震断裂带、地质灾害隐患点、泄洪通道等危险区域，确保安全。</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（1）区应急管理局对倒损住房的核定情况，视情况组织评估小组，参考灾害评估数据，对因灾倒损住房情况进行综合评估。</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（2）区应急管理局根据倒损住房情况评估结果，按照区级倒损住房恢复重建资金补助标准，提出资金补助建议，经区财政局审核后下达。</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（3）倒损住房恢复重建工作结束后，区应急管理局组织督查组通过开展实地抽查等方式，对全区倒损住房恢复重建补助资金管理工作情况进行评估。</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（4）区住房和建设局负责倒损住房恢复重建的技术支持和质量监督等工作。其他相关部门按照各自职责分工，配合做好重建规划、选址，制定优惠政策，支持做好住房恢复重建工作。</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 xml:space="preserve">（5）区政府统一组织开展的恢复重建，按有关规定执行。 </w:t>
      </w:r>
    </w:p>
    <w:p>
      <w:pPr>
        <w:pStyle w:val="3"/>
        <w:spacing w:line="360" w:lineRule="auto"/>
        <w:ind w:firstLine="720"/>
        <w:rPr>
          <w:rStyle w:val="56"/>
          <w:rFonts w:ascii="黑体" w:hAnsi="黑体" w:cs="黑体"/>
          <w:bCs/>
          <w:sz w:val="36"/>
          <w:szCs w:val="36"/>
        </w:rPr>
      </w:pPr>
      <w:bookmarkStart w:id="30" w:name="_Toc14578"/>
      <w:r>
        <w:rPr>
          <w:rStyle w:val="56"/>
          <w:rFonts w:hint="eastAsia" w:ascii="黑体" w:hAnsi="黑体" w:cs="黑体"/>
          <w:bCs/>
          <w:sz w:val="36"/>
          <w:szCs w:val="36"/>
        </w:rPr>
        <w:t>7 保障措施</w:t>
      </w:r>
      <w:bookmarkEnd w:id="30"/>
      <w:r>
        <w:rPr>
          <w:rStyle w:val="56"/>
          <w:rFonts w:hint="eastAsia" w:ascii="黑体" w:hAnsi="黑体" w:cs="黑体"/>
          <w:bCs/>
          <w:sz w:val="36"/>
          <w:szCs w:val="36"/>
        </w:rPr>
        <w:t xml:space="preserve"> </w:t>
      </w:r>
    </w:p>
    <w:p>
      <w:pPr>
        <w:pStyle w:val="4"/>
        <w:spacing w:line="360" w:lineRule="auto"/>
        <w:ind w:firstLine="643"/>
        <w:rPr>
          <w:rFonts w:cs="楷体_GB2312" w:asciiTheme="minorEastAsia" w:hAnsiTheme="minorEastAsia" w:eastAsiaTheme="minorEastAsia"/>
          <w:b/>
        </w:rPr>
      </w:pPr>
      <w:bookmarkStart w:id="31" w:name="_Toc10981"/>
      <w:r>
        <w:rPr>
          <w:rFonts w:hint="eastAsia" w:cs="楷体_GB2312" w:asciiTheme="minorEastAsia" w:hAnsiTheme="minorEastAsia" w:eastAsiaTheme="minorEastAsia"/>
          <w:b/>
        </w:rPr>
        <w:t>7.1 人力保障</w:t>
      </w:r>
      <w:bookmarkEnd w:id="31"/>
      <w:r>
        <w:rPr>
          <w:rFonts w:hint="eastAsia" w:cs="楷体_GB2312" w:asciiTheme="minorEastAsia" w:hAnsiTheme="minorEastAsia" w:eastAsiaTheme="minorEastAsia"/>
          <w:b/>
        </w:rPr>
        <w:t xml:space="preserve"> </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（1）加强自然灾害各类专业应急队伍建设，组建专职人员和兼职人员相结合的应急队伍，提高自然灾害救助能力。支持、培育和发展相关社会组织和志愿者队伍，鼓励、引导其在救灾工作中发挥积极作用。</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（2）按照国家有关规定，落实灾害信息员培训制度，建立覆盖全区的灾害信息员队伍，全面推进灾害信息员队伍建设，明确各级灾害信息员配置，村民</w:t>
      </w:r>
      <w:r>
        <w:rPr>
          <w:rFonts w:ascii="仿宋_GB2312" w:hAnsi="仿宋_GB2312" w:eastAsia="仿宋_GB2312" w:cs="仿宋_GB2312"/>
          <w:color w:val="auto"/>
          <w:spacing w:val="-3"/>
          <w:sz w:val="32"/>
          <w:szCs w:val="32"/>
        </w:rPr>
        <w:t>(</w:t>
      </w:r>
      <w:r>
        <w:rPr>
          <w:rFonts w:hint="eastAsia" w:ascii="仿宋_GB2312" w:hAnsi="仿宋_GB2312" w:eastAsia="仿宋_GB2312" w:cs="仿宋_GB2312"/>
          <w:color w:val="auto"/>
          <w:spacing w:val="-3"/>
          <w:sz w:val="32"/>
          <w:szCs w:val="32"/>
        </w:rPr>
        <w:t>居民</w:t>
      </w:r>
      <w:r>
        <w:rPr>
          <w:rFonts w:ascii="仿宋_GB2312" w:hAnsi="仿宋_GB2312" w:eastAsia="仿宋_GB2312" w:cs="仿宋_GB2312"/>
          <w:color w:val="auto"/>
          <w:spacing w:val="-3"/>
          <w:sz w:val="32"/>
          <w:szCs w:val="32"/>
        </w:rPr>
        <w:t>)</w:t>
      </w:r>
      <w:r>
        <w:rPr>
          <w:rFonts w:hint="eastAsia" w:ascii="仿宋_GB2312" w:hAnsi="仿宋_GB2312" w:eastAsia="仿宋_GB2312" w:cs="仿宋_GB2312"/>
          <w:color w:val="auto"/>
          <w:spacing w:val="-3"/>
          <w:sz w:val="32"/>
          <w:szCs w:val="32"/>
        </w:rPr>
        <w:t>委员会和企事业单位应当设立专</w:t>
      </w:r>
      <w:r>
        <w:rPr>
          <w:rFonts w:ascii="仿宋_GB2312" w:hAnsi="仿宋_GB2312" w:eastAsia="仿宋_GB2312" w:cs="仿宋_GB2312"/>
          <w:color w:val="auto"/>
          <w:spacing w:val="-3"/>
          <w:sz w:val="32"/>
          <w:szCs w:val="32"/>
        </w:rPr>
        <w:t>(</w:t>
      </w:r>
      <w:r>
        <w:rPr>
          <w:rFonts w:hint="eastAsia" w:ascii="仿宋_GB2312" w:hAnsi="仿宋_GB2312" w:eastAsia="仿宋_GB2312" w:cs="仿宋_GB2312"/>
          <w:color w:val="auto"/>
          <w:spacing w:val="-3"/>
          <w:sz w:val="32"/>
          <w:szCs w:val="32"/>
        </w:rPr>
        <w:t>兼</w:t>
      </w:r>
      <w:r>
        <w:rPr>
          <w:rFonts w:ascii="仿宋_GB2312" w:hAnsi="仿宋_GB2312" w:eastAsia="仿宋_GB2312" w:cs="仿宋_GB2312"/>
          <w:color w:val="auto"/>
          <w:spacing w:val="-3"/>
          <w:sz w:val="32"/>
          <w:szCs w:val="32"/>
        </w:rPr>
        <w:t>)</w:t>
      </w:r>
      <w:r>
        <w:rPr>
          <w:rFonts w:hint="eastAsia" w:ascii="仿宋_GB2312" w:hAnsi="仿宋_GB2312" w:eastAsia="仿宋_GB2312" w:cs="仿宋_GB2312"/>
          <w:color w:val="auto"/>
          <w:spacing w:val="-3"/>
          <w:sz w:val="32"/>
          <w:szCs w:val="32"/>
        </w:rPr>
        <w:t>职灾害信息员，鼓励、引导保险行业等社会力量有序参与灾害信息报告工作。</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（3）组织各领域专家，重点开展灾情会商、赴受灾地现场评估及灾害管理的业务咨询工作。</w:t>
      </w:r>
    </w:p>
    <w:p>
      <w:pPr>
        <w:pStyle w:val="4"/>
        <w:spacing w:line="360" w:lineRule="auto"/>
        <w:ind w:firstLine="643"/>
        <w:rPr>
          <w:rFonts w:cs="楷体_GB2312" w:asciiTheme="minorEastAsia" w:hAnsiTheme="minorEastAsia" w:eastAsiaTheme="minorEastAsia"/>
          <w:b/>
        </w:rPr>
      </w:pPr>
      <w:bookmarkStart w:id="32" w:name="_Toc16604"/>
      <w:r>
        <w:rPr>
          <w:rFonts w:hint="eastAsia" w:cs="楷体_GB2312" w:asciiTheme="minorEastAsia" w:hAnsiTheme="minorEastAsia" w:eastAsiaTheme="minorEastAsia"/>
          <w:b/>
        </w:rPr>
        <w:t>7.2 资金保障</w:t>
      </w:r>
      <w:bookmarkEnd w:id="32"/>
      <w:r>
        <w:rPr>
          <w:rFonts w:hint="eastAsia" w:cs="楷体_GB2312" w:asciiTheme="minorEastAsia" w:hAnsiTheme="minorEastAsia" w:eastAsiaTheme="minorEastAsia"/>
          <w:b/>
        </w:rPr>
        <w:t xml:space="preserve"> </w:t>
      </w:r>
    </w:p>
    <w:p>
      <w:pPr>
        <w:kinsoku/>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 xml:space="preserve">区财政局、区应急管理局等部门根据《中华人民共和国预算法》《自然灾害救助条例》等规定，及时安排区级救灾资金预算，多渠道筹措灾害救助资金，区政府应建立完善区救灾资金分担机制，并按照救灾工作分级负责、救灾资金分级负担、以地方保障为主的原则，加大救灾资金投入力度。 </w:t>
      </w:r>
    </w:p>
    <w:p>
      <w:pPr>
        <w:pStyle w:val="4"/>
        <w:spacing w:line="360" w:lineRule="auto"/>
        <w:ind w:firstLine="643"/>
        <w:rPr>
          <w:rFonts w:cs="楷体_GB2312" w:asciiTheme="minorEastAsia" w:hAnsiTheme="minorEastAsia" w:eastAsiaTheme="minorEastAsia"/>
          <w:b/>
        </w:rPr>
      </w:pPr>
      <w:bookmarkStart w:id="33" w:name="_Toc22263"/>
      <w:r>
        <w:rPr>
          <w:rFonts w:hint="eastAsia" w:cs="楷体_GB2312" w:asciiTheme="minorEastAsia" w:hAnsiTheme="minorEastAsia" w:eastAsiaTheme="minorEastAsia"/>
          <w:b/>
        </w:rPr>
        <w:t>7.3 物资保障</w:t>
      </w:r>
      <w:bookmarkEnd w:id="33"/>
      <w:r>
        <w:rPr>
          <w:rFonts w:hint="eastAsia" w:cs="楷体_GB2312" w:asciiTheme="minorEastAsia" w:hAnsiTheme="minorEastAsia" w:eastAsiaTheme="minorEastAsia"/>
          <w:b/>
        </w:rPr>
        <w:t xml:space="preserve"> </w:t>
      </w:r>
    </w:p>
    <w:p>
      <w:pPr>
        <w:kinsoku/>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（1）区减灾委成员单位、应加强全区救灾物资储备，采取多种方式储备救灾物资，建立健全救灾物资供货机制，必要时签订救灾物资紧急购销协议，确保救灾物资储备。</w:t>
      </w:r>
    </w:p>
    <w:p>
      <w:pPr>
        <w:kinsoku/>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（2）区应急管理部门要会同财政等部门制定</w:t>
      </w:r>
      <w:r>
        <w:rPr>
          <w:rFonts w:ascii="仿宋_GB2312" w:hAnsi="仿宋_GB2312" w:eastAsia="仿宋_GB2312" w:cs="仿宋_GB2312"/>
          <w:color w:val="auto"/>
          <w:spacing w:val="-3"/>
          <w:sz w:val="32"/>
          <w:szCs w:val="32"/>
        </w:rPr>
        <w:t>有关</w:t>
      </w:r>
      <w:r>
        <w:rPr>
          <w:rFonts w:hint="eastAsia" w:ascii="仿宋_GB2312" w:hAnsi="仿宋_GB2312" w:eastAsia="仿宋_GB2312" w:cs="仿宋_GB2312"/>
          <w:color w:val="auto"/>
          <w:spacing w:val="-3"/>
          <w:sz w:val="32"/>
          <w:szCs w:val="32"/>
        </w:rPr>
        <w:t>规定</w:t>
      </w:r>
      <w:r>
        <w:rPr>
          <w:rFonts w:ascii="仿宋_GB2312" w:hAnsi="仿宋_GB2312" w:eastAsia="仿宋_GB2312" w:cs="仿宋_GB2312"/>
          <w:color w:val="auto"/>
          <w:spacing w:val="-3"/>
          <w:sz w:val="32"/>
          <w:szCs w:val="32"/>
        </w:rPr>
        <w:t>，规范</w:t>
      </w:r>
      <w:r>
        <w:rPr>
          <w:rFonts w:hint="eastAsia" w:ascii="仿宋_GB2312" w:hAnsi="仿宋_GB2312" w:eastAsia="仿宋_GB2312" w:cs="仿宋_GB2312"/>
          <w:color w:val="auto"/>
          <w:spacing w:val="-3"/>
          <w:sz w:val="32"/>
          <w:szCs w:val="32"/>
        </w:rPr>
        <w:t>救灾物资储备管理使用工作，结合实际完善救灾物资储备仓库建设，设置自然灾害救灾物资储备点，储备必要的救灾物资。</w:t>
      </w:r>
    </w:p>
    <w:p>
      <w:pPr>
        <w:kinsoku/>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（3）区政府建立健全救灾物资应急采购和紧急调拨、物流运输制度。</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 xml:space="preserve">（4）区政府鼓励和引导社区、企事业单位和家庭储备基本的灾害应急物资和生活必需品。 </w:t>
      </w:r>
    </w:p>
    <w:p>
      <w:pPr>
        <w:pStyle w:val="4"/>
        <w:spacing w:line="360" w:lineRule="auto"/>
        <w:ind w:firstLine="643"/>
        <w:rPr>
          <w:rFonts w:cs="楷体_GB2312" w:asciiTheme="minorEastAsia" w:hAnsiTheme="minorEastAsia" w:eastAsiaTheme="minorEastAsia"/>
          <w:b/>
        </w:rPr>
      </w:pPr>
      <w:bookmarkStart w:id="34" w:name="_Toc31318"/>
      <w:r>
        <w:rPr>
          <w:rFonts w:hint="eastAsia" w:cs="楷体_GB2312" w:asciiTheme="minorEastAsia" w:hAnsiTheme="minorEastAsia" w:eastAsiaTheme="minorEastAsia"/>
          <w:b/>
        </w:rPr>
        <w:t>7.4 应急避难场所保障</w:t>
      </w:r>
      <w:bookmarkEnd w:id="34"/>
    </w:p>
    <w:p>
      <w:pPr>
        <w:kinsoku/>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（1）各有关单位按职责分工，负责本辖区、本行业、本领域应急避难场所日常管理维护工作，保证应急避难设施设备日常有效、安全，满足应急启用、开放功能。</w:t>
      </w:r>
    </w:p>
    <w:p>
      <w:pPr>
        <w:kinsoku/>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（2）区政府、各有关单位要根据有关规划，利用公园、广场、体育场馆等公共设施，统筹规划建设应急避难场所，设置统一、规范的明显标志，储备必要物资，提供必要医疗条件。</w:t>
      </w:r>
    </w:p>
    <w:p>
      <w:pPr>
        <w:kinsoku/>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3）灾情发生前后，要及时启用各类避难场所，科学设置受灾人员安置点，避开山洪、地质灾害隐患点、低洼易涝区等，防范次生灾害，同时加强安置点消防安全、卫生防疫、食品安全、治安等保障，确保安置点秩序。</w:t>
      </w:r>
    </w:p>
    <w:p>
      <w:pPr>
        <w:pStyle w:val="4"/>
        <w:spacing w:line="360" w:lineRule="auto"/>
        <w:ind w:firstLine="643"/>
        <w:rPr>
          <w:rFonts w:cs="楷体_GB2312" w:asciiTheme="minorEastAsia" w:hAnsiTheme="minorEastAsia" w:eastAsiaTheme="minorEastAsia"/>
          <w:b/>
        </w:rPr>
      </w:pPr>
      <w:bookmarkStart w:id="35" w:name="_Toc22038"/>
      <w:r>
        <w:rPr>
          <w:rFonts w:hint="eastAsia" w:cs="楷体_GB2312" w:asciiTheme="minorEastAsia" w:hAnsiTheme="minorEastAsia" w:eastAsiaTheme="minorEastAsia"/>
          <w:b/>
        </w:rPr>
        <w:t>7.5 通信保障</w:t>
      </w:r>
      <w:bookmarkEnd w:id="35"/>
      <w:r>
        <w:rPr>
          <w:rFonts w:hint="eastAsia" w:cs="楷体_GB2312" w:asciiTheme="minorEastAsia" w:hAnsiTheme="minorEastAsia" w:eastAsiaTheme="minorEastAsia"/>
          <w:b/>
        </w:rPr>
        <w:t xml:space="preserve"> </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区减灾委应当建立健全应急通信保障体系，依法保障灾情传送网络畅通。加强应急通信网络建设管理，掌握国家自然灾害灾情管理系统，确保灾情及时准确报送。配备必要通信装备、交通装备和设施。</w:t>
      </w:r>
    </w:p>
    <w:p>
      <w:pPr>
        <w:pStyle w:val="4"/>
        <w:spacing w:line="360" w:lineRule="auto"/>
        <w:ind w:firstLine="643"/>
        <w:rPr>
          <w:rFonts w:cs="楷体_GB2312" w:asciiTheme="minorEastAsia" w:hAnsiTheme="minorEastAsia" w:eastAsiaTheme="minorEastAsia"/>
          <w:b/>
        </w:rPr>
      </w:pPr>
      <w:bookmarkStart w:id="36" w:name="_Toc19566"/>
      <w:r>
        <w:rPr>
          <w:rFonts w:hint="eastAsia" w:cs="楷体_GB2312" w:asciiTheme="minorEastAsia" w:hAnsiTheme="minorEastAsia" w:eastAsiaTheme="minorEastAsia"/>
          <w:b/>
        </w:rPr>
        <w:t>7.6 保险保障</w:t>
      </w:r>
      <w:bookmarkEnd w:id="36"/>
      <w:r>
        <w:rPr>
          <w:rFonts w:hint="eastAsia" w:cs="楷体_GB2312" w:asciiTheme="minorEastAsia" w:hAnsiTheme="minorEastAsia" w:eastAsiaTheme="minorEastAsia"/>
          <w:b/>
        </w:rPr>
        <w:t xml:space="preserve"> </w:t>
      </w:r>
    </w:p>
    <w:p>
      <w:pPr>
        <w:widowControl w:val="0"/>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巨灾保险制度实施期间，充分发挥巨灾保险灾害风险转移和损失补偿作用，应加强统筹协调巨灾保险承保机构，简化理赔程序，建立快速理赔通道，及时开展保险理赔服务工作。尤其对涉及人身伤亡、房屋受损和农田绝产等要优先快赔宽赔。加快推进巨灾保险，建立健全多层次巨灾保险分散机制。</w:t>
      </w:r>
    </w:p>
    <w:p>
      <w:pPr>
        <w:pStyle w:val="4"/>
        <w:spacing w:line="360" w:lineRule="auto"/>
        <w:ind w:firstLine="643"/>
        <w:rPr>
          <w:rFonts w:hint="eastAsia" w:cs="楷体_GB2312" w:asciiTheme="minorEastAsia" w:hAnsiTheme="minorEastAsia" w:eastAsiaTheme="minorEastAsia"/>
          <w:b/>
        </w:rPr>
      </w:pPr>
      <w:bookmarkStart w:id="37" w:name="_Toc31501"/>
      <w:r>
        <w:rPr>
          <w:rFonts w:hint="eastAsia" w:cs="楷体_GB2312" w:asciiTheme="minorEastAsia" w:hAnsiTheme="minorEastAsia" w:eastAsiaTheme="minorEastAsia"/>
          <w:b/>
        </w:rPr>
        <w:t>7.7 社会动员保障</w:t>
      </w:r>
      <w:bookmarkEnd w:id="37"/>
      <w:r>
        <w:rPr>
          <w:rFonts w:hint="eastAsia" w:cs="楷体_GB2312" w:asciiTheme="minorEastAsia" w:hAnsiTheme="minorEastAsia" w:eastAsiaTheme="minorEastAsia"/>
          <w:b/>
        </w:rPr>
        <w:t xml:space="preserve"> </w:t>
      </w:r>
    </w:p>
    <w:p>
      <w:pPr>
        <w:kinsoku/>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（1）完善救灾捐赠管理相关制度，建立健全救灾捐赠动员、运行和监督管理机制，规范救灾捐赠的组织发动、款物接收、统计、分配、使用、公示反馈等各环节的工作。完善接收境外救灾捐赠管理机制。</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（2）建立非受灾地区支援受灾地区、轻受灾地区支援重受灾地区的自然灾害救助对口支援机制。必要时发布社会动员令，动员社会各界参与救灾工作。</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（3）完善社会捐助表彰制度，为开展社会捐助活动创造良好的社会氛围。</w:t>
      </w:r>
    </w:p>
    <w:p>
      <w:pPr>
        <w:pStyle w:val="4"/>
        <w:spacing w:line="360" w:lineRule="auto"/>
        <w:ind w:firstLine="643"/>
        <w:rPr>
          <w:rFonts w:hint="eastAsia" w:cs="楷体_GB2312" w:asciiTheme="minorEastAsia" w:hAnsiTheme="minorEastAsia" w:eastAsiaTheme="minorEastAsia"/>
          <w:b/>
        </w:rPr>
      </w:pPr>
      <w:bookmarkStart w:id="38" w:name="_Toc28399"/>
      <w:r>
        <w:rPr>
          <w:rFonts w:hint="eastAsia" w:cs="楷体_GB2312" w:asciiTheme="minorEastAsia" w:hAnsiTheme="minorEastAsia" w:eastAsiaTheme="minorEastAsia"/>
          <w:b/>
        </w:rPr>
        <w:t>7.8 科技保障</w:t>
      </w:r>
      <w:bookmarkEnd w:id="38"/>
      <w:r>
        <w:rPr>
          <w:rFonts w:hint="eastAsia" w:cs="楷体_GB2312" w:asciiTheme="minorEastAsia" w:hAnsiTheme="minorEastAsia" w:eastAsiaTheme="minorEastAsia"/>
          <w:b/>
        </w:rPr>
        <w:t xml:space="preserve"> </w:t>
      </w:r>
    </w:p>
    <w:p>
      <w:pPr>
        <w:kinsoku/>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（1）运用新科技</w:t>
      </w:r>
      <w:r>
        <w:rPr>
          <w:rFonts w:ascii="仿宋_GB2312" w:hAnsi="仿宋_GB2312" w:eastAsia="仿宋_GB2312" w:cs="仿宋_GB2312"/>
          <w:color w:val="auto"/>
          <w:spacing w:val="-3"/>
          <w:sz w:val="32"/>
          <w:szCs w:val="32"/>
        </w:rPr>
        <w:t>、</w:t>
      </w:r>
      <w:r>
        <w:rPr>
          <w:rFonts w:hint="eastAsia" w:ascii="仿宋_GB2312" w:hAnsi="仿宋_GB2312" w:eastAsia="仿宋_GB2312" w:cs="仿宋_GB2312"/>
          <w:color w:val="auto"/>
          <w:spacing w:val="-3"/>
          <w:sz w:val="32"/>
          <w:szCs w:val="32"/>
        </w:rPr>
        <w:t>新技术、新装备，加快自然灾害预警信息发布系统建设，及时分析评估，辅助应急救助。</w:t>
      </w:r>
    </w:p>
    <w:p>
      <w:pPr>
        <w:kinsoku/>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（2）组织各领域专家及高等院校、科研院所等单位专家开展灾害风险调查，编制全区自然灾害风险区划图，制定辖区相关技术和管理标准。</w:t>
      </w:r>
    </w:p>
    <w:p>
      <w:pPr>
        <w:kinsoku/>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（3）支持鼓励高等院校、科研院所、企事业单位和社会组织开展辖区灾害相关领域的科学研究和技术开发，建立合作机制，鼓励辖区减灾救灾救助政策理论研究。</w:t>
      </w:r>
    </w:p>
    <w:p>
      <w:pPr>
        <w:pStyle w:val="4"/>
        <w:spacing w:line="360" w:lineRule="auto"/>
        <w:ind w:firstLine="643"/>
        <w:rPr>
          <w:rFonts w:hint="eastAsia" w:cs="楷体_GB2312" w:asciiTheme="minorEastAsia" w:hAnsiTheme="minorEastAsia" w:eastAsiaTheme="minorEastAsia"/>
          <w:b/>
        </w:rPr>
      </w:pPr>
      <w:bookmarkStart w:id="39" w:name="_Toc13817"/>
      <w:r>
        <w:rPr>
          <w:rFonts w:hint="eastAsia" w:cs="楷体_GB2312" w:asciiTheme="minorEastAsia" w:hAnsiTheme="minorEastAsia" w:eastAsiaTheme="minorEastAsia"/>
          <w:b/>
        </w:rPr>
        <w:t>7.9 交通保障</w:t>
      </w:r>
      <w:bookmarkEnd w:id="39"/>
      <w:r>
        <w:rPr>
          <w:rFonts w:hint="eastAsia" w:cs="楷体_GB2312" w:asciiTheme="minorEastAsia" w:hAnsiTheme="minorEastAsia" w:eastAsiaTheme="minorEastAsia"/>
          <w:b/>
        </w:rPr>
        <w:t xml:space="preserve"> </w:t>
      </w:r>
    </w:p>
    <w:p>
      <w:pPr>
        <w:kinsoku/>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 xml:space="preserve">加强紧急情况下综合运输管理，建立健全自然灾害应急救助运输保障系统、社会交通运输工具征用机制和应急救助“绿色通道”机制，实现全区域自然灾害应急救助交通运输统一指挥调度。交通运输部门确保自然灾害救助人员和受到自然灾害危害的人员、救助物资、救助设备优先运输。 </w:t>
      </w:r>
    </w:p>
    <w:p>
      <w:pPr>
        <w:pStyle w:val="3"/>
        <w:spacing w:line="360" w:lineRule="auto"/>
        <w:ind w:firstLine="720"/>
        <w:rPr>
          <w:rStyle w:val="56"/>
          <w:rFonts w:ascii="黑体" w:hAnsi="黑体" w:cs="黑体"/>
          <w:bCs/>
          <w:sz w:val="36"/>
          <w:szCs w:val="36"/>
        </w:rPr>
      </w:pPr>
      <w:bookmarkStart w:id="40" w:name="_Toc21242"/>
      <w:r>
        <w:rPr>
          <w:rStyle w:val="56"/>
          <w:rFonts w:hint="eastAsia" w:ascii="黑体" w:hAnsi="黑体" w:cs="黑体"/>
          <w:bCs/>
          <w:sz w:val="36"/>
          <w:szCs w:val="36"/>
        </w:rPr>
        <w:t>8 监督管理</w:t>
      </w:r>
      <w:bookmarkEnd w:id="40"/>
      <w:r>
        <w:rPr>
          <w:rStyle w:val="56"/>
          <w:rFonts w:hint="eastAsia" w:ascii="黑体" w:hAnsi="黑体" w:cs="黑体"/>
          <w:bCs/>
          <w:sz w:val="36"/>
          <w:szCs w:val="36"/>
        </w:rPr>
        <w:t xml:space="preserve"> </w:t>
      </w:r>
    </w:p>
    <w:p>
      <w:pPr>
        <w:pStyle w:val="4"/>
        <w:spacing w:line="360" w:lineRule="auto"/>
        <w:ind w:firstLine="643"/>
        <w:rPr>
          <w:rFonts w:hint="eastAsia" w:cs="楷体_GB2312" w:asciiTheme="minorEastAsia" w:hAnsiTheme="minorEastAsia" w:eastAsiaTheme="minorEastAsia"/>
          <w:b/>
        </w:rPr>
      </w:pPr>
      <w:bookmarkStart w:id="41" w:name="_Toc22284"/>
      <w:r>
        <w:rPr>
          <w:rFonts w:hint="eastAsia" w:cs="楷体_GB2312" w:asciiTheme="minorEastAsia" w:hAnsiTheme="minorEastAsia" w:eastAsiaTheme="minorEastAsia"/>
          <w:b/>
        </w:rPr>
        <w:t>8.1 责任与奖惩</w:t>
      </w:r>
      <w:bookmarkEnd w:id="41"/>
      <w:r>
        <w:rPr>
          <w:rFonts w:hint="eastAsia" w:cs="楷体_GB2312" w:asciiTheme="minorEastAsia" w:hAnsiTheme="minorEastAsia" w:eastAsiaTheme="minorEastAsia"/>
          <w:b/>
        </w:rPr>
        <w:t xml:space="preserve"> </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对在自然灾害救助工作中作出突出贡献的单位和个人，按照有关规定给予表彰和奖励。对参与重大自然灾害救助工作致残人员及死亡人员家属，按照有关规定，给予相应的补助和抚恤。由于玩忽职守或者拒不履行本预案规定的相关职责，或者阻碍、干扰自然灾害救灾救助工作，致使国家利益和人民群众生命财产遭受重大损失的，依照有关法律法规的规定，由本级或上级人民政府有关部门责令改正，对其主要负责人及其他责任人员给予行政处分。情节严重的，追究相应的法律责任。</w:t>
      </w:r>
    </w:p>
    <w:p>
      <w:pPr>
        <w:pStyle w:val="4"/>
        <w:spacing w:line="360" w:lineRule="auto"/>
        <w:ind w:firstLine="643"/>
        <w:rPr>
          <w:rFonts w:hint="eastAsia" w:cs="楷体_GB2312" w:asciiTheme="minorEastAsia" w:hAnsiTheme="minorEastAsia" w:eastAsiaTheme="minorEastAsia"/>
          <w:b/>
        </w:rPr>
      </w:pPr>
      <w:bookmarkStart w:id="42" w:name="_Toc25920"/>
      <w:r>
        <w:rPr>
          <w:rFonts w:hint="eastAsia" w:cs="楷体_GB2312" w:asciiTheme="minorEastAsia" w:hAnsiTheme="minorEastAsia" w:eastAsiaTheme="minorEastAsia"/>
          <w:b/>
        </w:rPr>
        <w:t>8.2 预案管理</w:t>
      </w:r>
      <w:bookmarkEnd w:id="42"/>
      <w:r>
        <w:rPr>
          <w:rFonts w:hint="eastAsia" w:cs="楷体_GB2312" w:asciiTheme="minorEastAsia" w:hAnsiTheme="minorEastAsia" w:eastAsiaTheme="minorEastAsia"/>
          <w:b/>
        </w:rPr>
        <w:t xml:space="preserve"> </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预案实施后应适时召集有关单位和专家进行评估，并视情况变化对预案进行修订区政府及其有关单位、基层单位和组织按照本预案的规定履行职责，并制定、完善相应的应急预案。有关部门和单位要制定落实本预案任务的工作手册、行动方案等，确保责任落实到位。</w:t>
      </w:r>
    </w:p>
    <w:p>
      <w:pPr>
        <w:pStyle w:val="4"/>
        <w:spacing w:line="360" w:lineRule="auto"/>
        <w:ind w:firstLine="643"/>
        <w:rPr>
          <w:rFonts w:hint="eastAsia" w:cs="楷体_GB2312" w:asciiTheme="minorEastAsia" w:hAnsiTheme="minorEastAsia" w:eastAsiaTheme="minorEastAsia"/>
          <w:b/>
        </w:rPr>
      </w:pPr>
      <w:bookmarkStart w:id="43" w:name="_Toc10326"/>
      <w:r>
        <w:rPr>
          <w:rFonts w:hint="eastAsia" w:cs="楷体_GB2312" w:asciiTheme="minorEastAsia" w:hAnsiTheme="minorEastAsia" w:eastAsiaTheme="minorEastAsia"/>
          <w:b/>
        </w:rPr>
        <w:t>8.3 预案演练</w:t>
      </w:r>
      <w:bookmarkEnd w:id="43"/>
      <w:r>
        <w:rPr>
          <w:rFonts w:hint="eastAsia" w:cs="楷体_GB2312" w:asciiTheme="minorEastAsia" w:hAnsiTheme="minorEastAsia" w:eastAsiaTheme="minorEastAsia"/>
          <w:b/>
        </w:rPr>
        <w:t xml:space="preserve"> </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各有关单位根据区级应急演练计划，定期或不定期开展应急演练。可根据实际情况，结合各灾种专项应急预案一并开展本预案演练。通过演练进一步完善相关预案。演练重点检验内容包括组织指挥、隐患排查、监测预警、灾情上报、人员疏散、转移安置、自救互救、通讯保障、装备使用、善后处理等。</w:t>
      </w:r>
    </w:p>
    <w:p>
      <w:pPr>
        <w:pStyle w:val="4"/>
        <w:spacing w:line="360" w:lineRule="auto"/>
        <w:ind w:firstLine="643"/>
        <w:rPr>
          <w:rFonts w:hint="eastAsia" w:cs="楷体_GB2312" w:asciiTheme="minorEastAsia" w:hAnsiTheme="minorEastAsia" w:eastAsiaTheme="minorEastAsia"/>
          <w:b/>
        </w:rPr>
      </w:pPr>
      <w:bookmarkStart w:id="44" w:name="_Toc7988"/>
      <w:r>
        <w:rPr>
          <w:rFonts w:hint="eastAsia" w:cs="楷体_GB2312" w:asciiTheme="minorEastAsia" w:hAnsiTheme="minorEastAsia" w:eastAsiaTheme="minorEastAsia"/>
          <w:b/>
        </w:rPr>
        <w:t>8.4 宣传教育</w:t>
      </w:r>
      <w:bookmarkEnd w:id="44"/>
      <w:r>
        <w:rPr>
          <w:rFonts w:hint="eastAsia" w:cs="楷体_GB2312" w:asciiTheme="minorEastAsia" w:hAnsiTheme="minorEastAsia" w:eastAsiaTheme="minorEastAsia"/>
          <w:b/>
        </w:rPr>
        <w:t xml:space="preserve"> </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利用开展“全国防灾减灾日”“国际减灾日”“世界急救日”“全国科普日”“全国消防日”“国际民防日”等活动，发挥各种媒体为载体及宣传栏，宣传科普应急法律法规和灾害风险防治、应急避险、自救互救、保险等知识，增强公众防灾减灾救灾意识。</w:t>
      </w:r>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区减灾委积极组织开展领导干部、灾害管理人员和专业应急救援队伍、社会组织和志愿者的防灾减灾救灾培训，积极推进灾害救助宣传进学校、进企业、进社区、进机关、进家庭。</w:t>
      </w:r>
    </w:p>
    <w:p>
      <w:pPr>
        <w:pStyle w:val="4"/>
        <w:spacing w:line="360" w:lineRule="auto"/>
        <w:ind w:firstLine="643"/>
        <w:rPr>
          <w:rFonts w:hint="eastAsia" w:cs="楷体_GB2312" w:asciiTheme="minorEastAsia" w:hAnsiTheme="minorEastAsia" w:eastAsiaTheme="minorEastAsia"/>
          <w:b/>
        </w:rPr>
      </w:pPr>
      <w:bookmarkStart w:id="45" w:name="_Toc7854"/>
      <w:r>
        <w:rPr>
          <w:rFonts w:hint="eastAsia" w:cs="楷体_GB2312" w:asciiTheme="minorEastAsia" w:hAnsiTheme="minorEastAsia" w:eastAsiaTheme="minorEastAsia"/>
          <w:b/>
        </w:rPr>
        <w:t>8.5 预案解释</w:t>
      </w:r>
      <w:bookmarkEnd w:id="45"/>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本预案由区应急管理局负责解释。</w:t>
      </w:r>
    </w:p>
    <w:p>
      <w:pPr>
        <w:pStyle w:val="4"/>
        <w:spacing w:line="360" w:lineRule="auto"/>
        <w:ind w:firstLine="643"/>
        <w:rPr>
          <w:rFonts w:hint="eastAsia" w:cs="楷体_GB2312" w:asciiTheme="minorEastAsia" w:hAnsiTheme="minorEastAsia" w:eastAsiaTheme="minorEastAsia"/>
          <w:b/>
        </w:rPr>
      </w:pPr>
      <w:bookmarkStart w:id="46" w:name="_Toc18097"/>
      <w:r>
        <w:rPr>
          <w:rFonts w:hint="eastAsia" w:cs="楷体_GB2312" w:asciiTheme="minorEastAsia" w:hAnsiTheme="minorEastAsia" w:eastAsiaTheme="minorEastAsia"/>
          <w:b/>
        </w:rPr>
        <w:t>8.6 预案实施时间</w:t>
      </w:r>
      <w:bookmarkEnd w:id="46"/>
    </w:p>
    <w:p>
      <w:pPr>
        <w:spacing w:line="360" w:lineRule="auto"/>
        <w:ind w:firstLine="628" w:firstLineChars="200"/>
        <w:rPr>
          <w:rFonts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本预案自印发之日起实施。</w:t>
      </w:r>
    </w:p>
    <w:p>
      <w:pPr>
        <w:pStyle w:val="3"/>
        <w:spacing w:line="360" w:lineRule="auto"/>
        <w:ind w:firstLine="720"/>
        <w:rPr>
          <w:rStyle w:val="56"/>
          <w:rFonts w:ascii="黑体" w:hAnsi="黑体" w:cs="黑体"/>
          <w:bCs/>
          <w:sz w:val="36"/>
          <w:szCs w:val="36"/>
        </w:rPr>
      </w:pPr>
      <w:bookmarkStart w:id="47" w:name="_Toc9028"/>
      <w:r>
        <w:rPr>
          <w:rStyle w:val="56"/>
          <w:rFonts w:hint="eastAsia" w:ascii="黑体" w:hAnsi="黑体" w:cs="黑体"/>
          <w:bCs/>
          <w:sz w:val="36"/>
          <w:szCs w:val="36"/>
        </w:rPr>
        <w:t>9 附件</w:t>
      </w:r>
      <w:bookmarkEnd w:id="47"/>
    </w:p>
    <w:p>
      <w:pPr>
        <w:spacing w:line="360" w:lineRule="auto"/>
        <w:ind w:firstLine="628" w:firstLineChars="200"/>
        <w:rPr>
          <w:rFonts w:ascii="仿宋_GB2312" w:hAnsi="仿宋_GB2312" w:eastAsia="仿宋_GB2312" w:cs="仿宋_GB2312"/>
          <w:color w:val="auto"/>
          <w:spacing w:val="-3"/>
          <w:sz w:val="32"/>
          <w:szCs w:val="32"/>
        </w:rPr>
      </w:pPr>
      <w:r>
        <w:rPr>
          <w:rFonts w:ascii="仿宋_GB2312" w:hAnsi="仿宋_GB2312" w:eastAsia="仿宋_GB2312" w:cs="仿宋_GB2312"/>
          <w:color w:val="auto"/>
          <w:spacing w:val="-3"/>
          <w:sz w:val="32"/>
          <w:szCs w:val="32"/>
        </w:rPr>
        <w:t>9</w:t>
      </w:r>
      <w:r>
        <w:rPr>
          <w:rFonts w:hint="eastAsia" w:ascii="仿宋_GB2312" w:hAnsi="仿宋_GB2312" w:eastAsia="仿宋_GB2312" w:cs="仿宋_GB2312"/>
          <w:color w:val="auto"/>
          <w:spacing w:val="-3"/>
          <w:sz w:val="32"/>
          <w:szCs w:val="32"/>
        </w:rPr>
        <w:t>.1</w:t>
      </w:r>
      <w:r>
        <w:rPr>
          <w:rFonts w:ascii="仿宋_GB2312" w:hAnsi="仿宋_GB2312" w:eastAsia="仿宋_GB2312" w:cs="仿宋_GB2312"/>
          <w:color w:val="auto"/>
          <w:spacing w:val="-3"/>
          <w:sz w:val="32"/>
          <w:szCs w:val="32"/>
        </w:rPr>
        <w:t xml:space="preserve"> </w:t>
      </w:r>
      <w:r>
        <w:rPr>
          <w:rFonts w:hint="eastAsia" w:ascii="仿宋_GB2312" w:hAnsi="仿宋_GB2312" w:eastAsia="仿宋_GB2312" w:cs="仿宋_GB2312"/>
          <w:color w:val="auto"/>
          <w:spacing w:val="-3"/>
          <w:sz w:val="32"/>
          <w:szCs w:val="32"/>
        </w:rPr>
        <w:t>海棠区各部门(单位)主要负责人通讯录</w:t>
      </w:r>
    </w:p>
    <w:p>
      <w:pPr>
        <w:spacing w:line="360" w:lineRule="auto"/>
        <w:ind w:firstLine="628" w:firstLineChars="200"/>
        <w:rPr>
          <w:rFonts w:ascii="仿宋_GB2312" w:hAnsi="仿宋_GB2312" w:eastAsia="仿宋_GB2312" w:cs="仿宋_GB2312"/>
          <w:color w:val="auto"/>
          <w:spacing w:val="-3"/>
          <w:sz w:val="32"/>
          <w:szCs w:val="32"/>
        </w:rPr>
      </w:pPr>
      <w:r>
        <w:rPr>
          <w:rFonts w:ascii="仿宋_GB2312" w:hAnsi="仿宋_GB2312" w:eastAsia="仿宋_GB2312" w:cs="仿宋_GB2312"/>
          <w:color w:val="auto"/>
          <w:spacing w:val="-3"/>
          <w:sz w:val="32"/>
          <w:szCs w:val="32"/>
        </w:rPr>
        <w:t>9.</w:t>
      </w:r>
      <w:r>
        <w:rPr>
          <w:rFonts w:hint="eastAsia" w:ascii="仿宋_GB2312" w:hAnsi="仿宋_GB2312" w:eastAsia="仿宋_GB2312" w:cs="仿宋_GB2312"/>
          <w:color w:val="auto"/>
          <w:spacing w:val="-3"/>
          <w:sz w:val="32"/>
          <w:szCs w:val="32"/>
        </w:rPr>
        <w:t>2 海棠区自然灾害救助应急专家通讯录</w:t>
      </w:r>
    </w:p>
    <w:p>
      <w:pPr>
        <w:spacing w:line="360" w:lineRule="auto"/>
        <w:ind w:firstLine="628" w:firstLineChars="200"/>
        <w:rPr>
          <w:rFonts w:ascii="仿宋_GB2312" w:hAnsi="仿宋_GB2312" w:eastAsia="仿宋_GB2312" w:cs="仿宋_GB2312"/>
          <w:color w:val="auto"/>
          <w:spacing w:val="-3"/>
          <w:sz w:val="32"/>
          <w:szCs w:val="32"/>
        </w:rPr>
      </w:pPr>
      <w:r>
        <w:rPr>
          <w:rFonts w:ascii="仿宋_GB2312" w:hAnsi="仿宋_GB2312" w:eastAsia="仿宋_GB2312" w:cs="仿宋_GB2312"/>
          <w:color w:val="auto"/>
          <w:spacing w:val="-3"/>
          <w:sz w:val="32"/>
          <w:szCs w:val="32"/>
        </w:rPr>
        <w:t>9.3</w:t>
      </w:r>
      <w:r>
        <w:rPr>
          <w:rFonts w:hint="eastAsia" w:ascii="仿宋_GB2312" w:hAnsi="仿宋_GB2312" w:eastAsia="仿宋_GB2312" w:cs="仿宋_GB2312"/>
          <w:color w:val="auto"/>
          <w:spacing w:val="-3"/>
          <w:sz w:val="32"/>
          <w:szCs w:val="32"/>
        </w:rPr>
        <w:t xml:space="preserve"> 海棠区各村（居）委会应急通讯录</w:t>
      </w:r>
    </w:p>
    <w:p>
      <w:pPr>
        <w:spacing w:line="360" w:lineRule="auto"/>
        <w:rPr>
          <w:rFonts w:ascii="仿宋_GB2312" w:hAnsi="仿宋_GB2312" w:eastAsia="仿宋_GB2312" w:cs="仿宋_GB2312"/>
          <w:spacing w:val="-3"/>
          <w:szCs w:val="32"/>
        </w:rPr>
      </w:pPr>
    </w:p>
    <w:p>
      <w:pPr>
        <w:spacing w:line="360" w:lineRule="auto"/>
        <w:rPr>
          <w:rFonts w:ascii="仿宋_GB2312" w:hAnsi="仿宋_GB2312" w:eastAsia="仿宋_GB2312" w:cs="仿宋_GB2312"/>
          <w:spacing w:val="-3"/>
          <w:szCs w:val="32"/>
        </w:rPr>
      </w:pPr>
    </w:p>
    <w:p>
      <w:pPr>
        <w:spacing w:line="600" w:lineRule="exact"/>
        <w:rPr>
          <w:rFonts w:ascii="仿宋_GB2312" w:hAnsi="仿宋_GB2312" w:eastAsia="仿宋_GB2312" w:cs="仿宋_GB2312"/>
          <w:spacing w:val="-3"/>
          <w:szCs w:val="32"/>
        </w:rPr>
      </w:pPr>
    </w:p>
    <w:p>
      <w:pPr>
        <w:spacing w:line="600" w:lineRule="exact"/>
        <w:rPr>
          <w:rFonts w:ascii="仿宋_GB2312" w:hAnsi="仿宋_GB2312" w:eastAsia="仿宋_GB2312" w:cs="仿宋_GB2312"/>
          <w:spacing w:val="-3"/>
          <w:szCs w:val="32"/>
        </w:rPr>
      </w:pPr>
    </w:p>
    <w:p>
      <w:pPr>
        <w:spacing w:line="600" w:lineRule="exact"/>
        <w:rPr>
          <w:rFonts w:ascii="仿宋_GB2312" w:hAnsi="仿宋_GB2312" w:eastAsia="仿宋_GB2312" w:cs="仿宋_GB2312"/>
          <w:spacing w:val="-3"/>
          <w:szCs w:val="32"/>
        </w:rPr>
      </w:pPr>
    </w:p>
    <w:p>
      <w:pPr>
        <w:spacing w:line="600" w:lineRule="exact"/>
        <w:rPr>
          <w:rFonts w:ascii="仿宋_GB2312" w:hAnsi="仿宋_GB2312" w:eastAsia="仿宋_GB2312" w:cs="仿宋_GB2312"/>
          <w:spacing w:val="-3"/>
          <w:szCs w:val="32"/>
        </w:rPr>
      </w:pPr>
    </w:p>
    <w:p>
      <w:pPr>
        <w:spacing w:line="600" w:lineRule="exact"/>
        <w:rPr>
          <w:rFonts w:ascii="仿宋_GB2312" w:hAnsi="仿宋_GB2312" w:eastAsia="仿宋_GB2312" w:cs="仿宋_GB2312"/>
          <w:spacing w:val="-3"/>
          <w:szCs w:val="32"/>
        </w:rPr>
      </w:pPr>
    </w:p>
    <w:p>
      <w:pPr>
        <w:spacing w:line="600" w:lineRule="exact"/>
        <w:rPr>
          <w:rFonts w:ascii="仿宋_GB2312" w:hAnsi="仿宋_GB2312" w:eastAsia="仿宋_GB2312" w:cs="仿宋_GB2312"/>
          <w:spacing w:val="-3"/>
          <w:szCs w:val="32"/>
        </w:rPr>
      </w:pPr>
    </w:p>
    <w:p>
      <w:pPr>
        <w:pStyle w:val="4"/>
        <w:spacing w:line="360" w:lineRule="auto"/>
        <w:ind w:firstLine="643"/>
        <w:rPr>
          <w:rFonts w:asciiTheme="minorEastAsia" w:hAnsiTheme="minorEastAsia" w:eastAsiaTheme="minorEastAsia"/>
          <w:b/>
        </w:rPr>
      </w:pPr>
      <w:bookmarkStart w:id="48" w:name="_Toc30694"/>
      <w:r>
        <w:rPr>
          <w:rFonts w:asciiTheme="minorEastAsia" w:hAnsiTheme="minorEastAsia" w:eastAsiaTheme="minorEastAsia"/>
          <w:b/>
        </w:rPr>
        <w:t>9</w:t>
      </w:r>
      <w:r>
        <w:rPr>
          <w:rFonts w:hint="eastAsia" w:asciiTheme="minorEastAsia" w:hAnsiTheme="minorEastAsia" w:eastAsiaTheme="minorEastAsia"/>
          <w:b/>
        </w:rPr>
        <w:t>.1</w:t>
      </w:r>
      <w:r>
        <w:rPr>
          <w:rFonts w:asciiTheme="minorEastAsia" w:hAnsiTheme="minorEastAsia" w:eastAsiaTheme="minorEastAsia"/>
          <w:b/>
        </w:rPr>
        <w:t xml:space="preserve"> </w:t>
      </w:r>
      <w:r>
        <w:rPr>
          <w:rFonts w:hint="eastAsia" w:asciiTheme="minorEastAsia" w:hAnsiTheme="minorEastAsia" w:eastAsiaTheme="minorEastAsia"/>
          <w:b/>
        </w:rPr>
        <w:t>海棠区各部门(单位)主要负责人通讯录</w:t>
      </w:r>
      <w:bookmarkEnd w:id="48"/>
    </w:p>
    <w:tbl>
      <w:tblPr>
        <w:tblStyle w:val="13"/>
        <w:tblW w:w="9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2154"/>
        <w:gridCol w:w="1652"/>
        <w:gridCol w:w="2078"/>
        <w:gridCol w:w="1950"/>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47" w:hRule="atLeast"/>
          <w:jc w:val="center"/>
        </w:trPr>
        <w:tc>
          <w:tcPr>
            <w:tcW w:w="215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b/>
              </w:rPr>
            </w:pPr>
            <w:r>
              <w:rPr>
                <w:rFonts w:hint="eastAsia" w:asciiTheme="minorEastAsia" w:hAnsiTheme="minorEastAsia" w:eastAsiaTheme="minorEastAsia" w:cstheme="minorEastAsia"/>
                <w:b/>
                <w:sz w:val="24"/>
                <w:szCs w:val="28"/>
              </w:rPr>
              <w:t>单位</w:t>
            </w:r>
          </w:p>
        </w:tc>
        <w:tc>
          <w:tcPr>
            <w:tcW w:w="1652"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b/>
              </w:rPr>
            </w:pPr>
            <w:r>
              <w:rPr>
                <w:rFonts w:hint="eastAsia" w:asciiTheme="minorEastAsia" w:hAnsiTheme="minorEastAsia" w:eastAsiaTheme="minorEastAsia" w:cstheme="minorEastAsia"/>
                <w:b/>
                <w:sz w:val="24"/>
                <w:szCs w:val="28"/>
              </w:rPr>
              <w:t>姓名</w:t>
            </w:r>
          </w:p>
        </w:tc>
        <w:tc>
          <w:tcPr>
            <w:tcW w:w="207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b/>
              </w:rPr>
            </w:pPr>
            <w:r>
              <w:rPr>
                <w:rFonts w:hint="eastAsia" w:asciiTheme="minorEastAsia" w:hAnsiTheme="minorEastAsia" w:eastAsiaTheme="minorEastAsia" w:cstheme="minorEastAsia"/>
                <w:b/>
                <w:sz w:val="24"/>
                <w:szCs w:val="28"/>
              </w:rPr>
              <w:t>职务</w:t>
            </w:r>
          </w:p>
        </w:tc>
        <w:tc>
          <w:tcPr>
            <w:tcW w:w="195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b/>
              </w:rPr>
            </w:pPr>
            <w:r>
              <w:rPr>
                <w:rFonts w:hint="eastAsia" w:asciiTheme="minorEastAsia" w:hAnsiTheme="minorEastAsia" w:eastAsiaTheme="minorEastAsia" w:cstheme="minorEastAsia"/>
                <w:b/>
                <w:sz w:val="24"/>
                <w:szCs w:val="28"/>
              </w:rPr>
              <w:t>手机</w:t>
            </w:r>
          </w:p>
        </w:tc>
        <w:tc>
          <w:tcPr>
            <w:tcW w:w="170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b/>
              </w:rPr>
            </w:pPr>
            <w:r>
              <w:rPr>
                <w:rFonts w:hint="eastAsia" w:asciiTheme="minorEastAsia" w:hAnsiTheme="minorEastAsia" w:eastAsiaTheme="minorEastAsia" w:cstheme="minorEastAsia"/>
                <w:b/>
                <w:sz w:val="24"/>
                <w:szCs w:val="28"/>
              </w:rPr>
              <w:t>办公电话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5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区  长</w:t>
            </w:r>
          </w:p>
        </w:tc>
        <w:tc>
          <w:tcPr>
            <w:tcW w:w="1652"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石廷伟</w:t>
            </w:r>
          </w:p>
        </w:tc>
        <w:tc>
          <w:tcPr>
            <w:tcW w:w="207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区委副书记、区长</w:t>
            </w:r>
          </w:p>
        </w:tc>
        <w:tc>
          <w:tcPr>
            <w:tcW w:w="195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13876866565</w:t>
            </w:r>
          </w:p>
        </w:tc>
        <w:tc>
          <w:tcPr>
            <w:tcW w:w="170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5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副区长</w:t>
            </w:r>
          </w:p>
        </w:tc>
        <w:tc>
          <w:tcPr>
            <w:tcW w:w="1652"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宋体" w:hAnsi="宋体" w:eastAsia="宋体" w:cs="宋体"/>
              </w:rPr>
            </w:pPr>
            <w:r>
              <w:rPr>
                <w:rFonts w:hint="eastAsia" w:asciiTheme="minorEastAsia" w:hAnsiTheme="minorEastAsia" w:eastAsiaTheme="minorEastAsia" w:cstheme="minorEastAsia"/>
                <w:sz w:val="24"/>
                <w:szCs w:val="24"/>
              </w:rPr>
              <w:t>邹红波</w:t>
            </w:r>
          </w:p>
        </w:tc>
        <w:tc>
          <w:tcPr>
            <w:tcW w:w="207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宋体" w:hAnsi="宋体" w:eastAsia="宋体" w:cs="宋体"/>
              </w:rPr>
            </w:pPr>
            <w:r>
              <w:rPr>
                <w:rFonts w:hint="eastAsia" w:asciiTheme="minorEastAsia" w:hAnsiTheme="minorEastAsia" w:eastAsiaTheme="minorEastAsia" w:cstheme="minorEastAsia"/>
                <w:sz w:val="24"/>
                <w:szCs w:val="24"/>
              </w:rPr>
              <w:t>区委常委、副区长</w:t>
            </w:r>
          </w:p>
        </w:tc>
        <w:tc>
          <w:tcPr>
            <w:tcW w:w="195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宋体" w:hAnsi="宋体" w:eastAsia="宋体" w:cs="宋体"/>
              </w:rPr>
            </w:pPr>
            <w:r>
              <w:rPr>
                <w:rFonts w:hint="eastAsia" w:asciiTheme="minorEastAsia" w:hAnsiTheme="minorEastAsia" w:eastAsiaTheme="minorEastAsia" w:cstheme="minorEastAsia"/>
                <w:sz w:val="24"/>
                <w:szCs w:val="24"/>
              </w:rPr>
              <w:t>15995868401</w:t>
            </w:r>
          </w:p>
        </w:tc>
        <w:tc>
          <w:tcPr>
            <w:tcW w:w="170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5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副区长</w:t>
            </w:r>
          </w:p>
        </w:tc>
        <w:tc>
          <w:tcPr>
            <w:tcW w:w="1652"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黄启鸣</w:t>
            </w:r>
          </w:p>
        </w:tc>
        <w:tc>
          <w:tcPr>
            <w:tcW w:w="207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副区长</w:t>
            </w:r>
          </w:p>
        </w:tc>
        <w:tc>
          <w:tcPr>
            <w:tcW w:w="195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13976795868</w:t>
            </w:r>
          </w:p>
        </w:tc>
        <w:tc>
          <w:tcPr>
            <w:tcW w:w="170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5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副区长</w:t>
            </w:r>
          </w:p>
        </w:tc>
        <w:tc>
          <w:tcPr>
            <w:tcW w:w="1652"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王洪明</w:t>
            </w:r>
          </w:p>
        </w:tc>
        <w:tc>
          <w:tcPr>
            <w:tcW w:w="207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副区长</w:t>
            </w:r>
          </w:p>
        </w:tc>
        <w:tc>
          <w:tcPr>
            <w:tcW w:w="195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13976198676</w:t>
            </w:r>
          </w:p>
        </w:tc>
        <w:tc>
          <w:tcPr>
            <w:tcW w:w="170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5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副区长</w:t>
            </w:r>
          </w:p>
        </w:tc>
        <w:tc>
          <w:tcPr>
            <w:tcW w:w="1652"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吴永恺</w:t>
            </w:r>
          </w:p>
        </w:tc>
        <w:tc>
          <w:tcPr>
            <w:tcW w:w="207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副区长</w:t>
            </w:r>
          </w:p>
        </w:tc>
        <w:tc>
          <w:tcPr>
            <w:tcW w:w="195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13876664706</w:t>
            </w:r>
          </w:p>
        </w:tc>
        <w:tc>
          <w:tcPr>
            <w:tcW w:w="170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5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副区长</w:t>
            </w:r>
          </w:p>
        </w:tc>
        <w:tc>
          <w:tcPr>
            <w:tcW w:w="1652"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符小恺</w:t>
            </w:r>
          </w:p>
        </w:tc>
        <w:tc>
          <w:tcPr>
            <w:tcW w:w="207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副区长</w:t>
            </w:r>
          </w:p>
        </w:tc>
        <w:tc>
          <w:tcPr>
            <w:tcW w:w="195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15808910973</w:t>
            </w:r>
          </w:p>
        </w:tc>
        <w:tc>
          <w:tcPr>
            <w:tcW w:w="170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5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副区长</w:t>
            </w:r>
          </w:p>
        </w:tc>
        <w:tc>
          <w:tcPr>
            <w:tcW w:w="1652"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宋体" w:hAnsi="宋体" w:eastAsia="宋体" w:cs="宋体"/>
              </w:rPr>
            </w:pPr>
            <w:r>
              <w:rPr>
                <w:rFonts w:hint="eastAsia" w:asciiTheme="minorEastAsia" w:hAnsiTheme="minorEastAsia" w:eastAsiaTheme="minorEastAsia" w:cstheme="minorEastAsia"/>
                <w:sz w:val="24"/>
                <w:szCs w:val="28"/>
              </w:rPr>
              <w:t>张东升</w:t>
            </w:r>
          </w:p>
        </w:tc>
        <w:tc>
          <w:tcPr>
            <w:tcW w:w="207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宋体" w:hAnsi="宋体" w:eastAsia="宋体" w:cs="宋体"/>
              </w:rPr>
            </w:pPr>
            <w:r>
              <w:rPr>
                <w:rFonts w:hint="eastAsia" w:asciiTheme="minorEastAsia" w:hAnsiTheme="minorEastAsia" w:eastAsiaTheme="minorEastAsia" w:cstheme="minorEastAsia"/>
                <w:sz w:val="24"/>
                <w:szCs w:val="28"/>
              </w:rPr>
              <w:t>副区长</w:t>
            </w:r>
          </w:p>
        </w:tc>
        <w:tc>
          <w:tcPr>
            <w:tcW w:w="195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宋体" w:hAnsi="宋体" w:eastAsia="宋体" w:cs="宋体"/>
              </w:rPr>
            </w:pPr>
            <w:r>
              <w:rPr>
                <w:rFonts w:hint="eastAsia" w:asciiTheme="minorEastAsia" w:hAnsiTheme="minorEastAsia" w:eastAsiaTheme="minorEastAsia" w:cstheme="minorEastAsia"/>
                <w:sz w:val="24"/>
                <w:szCs w:val="28"/>
              </w:rPr>
              <w:t>13876791846</w:t>
            </w:r>
          </w:p>
        </w:tc>
        <w:tc>
          <w:tcPr>
            <w:tcW w:w="170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5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区应急管理局</w:t>
            </w:r>
          </w:p>
        </w:tc>
        <w:tc>
          <w:tcPr>
            <w:tcW w:w="1652"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蔡亦广</w:t>
            </w:r>
          </w:p>
        </w:tc>
        <w:tc>
          <w:tcPr>
            <w:tcW w:w="207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局长</w:t>
            </w:r>
          </w:p>
        </w:tc>
        <w:tc>
          <w:tcPr>
            <w:tcW w:w="195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13637540701</w:t>
            </w:r>
          </w:p>
        </w:tc>
        <w:tc>
          <w:tcPr>
            <w:tcW w:w="170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38888133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5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区组织部</w:t>
            </w:r>
          </w:p>
        </w:tc>
        <w:tc>
          <w:tcPr>
            <w:tcW w:w="1652"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蔡晓晶</w:t>
            </w:r>
          </w:p>
        </w:tc>
        <w:tc>
          <w:tcPr>
            <w:tcW w:w="207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部长</w:t>
            </w:r>
          </w:p>
        </w:tc>
        <w:tc>
          <w:tcPr>
            <w:tcW w:w="195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15120803633</w:t>
            </w:r>
          </w:p>
        </w:tc>
        <w:tc>
          <w:tcPr>
            <w:tcW w:w="170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88810619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54" w:type="dxa"/>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区委统战部</w:t>
            </w:r>
          </w:p>
        </w:tc>
        <w:tc>
          <w:tcPr>
            <w:tcW w:w="1652"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黄泽纬</w:t>
            </w:r>
          </w:p>
        </w:tc>
        <w:tc>
          <w:tcPr>
            <w:tcW w:w="207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部长</w:t>
            </w:r>
          </w:p>
        </w:tc>
        <w:tc>
          <w:tcPr>
            <w:tcW w:w="195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13976844800</w:t>
            </w:r>
          </w:p>
        </w:tc>
        <w:tc>
          <w:tcPr>
            <w:tcW w:w="170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88811341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5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区委宣传部</w:t>
            </w:r>
          </w:p>
        </w:tc>
        <w:tc>
          <w:tcPr>
            <w:tcW w:w="1652"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李丽英</w:t>
            </w:r>
          </w:p>
        </w:tc>
        <w:tc>
          <w:tcPr>
            <w:tcW w:w="207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部长</w:t>
            </w:r>
          </w:p>
        </w:tc>
        <w:tc>
          <w:tcPr>
            <w:tcW w:w="195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16525876688</w:t>
            </w:r>
          </w:p>
        </w:tc>
        <w:tc>
          <w:tcPr>
            <w:tcW w:w="170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88812566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5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区委政法委</w:t>
            </w:r>
          </w:p>
        </w:tc>
        <w:tc>
          <w:tcPr>
            <w:tcW w:w="1652"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卢家强</w:t>
            </w:r>
          </w:p>
        </w:tc>
        <w:tc>
          <w:tcPr>
            <w:tcW w:w="207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政法委书记</w:t>
            </w:r>
          </w:p>
        </w:tc>
        <w:tc>
          <w:tcPr>
            <w:tcW w:w="195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13876226555</w:t>
            </w:r>
          </w:p>
        </w:tc>
        <w:tc>
          <w:tcPr>
            <w:tcW w:w="170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88818991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5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区政府办公室</w:t>
            </w:r>
          </w:p>
        </w:tc>
        <w:tc>
          <w:tcPr>
            <w:tcW w:w="1652"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李峻昭</w:t>
            </w:r>
          </w:p>
        </w:tc>
        <w:tc>
          <w:tcPr>
            <w:tcW w:w="207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主任</w:t>
            </w:r>
          </w:p>
        </w:tc>
        <w:tc>
          <w:tcPr>
            <w:tcW w:w="195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18976414289</w:t>
            </w:r>
          </w:p>
        </w:tc>
        <w:tc>
          <w:tcPr>
            <w:tcW w:w="170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38888024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5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区住房和城乡建设局</w:t>
            </w:r>
          </w:p>
        </w:tc>
        <w:tc>
          <w:tcPr>
            <w:tcW w:w="1652"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lang w:val="en-US" w:eastAsia="zh-CN"/>
              </w:rPr>
              <w:t>代传军</w:t>
            </w:r>
          </w:p>
        </w:tc>
        <w:tc>
          <w:tcPr>
            <w:tcW w:w="207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局长</w:t>
            </w:r>
          </w:p>
        </w:tc>
        <w:tc>
          <w:tcPr>
            <w:tcW w:w="195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lang w:val="en-US" w:eastAsia="zh-CN"/>
              </w:rPr>
              <w:t>13138963261</w:t>
            </w:r>
          </w:p>
        </w:tc>
        <w:tc>
          <w:tcPr>
            <w:tcW w:w="170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38888115</w:t>
            </w:r>
          </w:p>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38888116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5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EastAsia"/>
              </w:rPr>
            </w:pPr>
            <w:r>
              <w:rPr>
                <w:rFonts w:hint="eastAsia" w:asciiTheme="minorEastAsia" w:hAnsiTheme="minorEastAsia" w:eastAsiaTheme="minorEastAsia" w:cstheme="minorEastAsia"/>
                <w:sz w:val="24"/>
                <w:szCs w:val="28"/>
              </w:rPr>
              <w:t>区交通运输局</w:t>
            </w:r>
          </w:p>
        </w:tc>
        <w:tc>
          <w:tcPr>
            <w:tcW w:w="1652"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宋体" w:hAnsi="宋体" w:eastAsia="宋体" w:cs="宋体"/>
              </w:rPr>
            </w:pPr>
            <w:r>
              <w:rPr>
                <w:rFonts w:hint="eastAsia" w:asciiTheme="minorEastAsia" w:hAnsiTheme="minorEastAsia" w:eastAsiaTheme="minorEastAsia" w:cstheme="minorEastAsia"/>
                <w:sz w:val="24"/>
                <w:szCs w:val="28"/>
              </w:rPr>
              <w:t>简元升</w:t>
            </w:r>
          </w:p>
        </w:tc>
        <w:tc>
          <w:tcPr>
            <w:tcW w:w="207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宋体" w:hAnsi="宋体" w:eastAsia="宋体" w:cs="宋体"/>
              </w:rPr>
            </w:pPr>
            <w:r>
              <w:rPr>
                <w:rFonts w:hint="eastAsia" w:asciiTheme="minorEastAsia" w:hAnsiTheme="minorEastAsia" w:eastAsiaTheme="minorEastAsia" w:cstheme="minorEastAsia"/>
                <w:sz w:val="24"/>
                <w:szCs w:val="28"/>
              </w:rPr>
              <w:t>局长</w:t>
            </w:r>
          </w:p>
        </w:tc>
        <w:tc>
          <w:tcPr>
            <w:tcW w:w="195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宋体" w:hAnsi="宋体" w:eastAsia="宋体" w:cs="宋体"/>
              </w:rPr>
            </w:pPr>
            <w:r>
              <w:rPr>
                <w:rFonts w:hint="eastAsia" w:asciiTheme="minorEastAsia" w:hAnsiTheme="minorEastAsia" w:eastAsiaTheme="minorEastAsia" w:cstheme="minorEastAsia"/>
                <w:sz w:val="24"/>
                <w:szCs w:val="28"/>
              </w:rPr>
              <w:t>13976119837</w:t>
            </w:r>
          </w:p>
        </w:tc>
        <w:tc>
          <w:tcPr>
            <w:tcW w:w="170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宋体" w:hAnsi="宋体" w:eastAsia="宋体" w:cs="宋体"/>
              </w:rPr>
            </w:pPr>
            <w:r>
              <w:rPr>
                <w:rFonts w:hint="eastAsia" w:asciiTheme="minorEastAsia" w:hAnsiTheme="minorEastAsia" w:eastAsiaTheme="minorEastAsia" w:cstheme="minorEastAsia"/>
                <w:sz w:val="24"/>
                <w:szCs w:val="28"/>
              </w:rPr>
              <w:t>38232249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54" w:type="dxa"/>
            <w:vAlign w:val="top"/>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EastAsia"/>
              </w:rPr>
            </w:pPr>
            <w:r>
              <w:rPr>
                <w:rFonts w:hint="eastAsia" w:asciiTheme="minorEastAsia" w:hAnsiTheme="minorEastAsia" w:eastAsiaTheme="minorEastAsia" w:cstheme="minorEastAsia"/>
                <w:sz w:val="24"/>
                <w:szCs w:val="28"/>
              </w:rPr>
              <w:t>区</w:t>
            </w:r>
            <w:r>
              <w:rPr>
                <w:rFonts w:hint="eastAsia" w:asciiTheme="minorEastAsia" w:hAnsiTheme="minorEastAsia" w:eastAsiaTheme="minorEastAsia" w:cstheme="minorEastAsia"/>
                <w:sz w:val="24"/>
                <w:szCs w:val="28"/>
                <w:lang w:val="en-US" w:eastAsia="zh-CN"/>
              </w:rPr>
              <w:t>人民武</w:t>
            </w:r>
            <w:r>
              <w:rPr>
                <w:rFonts w:hint="eastAsia" w:asciiTheme="minorEastAsia" w:hAnsiTheme="minorEastAsia" w:eastAsiaTheme="minorEastAsia" w:cstheme="minorEastAsia"/>
                <w:sz w:val="24"/>
                <w:szCs w:val="28"/>
              </w:rPr>
              <w:t>装部</w:t>
            </w:r>
          </w:p>
        </w:tc>
        <w:tc>
          <w:tcPr>
            <w:tcW w:w="1652"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lang w:val="en-US" w:eastAsia="zh-CN"/>
              </w:rPr>
              <w:t>杜有为</w:t>
            </w:r>
          </w:p>
        </w:tc>
        <w:tc>
          <w:tcPr>
            <w:tcW w:w="207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lang w:val="en-US" w:eastAsia="zh-CN"/>
              </w:rPr>
              <w:t>参谋</w:t>
            </w:r>
          </w:p>
        </w:tc>
        <w:tc>
          <w:tcPr>
            <w:tcW w:w="195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lang w:val="en-US" w:eastAsia="zh-CN"/>
              </w:rPr>
              <w:t>17340685603</w:t>
            </w:r>
          </w:p>
        </w:tc>
        <w:tc>
          <w:tcPr>
            <w:tcW w:w="170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5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区财政局</w:t>
            </w:r>
          </w:p>
        </w:tc>
        <w:tc>
          <w:tcPr>
            <w:tcW w:w="1652"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游宇清</w:t>
            </w:r>
          </w:p>
        </w:tc>
        <w:tc>
          <w:tcPr>
            <w:tcW w:w="207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局长</w:t>
            </w:r>
          </w:p>
        </w:tc>
        <w:tc>
          <w:tcPr>
            <w:tcW w:w="195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13876593836</w:t>
            </w:r>
          </w:p>
        </w:tc>
        <w:tc>
          <w:tcPr>
            <w:tcW w:w="170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38888056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54" w:type="dxa"/>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区司法局</w:t>
            </w:r>
          </w:p>
        </w:tc>
        <w:tc>
          <w:tcPr>
            <w:tcW w:w="1652"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丁舰</w:t>
            </w:r>
          </w:p>
        </w:tc>
        <w:tc>
          <w:tcPr>
            <w:tcW w:w="207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局长</w:t>
            </w:r>
          </w:p>
        </w:tc>
        <w:tc>
          <w:tcPr>
            <w:tcW w:w="195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18608985601</w:t>
            </w:r>
          </w:p>
        </w:tc>
        <w:tc>
          <w:tcPr>
            <w:tcW w:w="170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38888086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5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市综合行政执法局海棠分局</w:t>
            </w:r>
          </w:p>
        </w:tc>
        <w:tc>
          <w:tcPr>
            <w:tcW w:w="1652"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王文正</w:t>
            </w:r>
          </w:p>
        </w:tc>
        <w:tc>
          <w:tcPr>
            <w:tcW w:w="207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局长</w:t>
            </w:r>
          </w:p>
        </w:tc>
        <w:tc>
          <w:tcPr>
            <w:tcW w:w="195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13976976969</w:t>
            </w:r>
          </w:p>
        </w:tc>
        <w:tc>
          <w:tcPr>
            <w:tcW w:w="170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38888101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54" w:type="dxa"/>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三亚市生态环境局海棠分局</w:t>
            </w:r>
          </w:p>
        </w:tc>
        <w:tc>
          <w:tcPr>
            <w:tcW w:w="1652"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叶志军</w:t>
            </w:r>
          </w:p>
        </w:tc>
        <w:tc>
          <w:tcPr>
            <w:tcW w:w="207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副局长</w:t>
            </w:r>
          </w:p>
        </w:tc>
        <w:tc>
          <w:tcPr>
            <w:tcW w:w="195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13876206584</w:t>
            </w:r>
          </w:p>
        </w:tc>
        <w:tc>
          <w:tcPr>
            <w:tcW w:w="170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38888053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5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区医疗保障局</w:t>
            </w:r>
          </w:p>
        </w:tc>
        <w:tc>
          <w:tcPr>
            <w:tcW w:w="1652"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已并人社局</w:t>
            </w:r>
          </w:p>
        </w:tc>
        <w:tc>
          <w:tcPr>
            <w:tcW w:w="207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p>
        </w:tc>
        <w:tc>
          <w:tcPr>
            <w:tcW w:w="195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p>
        </w:tc>
        <w:tc>
          <w:tcPr>
            <w:tcW w:w="170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38888198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54" w:type="dxa"/>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区农业农村局</w:t>
            </w:r>
          </w:p>
        </w:tc>
        <w:tc>
          <w:tcPr>
            <w:tcW w:w="1652"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lang w:val="en-US" w:eastAsia="zh-CN"/>
              </w:rPr>
              <w:t>温永昌</w:t>
            </w:r>
          </w:p>
        </w:tc>
        <w:tc>
          <w:tcPr>
            <w:tcW w:w="207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局长</w:t>
            </w:r>
          </w:p>
        </w:tc>
        <w:tc>
          <w:tcPr>
            <w:tcW w:w="195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lang w:val="en-US" w:eastAsia="zh-CN"/>
              </w:rPr>
              <w:t>18976588335</w:t>
            </w:r>
          </w:p>
        </w:tc>
        <w:tc>
          <w:tcPr>
            <w:tcW w:w="170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38888167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5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区发展和改革委员会</w:t>
            </w:r>
          </w:p>
        </w:tc>
        <w:tc>
          <w:tcPr>
            <w:tcW w:w="1652"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lang w:val="en-US" w:eastAsia="zh-CN"/>
              </w:rPr>
              <w:t>黎晓菲</w:t>
            </w:r>
          </w:p>
        </w:tc>
        <w:tc>
          <w:tcPr>
            <w:tcW w:w="207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主任</w:t>
            </w:r>
          </w:p>
        </w:tc>
        <w:tc>
          <w:tcPr>
            <w:tcW w:w="195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lang w:val="en-US" w:eastAsia="zh-CN"/>
              </w:rPr>
              <w:t>13637606938</w:t>
            </w:r>
          </w:p>
        </w:tc>
        <w:tc>
          <w:tcPr>
            <w:tcW w:w="170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38888035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27" w:hRule="atLeast"/>
          <w:jc w:val="center"/>
        </w:trPr>
        <w:tc>
          <w:tcPr>
            <w:tcW w:w="2154" w:type="dxa"/>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区旅游和文化广电体育局</w:t>
            </w:r>
          </w:p>
        </w:tc>
        <w:tc>
          <w:tcPr>
            <w:tcW w:w="1652"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杨静</w:t>
            </w:r>
          </w:p>
        </w:tc>
        <w:tc>
          <w:tcPr>
            <w:tcW w:w="207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局长</w:t>
            </w:r>
          </w:p>
        </w:tc>
        <w:tc>
          <w:tcPr>
            <w:tcW w:w="195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18876082386</w:t>
            </w:r>
          </w:p>
        </w:tc>
        <w:tc>
          <w:tcPr>
            <w:tcW w:w="1707" w:type="dxa"/>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38888046</w:t>
            </w:r>
          </w:p>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38888047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区教育局</w:t>
            </w:r>
          </w:p>
        </w:tc>
        <w:tc>
          <w:tcPr>
            <w:tcW w:w="1652"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钟向能</w:t>
            </w:r>
          </w:p>
        </w:tc>
        <w:tc>
          <w:tcPr>
            <w:tcW w:w="2078"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局长</w:t>
            </w:r>
          </w:p>
        </w:tc>
        <w:tc>
          <w:tcPr>
            <w:tcW w:w="195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13876841106</w:t>
            </w:r>
          </w:p>
        </w:tc>
        <w:tc>
          <w:tcPr>
            <w:tcW w:w="1707" w:type="dxa"/>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38888070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区人力资源和社会保障局</w:t>
            </w:r>
          </w:p>
        </w:tc>
        <w:tc>
          <w:tcPr>
            <w:tcW w:w="1652"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余鑫</w:t>
            </w:r>
          </w:p>
        </w:tc>
        <w:tc>
          <w:tcPr>
            <w:tcW w:w="2078"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局长</w:t>
            </w:r>
          </w:p>
        </w:tc>
        <w:tc>
          <w:tcPr>
            <w:tcW w:w="195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13307682241</w:t>
            </w:r>
          </w:p>
        </w:tc>
        <w:tc>
          <w:tcPr>
            <w:tcW w:w="1707" w:type="dxa"/>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88810267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区卫生健康委员会</w:t>
            </w:r>
            <w:bookmarkStart w:id="51" w:name="_GoBack"/>
            <w:bookmarkEnd w:id="51"/>
          </w:p>
        </w:tc>
        <w:tc>
          <w:tcPr>
            <w:tcW w:w="1652"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钟铭</w:t>
            </w:r>
          </w:p>
        </w:tc>
        <w:tc>
          <w:tcPr>
            <w:tcW w:w="2078"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主任</w:t>
            </w:r>
          </w:p>
        </w:tc>
        <w:tc>
          <w:tcPr>
            <w:tcW w:w="195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15091996140</w:t>
            </w:r>
          </w:p>
        </w:tc>
        <w:tc>
          <w:tcPr>
            <w:tcW w:w="1707" w:type="dxa"/>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88812580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区民政局</w:t>
            </w:r>
          </w:p>
        </w:tc>
        <w:tc>
          <w:tcPr>
            <w:tcW w:w="1652"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于建锐</w:t>
            </w:r>
          </w:p>
        </w:tc>
        <w:tc>
          <w:tcPr>
            <w:tcW w:w="2078"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局长</w:t>
            </w:r>
          </w:p>
        </w:tc>
        <w:tc>
          <w:tcPr>
            <w:tcW w:w="195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15338923828</w:t>
            </w:r>
          </w:p>
        </w:tc>
        <w:tc>
          <w:tcPr>
            <w:tcW w:w="1707" w:type="dxa"/>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38888092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区水务林业局</w:t>
            </w:r>
          </w:p>
        </w:tc>
        <w:tc>
          <w:tcPr>
            <w:tcW w:w="1652"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刘少峙</w:t>
            </w:r>
          </w:p>
        </w:tc>
        <w:tc>
          <w:tcPr>
            <w:tcW w:w="2078"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局长</w:t>
            </w:r>
          </w:p>
        </w:tc>
        <w:tc>
          <w:tcPr>
            <w:tcW w:w="195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15607639025</w:t>
            </w:r>
          </w:p>
        </w:tc>
        <w:tc>
          <w:tcPr>
            <w:tcW w:w="1707" w:type="dxa"/>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38888126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区总工会</w:t>
            </w:r>
          </w:p>
        </w:tc>
        <w:tc>
          <w:tcPr>
            <w:tcW w:w="1652"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黄锐</w:t>
            </w:r>
          </w:p>
        </w:tc>
        <w:tc>
          <w:tcPr>
            <w:tcW w:w="2078"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主席</w:t>
            </w:r>
          </w:p>
        </w:tc>
        <w:tc>
          <w:tcPr>
            <w:tcW w:w="195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13876567127</w:t>
            </w:r>
          </w:p>
        </w:tc>
        <w:tc>
          <w:tcPr>
            <w:tcW w:w="1707" w:type="dxa"/>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88755311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市自然资源和规划局海棠分局</w:t>
            </w:r>
          </w:p>
        </w:tc>
        <w:tc>
          <w:tcPr>
            <w:tcW w:w="1652"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lang w:val="en-US" w:eastAsia="zh-CN"/>
              </w:rPr>
              <w:t>林平</w:t>
            </w:r>
          </w:p>
        </w:tc>
        <w:tc>
          <w:tcPr>
            <w:tcW w:w="2078"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局长</w:t>
            </w:r>
          </w:p>
        </w:tc>
        <w:tc>
          <w:tcPr>
            <w:tcW w:w="195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lang w:val="en-US" w:eastAsia="zh-CN"/>
              </w:rPr>
              <w:t>13086061381</w:t>
            </w:r>
          </w:p>
        </w:tc>
        <w:tc>
          <w:tcPr>
            <w:tcW w:w="1707" w:type="dxa"/>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88200896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区商务局</w:t>
            </w:r>
          </w:p>
        </w:tc>
        <w:tc>
          <w:tcPr>
            <w:tcW w:w="1652"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阮威</w:t>
            </w:r>
          </w:p>
        </w:tc>
        <w:tc>
          <w:tcPr>
            <w:tcW w:w="2078"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局长</w:t>
            </w:r>
          </w:p>
        </w:tc>
        <w:tc>
          <w:tcPr>
            <w:tcW w:w="195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15607623722</w:t>
            </w:r>
          </w:p>
        </w:tc>
        <w:tc>
          <w:tcPr>
            <w:tcW w:w="1707" w:type="dxa"/>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38888211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区供电所</w:t>
            </w:r>
          </w:p>
        </w:tc>
        <w:tc>
          <w:tcPr>
            <w:tcW w:w="1652"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周正威</w:t>
            </w:r>
          </w:p>
        </w:tc>
        <w:tc>
          <w:tcPr>
            <w:tcW w:w="2078"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所长</w:t>
            </w:r>
          </w:p>
        </w:tc>
        <w:tc>
          <w:tcPr>
            <w:tcW w:w="195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18789827466</w:t>
            </w:r>
          </w:p>
        </w:tc>
        <w:tc>
          <w:tcPr>
            <w:tcW w:w="1707" w:type="dxa"/>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18976442016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市公安局</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海棠分局</w:t>
            </w:r>
          </w:p>
        </w:tc>
        <w:tc>
          <w:tcPr>
            <w:tcW w:w="1652"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梁营</w:t>
            </w:r>
          </w:p>
        </w:tc>
        <w:tc>
          <w:tcPr>
            <w:tcW w:w="2078"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副区长、公安局局长</w:t>
            </w:r>
          </w:p>
        </w:tc>
        <w:tc>
          <w:tcPr>
            <w:tcW w:w="195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13907609666</w:t>
            </w:r>
          </w:p>
        </w:tc>
        <w:tc>
          <w:tcPr>
            <w:tcW w:w="1707" w:type="dxa"/>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38273013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54" w:type="dxa"/>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区消防救援大队</w:t>
            </w:r>
          </w:p>
        </w:tc>
        <w:tc>
          <w:tcPr>
            <w:tcW w:w="1652"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江帅</w:t>
            </w:r>
          </w:p>
        </w:tc>
        <w:tc>
          <w:tcPr>
            <w:tcW w:w="2078"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队长</w:t>
            </w:r>
          </w:p>
        </w:tc>
        <w:tc>
          <w:tcPr>
            <w:tcW w:w="195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napToGrid/>
                <w:color w:val="auto"/>
              </w:rPr>
            </w:pPr>
            <w:r>
              <w:rPr>
                <w:rFonts w:hint="eastAsia" w:asciiTheme="minorEastAsia" w:hAnsiTheme="minorEastAsia" w:eastAsiaTheme="minorEastAsia" w:cstheme="minorEastAsia"/>
                <w:sz w:val="24"/>
                <w:szCs w:val="28"/>
                <w:lang w:bidi="zh-TW"/>
              </w:rPr>
              <w:t>13518029644</w:t>
            </w:r>
          </w:p>
        </w:tc>
        <w:tc>
          <w:tcPr>
            <w:tcW w:w="1707" w:type="dxa"/>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88755005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54" w:type="dxa"/>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市交警支队</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海棠区大队</w:t>
            </w:r>
          </w:p>
        </w:tc>
        <w:tc>
          <w:tcPr>
            <w:tcW w:w="1652"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毛向勤</w:t>
            </w:r>
          </w:p>
        </w:tc>
        <w:tc>
          <w:tcPr>
            <w:tcW w:w="2078"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队长</w:t>
            </w:r>
          </w:p>
        </w:tc>
        <w:tc>
          <w:tcPr>
            <w:tcW w:w="195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13379993399</w:t>
            </w:r>
          </w:p>
        </w:tc>
        <w:tc>
          <w:tcPr>
            <w:tcW w:w="1707" w:type="dxa"/>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88813112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藤桥派出所</w:t>
            </w:r>
          </w:p>
        </w:tc>
        <w:tc>
          <w:tcPr>
            <w:tcW w:w="1652"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贾博儒</w:t>
            </w:r>
          </w:p>
        </w:tc>
        <w:tc>
          <w:tcPr>
            <w:tcW w:w="2078"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所长</w:t>
            </w:r>
          </w:p>
        </w:tc>
        <w:tc>
          <w:tcPr>
            <w:tcW w:w="195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13379995992</w:t>
            </w:r>
          </w:p>
        </w:tc>
        <w:tc>
          <w:tcPr>
            <w:tcW w:w="17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88811889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林旺派出所</w:t>
            </w:r>
          </w:p>
        </w:tc>
        <w:tc>
          <w:tcPr>
            <w:tcW w:w="1652"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胡俊凯</w:t>
            </w:r>
          </w:p>
        </w:tc>
        <w:tc>
          <w:tcPr>
            <w:tcW w:w="2078"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所长</w:t>
            </w:r>
          </w:p>
        </w:tc>
        <w:tc>
          <w:tcPr>
            <w:tcW w:w="195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15108985295</w:t>
            </w:r>
          </w:p>
        </w:tc>
        <w:tc>
          <w:tcPr>
            <w:tcW w:w="17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88819899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藤桥海岸派出所</w:t>
            </w:r>
          </w:p>
        </w:tc>
        <w:tc>
          <w:tcPr>
            <w:tcW w:w="1652"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高伟</w:t>
            </w:r>
          </w:p>
        </w:tc>
        <w:tc>
          <w:tcPr>
            <w:tcW w:w="2078"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所长</w:t>
            </w:r>
          </w:p>
        </w:tc>
        <w:tc>
          <w:tcPr>
            <w:tcW w:w="195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18389747321</w:t>
            </w:r>
          </w:p>
        </w:tc>
        <w:tc>
          <w:tcPr>
            <w:tcW w:w="17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88811027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后海边防派出所</w:t>
            </w:r>
          </w:p>
        </w:tc>
        <w:tc>
          <w:tcPr>
            <w:tcW w:w="1652"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吴育王</w:t>
            </w:r>
          </w:p>
        </w:tc>
        <w:tc>
          <w:tcPr>
            <w:tcW w:w="2078"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所长</w:t>
            </w:r>
          </w:p>
        </w:tc>
        <w:tc>
          <w:tcPr>
            <w:tcW w:w="1950"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13807531931</w:t>
            </w:r>
          </w:p>
        </w:tc>
        <w:tc>
          <w:tcPr>
            <w:tcW w:w="17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rPr>
            </w:pPr>
            <w:r>
              <w:rPr>
                <w:rFonts w:hint="eastAsia" w:asciiTheme="minorEastAsia" w:hAnsiTheme="minorEastAsia" w:eastAsiaTheme="minorEastAsia" w:cstheme="minorEastAsia"/>
                <w:sz w:val="24"/>
                <w:szCs w:val="28"/>
              </w:rPr>
              <w:t>88751009</w:t>
            </w:r>
          </w:p>
        </w:tc>
      </w:tr>
    </w:tbl>
    <w:p>
      <w:pPr>
        <w:rPr>
          <w:rFonts w:eastAsia="宋体"/>
          <w:snapToGrid/>
        </w:rPr>
      </w:pPr>
    </w:p>
    <w:p>
      <w:pPr>
        <w:pStyle w:val="2"/>
      </w:pPr>
    </w:p>
    <w:p>
      <w:pPr>
        <w:pStyle w:val="4"/>
        <w:spacing w:line="360" w:lineRule="auto"/>
        <w:ind w:firstLine="643"/>
        <w:rPr>
          <w:rFonts w:asciiTheme="minorEastAsia" w:hAnsiTheme="minorEastAsia" w:eastAsiaTheme="minorEastAsia"/>
          <w:b/>
        </w:rPr>
      </w:pPr>
      <w:bookmarkStart w:id="49" w:name="_Toc16992"/>
      <w:r>
        <w:rPr>
          <w:rFonts w:asciiTheme="minorEastAsia" w:hAnsiTheme="minorEastAsia" w:eastAsiaTheme="minorEastAsia"/>
          <w:b/>
        </w:rPr>
        <w:t>9.</w:t>
      </w:r>
      <w:r>
        <w:rPr>
          <w:rFonts w:hint="eastAsia" w:asciiTheme="minorEastAsia" w:hAnsiTheme="minorEastAsia" w:eastAsiaTheme="minorEastAsia"/>
          <w:b/>
        </w:rPr>
        <w:t>2 海棠区自然灾害救助应急专家通讯录</w:t>
      </w:r>
      <w:bookmarkEnd w:id="49"/>
    </w:p>
    <w:tbl>
      <w:tblPr>
        <w:tblStyle w:val="13"/>
        <w:tblW w:w="9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121"/>
        <w:gridCol w:w="3753"/>
        <w:gridCol w:w="1444"/>
        <w:gridCol w:w="1299"/>
        <w:gridCol w:w="1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jc w:val="center"/>
        </w:trPr>
        <w:tc>
          <w:tcPr>
            <w:tcW w:w="1121"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Theme="minorEastAsia" w:hAnsiTheme="minorEastAsia" w:eastAsiaTheme="minorEastAsia" w:cstheme="minorEastAsia"/>
                <w:b/>
                <w:snapToGrid/>
                <w:color w:val="auto"/>
              </w:rPr>
            </w:pPr>
            <w:r>
              <w:rPr>
                <w:rFonts w:hint="eastAsia" w:asciiTheme="minorEastAsia" w:hAnsiTheme="minorEastAsia" w:eastAsiaTheme="minorEastAsia" w:cstheme="minorEastAsia"/>
                <w:b/>
              </w:rPr>
              <w:t>姓名</w:t>
            </w:r>
          </w:p>
        </w:tc>
        <w:tc>
          <w:tcPr>
            <w:tcW w:w="3753"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工作单位</w:t>
            </w:r>
          </w:p>
        </w:tc>
        <w:tc>
          <w:tcPr>
            <w:tcW w:w="1444"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职称</w:t>
            </w:r>
          </w:p>
        </w:tc>
        <w:tc>
          <w:tcPr>
            <w:tcW w:w="129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专业</w:t>
            </w:r>
          </w:p>
        </w:tc>
        <w:tc>
          <w:tcPr>
            <w:tcW w:w="1494"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 w:hRule="atLeast"/>
          <w:jc w:val="center"/>
        </w:trPr>
        <w:tc>
          <w:tcPr>
            <w:tcW w:w="11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rPr>
            </w:pPr>
          </w:p>
        </w:tc>
        <w:tc>
          <w:tcPr>
            <w:tcW w:w="375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cstheme="minorEastAsia"/>
              </w:rPr>
            </w:pPr>
          </w:p>
        </w:tc>
        <w:tc>
          <w:tcPr>
            <w:tcW w:w="14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rPr>
            </w:pPr>
          </w:p>
        </w:tc>
        <w:tc>
          <w:tcPr>
            <w:tcW w:w="12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rPr>
            </w:pPr>
          </w:p>
        </w:tc>
        <w:tc>
          <w:tcPr>
            <w:tcW w:w="14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 w:hRule="atLeast"/>
          <w:jc w:val="center"/>
        </w:trPr>
        <w:tc>
          <w:tcPr>
            <w:tcW w:w="11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rPr>
            </w:pPr>
          </w:p>
        </w:tc>
        <w:tc>
          <w:tcPr>
            <w:tcW w:w="375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cstheme="minorEastAsia"/>
              </w:rPr>
            </w:pPr>
          </w:p>
        </w:tc>
        <w:tc>
          <w:tcPr>
            <w:tcW w:w="14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rPr>
            </w:pPr>
          </w:p>
        </w:tc>
        <w:tc>
          <w:tcPr>
            <w:tcW w:w="12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rPr>
            </w:pPr>
          </w:p>
        </w:tc>
        <w:tc>
          <w:tcPr>
            <w:tcW w:w="14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 w:hRule="atLeast"/>
          <w:jc w:val="center"/>
        </w:trPr>
        <w:tc>
          <w:tcPr>
            <w:tcW w:w="11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rPr>
            </w:pPr>
          </w:p>
        </w:tc>
        <w:tc>
          <w:tcPr>
            <w:tcW w:w="375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cstheme="minorEastAsia"/>
              </w:rPr>
            </w:pPr>
          </w:p>
        </w:tc>
        <w:tc>
          <w:tcPr>
            <w:tcW w:w="14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rPr>
            </w:pPr>
          </w:p>
        </w:tc>
        <w:tc>
          <w:tcPr>
            <w:tcW w:w="12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rPr>
            </w:pPr>
          </w:p>
        </w:tc>
        <w:tc>
          <w:tcPr>
            <w:tcW w:w="14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 w:hRule="atLeast"/>
          <w:jc w:val="center"/>
        </w:trPr>
        <w:tc>
          <w:tcPr>
            <w:tcW w:w="11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rPr>
            </w:pPr>
          </w:p>
        </w:tc>
        <w:tc>
          <w:tcPr>
            <w:tcW w:w="375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cstheme="minorEastAsia"/>
              </w:rPr>
            </w:pPr>
          </w:p>
        </w:tc>
        <w:tc>
          <w:tcPr>
            <w:tcW w:w="14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rPr>
            </w:pPr>
          </w:p>
        </w:tc>
        <w:tc>
          <w:tcPr>
            <w:tcW w:w="12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rPr>
            </w:pPr>
          </w:p>
        </w:tc>
        <w:tc>
          <w:tcPr>
            <w:tcW w:w="14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rPr>
            </w:pPr>
          </w:p>
        </w:tc>
      </w:tr>
    </w:tbl>
    <w:p>
      <w:pPr>
        <w:rPr>
          <w:rFonts w:eastAsiaTheme="minorEastAsia"/>
        </w:rPr>
      </w:pPr>
    </w:p>
    <w:p>
      <w:pPr>
        <w:pStyle w:val="4"/>
        <w:spacing w:line="360" w:lineRule="auto"/>
        <w:ind w:firstLine="643"/>
        <w:rPr>
          <w:rFonts w:asciiTheme="minorEastAsia" w:hAnsiTheme="minorEastAsia" w:eastAsiaTheme="minorEastAsia"/>
          <w:b/>
        </w:rPr>
      </w:pPr>
      <w:bookmarkStart w:id="50" w:name="_Toc13188"/>
      <w:r>
        <w:rPr>
          <w:rFonts w:asciiTheme="minorEastAsia" w:hAnsiTheme="minorEastAsia" w:eastAsiaTheme="minorEastAsia"/>
          <w:b/>
        </w:rPr>
        <w:t>9.3</w:t>
      </w:r>
      <w:r>
        <w:rPr>
          <w:rFonts w:hint="eastAsia" w:asciiTheme="minorEastAsia" w:hAnsiTheme="minorEastAsia" w:eastAsiaTheme="minorEastAsia"/>
          <w:b/>
        </w:rPr>
        <w:t xml:space="preserve"> 海棠区各村（居）委会应急通讯录</w:t>
      </w:r>
      <w:bookmarkEnd w:id="50"/>
    </w:p>
    <w:tbl>
      <w:tblPr>
        <w:tblStyle w:val="13"/>
        <w:tblW w:w="9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3"/>
        <w:gridCol w:w="1520"/>
        <w:gridCol w:w="1920"/>
        <w:gridCol w:w="2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3593" w:type="dxa"/>
            <w:vAlign w:val="center"/>
          </w:tcPr>
          <w:p>
            <w:pPr>
              <w:spacing w:line="60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sz w:val="24"/>
                <w:szCs w:val="28"/>
              </w:rPr>
              <w:t>单位名称</w:t>
            </w:r>
          </w:p>
        </w:tc>
        <w:tc>
          <w:tcPr>
            <w:tcW w:w="1520" w:type="dxa"/>
            <w:vAlign w:val="center"/>
          </w:tcPr>
          <w:p>
            <w:pPr>
              <w:spacing w:line="60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sz w:val="24"/>
                <w:szCs w:val="28"/>
              </w:rPr>
              <w:t>姓名</w:t>
            </w:r>
          </w:p>
        </w:tc>
        <w:tc>
          <w:tcPr>
            <w:tcW w:w="1920" w:type="dxa"/>
            <w:vAlign w:val="center"/>
          </w:tcPr>
          <w:p>
            <w:pPr>
              <w:spacing w:line="60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sz w:val="24"/>
                <w:szCs w:val="28"/>
              </w:rPr>
              <w:t>职位</w:t>
            </w:r>
          </w:p>
        </w:tc>
        <w:tc>
          <w:tcPr>
            <w:tcW w:w="2210" w:type="dxa"/>
            <w:vAlign w:val="center"/>
          </w:tcPr>
          <w:p>
            <w:pPr>
              <w:spacing w:line="60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sz w:val="24"/>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5" w:hRule="atLeast"/>
          <w:jc w:val="center"/>
        </w:trPr>
        <w:tc>
          <w:tcPr>
            <w:tcW w:w="3593"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林旺</w:t>
            </w:r>
            <w:r>
              <w:rPr>
                <w:rFonts w:hint="eastAsia" w:asciiTheme="minorEastAsia" w:hAnsiTheme="minorEastAsia" w:eastAsiaTheme="minorEastAsia" w:cstheme="minorEastAsia"/>
                <w:sz w:val="24"/>
                <w:szCs w:val="28"/>
                <w:lang w:val="en-US" w:eastAsia="zh-CN"/>
              </w:rPr>
              <w:t>社区</w:t>
            </w:r>
          </w:p>
        </w:tc>
        <w:tc>
          <w:tcPr>
            <w:tcW w:w="1520" w:type="dxa"/>
            <w:vAlign w:val="center"/>
          </w:tcPr>
          <w:p>
            <w:pPr>
              <w:widowControl/>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陈蔚</w:t>
            </w:r>
          </w:p>
        </w:tc>
        <w:tc>
          <w:tcPr>
            <w:tcW w:w="1920"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书记</w:t>
            </w:r>
          </w:p>
        </w:tc>
        <w:tc>
          <w:tcPr>
            <w:tcW w:w="2210"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13617586166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93"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永宁</w:t>
            </w:r>
            <w:r>
              <w:rPr>
                <w:rFonts w:hint="eastAsia" w:asciiTheme="minorEastAsia" w:hAnsiTheme="minorEastAsia" w:eastAsiaTheme="minorEastAsia" w:cstheme="minorEastAsia"/>
                <w:sz w:val="24"/>
                <w:szCs w:val="28"/>
                <w:lang w:val="en-US" w:eastAsia="zh-CN"/>
              </w:rPr>
              <w:t>社区</w:t>
            </w:r>
          </w:p>
        </w:tc>
        <w:tc>
          <w:tcPr>
            <w:tcW w:w="1520" w:type="dxa"/>
            <w:vAlign w:val="center"/>
          </w:tcPr>
          <w:p>
            <w:pPr>
              <w:widowControl/>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陈文矫</w:t>
            </w:r>
          </w:p>
        </w:tc>
        <w:tc>
          <w:tcPr>
            <w:tcW w:w="1920"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书记</w:t>
            </w:r>
          </w:p>
        </w:tc>
        <w:tc>
          <w:tcPr>
            <w:tcW w:w="2210"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13907503968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593"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藤海</w:t>
            </w:r>
            <w:r>
              <w:rPr>
                <w:rFonts w:hint="eastAsia" w:asciiTheme="minorEastAsia" w:hAnsiTheme="minorEastAsia" w:eastAsiaTheme="minorEastAsia" w:cstheme="minorEastAsia"/>
                <w:sz w:val="24"/>
                <w:szCs w:val="28"/>
                <w:lang w:val="en-US" w:eastAsia="zh-CN"/>
              </w:rPr>
              <w:t>社区</w:t>
            </w:r>
          </w:p>
        </w:tc>
        <w:tc>
          <w:tcPr>
            <w:tcW w:w="1520" w:type="dxa"/>
            <w:vAlign w:val="center"/>
          </w:tcPr>
          <w:p>
            <w:pPr>
              <w:widowControl/>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lang w:val="en-US" w:eastAsia="zh-CN"/>
              </w:rPr>
              <w:t>林明龙</w:t>
            </w:r>
          </w:p>
        </w:tc>
        <w:tc>
          <w:tcPr>
            <w:tcW w:w="1920"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书记</w:t>
            </w:r>
          </w:p>
        </w:tc>
        <w:tc>
          <w:tcPr>
            <w:tcW w:w="2210"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lang w:val="en-US" w:eastAsia="zh-CN"/>
              </w:rPr>
              <w:t>15108989879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93"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升昌村委会</w:t>
            </w:r>
          </w:p>
        </w:tc>
        <w:tc>
          <w:tcPr>
            <w:tcW w:w="1520" w:type="dxa"/>
            <w:vAlign w:val="center"/>
          </w:tcPr>
          <w:p>
            <w:pPr>
              <w:widowControl/>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李美双</w:t>
            </w:r>
          </w:p>
        </w:tc>
        <w:tc>
          <w:tcPr>
            <w:tcW w:w="1920"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书记</w:t>
            </w:r>
          </w:p>
        </w:tc>
        <w:tc>
          <w:tcPr>
            <w:tcW w:w="2210"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15208911503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593"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 xml:space="preserve">东溪村委会 </w:t>
            </w:r>
          </w:p>
        </w:tc>
        <w:tc>
          <w:tcPr>
            <w:tcW w:w="1520" w:type="dxa"/>
            <w:vAlign w:val="center"/>
          </w:tcPr>
          <w:p>
            <w:pPr>
              <w:widowControl/>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林志命</w:t>
            </w:r>
          </w:p>
        </w:tc>
        <w:tc>
          <w:tcPr>
            <w:tcW w:w="1920"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书记</w:t>
            </w:r>
          </w:p>
        </w:tc>
        <w:tc>
          <w:tcPr>
            <w:tcW w:w="2210"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13876798138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93"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龙楼村委会</w:t>
            </w:r>
          </w:p>
        </w:tc>
        <w:tc>
          <w:tcPr>
            <w:tcW w:w="1520" w:type="dxa"/>
            <w:vAlign w:val="center"/>
          </w:tcPr>
          <w:p>
            <w:pPr>
              <w:widowControl/>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梁平</w:t>
            </w:r>
          </w:p>
        </w:tc>
        <w:tc>
          <w:tcPr>
            <w:tcW w:w="1920"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书记</w:t>
            </w:r>
          </w:p>
        </w:tc>
        <w:tc>
          <w:tcPr>
            <w:tcW w:w="2210"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18976286181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593"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营头村委会</w:t>
            </w:r>
          </w:p>
        </w:tc>
        <w:tc>
          <w:tcPr>
            <w:tcW w:w="1520" w:type="dxa"/>
            <w:vAlign w:val="center"/>
          </w:tcPr>
          <w:p>
            <w:pPr>
              <w:widowControl/>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陈泰文</w:t>
            </w:r>
          </w:p>
        </w:tc>
        <w:tc>
          <w:tcPr>
            <w:tcW w:w="1920"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书记</w:t>
            </w:r>
          </w:p>
        </w:tc>
        <w:tc>
          <w:tcPr>
            <w:tcW w:w="2210"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13034967701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93"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海丰村委会</w:t>
            </w:r>
          </w:p>
        </w:tc>
        <w:tc>
          <w:tcPr>
            <w:tcW w:w="1520" w:type="dxa"/>
            <w:vAlign w:val="center"/>
          </w:tcPr>
          <w:p>
            <w:pPr>
              <w:widowControl/>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lang w:val="en-US" w:eastAsia="zh-CN"/>
              </w:rPr>
              <w:t>苏向荣</w:t>
            </w:r>
          </w:p>
        </w:tc>
        <w:tc>
          <w:tcPr>
            <w:tcW w:w="1920"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书记</w:t>
            </w:r>
          </w:p>
        </w:tc>
        <w:tc>
          <w:tcPr>
            <w:tcW w:w="2210"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lang w:val="en-US" w:eastAsia="zh-CN"/>
              </w:rPr>
              <w:t>13876595505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593"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椰林村委会</w:t>
            </w:r>
          </w:p>
        </w:tc>
        <w:tc>
          <w:tcPr>
            <w:tcW w:w="1520" w:type="dxa"/>
            <w:vAlign w:val="center"/>
          </w:tcPr>
          <w:p>
            <w:pPr>
              <w:widowControl/>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刘衍洪</w:t>
            </w:r>
          </w:p>
        </w:tc>
        <w:tc>
          <w:tcPr>
            <w:tcW w:w="1920"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书记</w:t>
            </w:r>
          </w:p>
        </w:tc>
        <w:tc>
          <w:tcPr>
            <w:tcW w:w="2210"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13876203848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93"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龙海村委会</w:t>
            </w:r>
          </w:p>
        </w:tc>
        <w:tc>
          <w:tcPr>
            <w:tcW w:w="1520" w:type="dxa"/>
            <w:vAlign w:val="center"/>
          </w:tcPr>
          <w:p>
            <w:pPr>
              <w:widowControl/>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翟宏维</w:t>
            </w:r>
          </w:p>
        </w:tc>
        <w:tc>
          <w:tcPr>
            <w:tcW w:w="1920"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书记</w:t>
            </w:r>
          </w:p>
        </w:tc>
        <w:tc>
          <w:tcPr>
            <w:tcW w:w="2210"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18876966664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593"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藤桥村委会</w:t>
            </w:r>
          </w:p>
        </w:tc>
        <w:tc>
          <w:tcPr>
            <w:tcW w:w="1520" w:type="dxa"/>
            <w:vAlign w:val="center"/>
          </w:tcPr>
          <w:p>
            <w:pPr>
              <w:widowControl/>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全业旺</w:t>
            </w:r>
          </w:p>
        </w:tc>
        <w:tc>
          <w:tcPr>
            <w:tcW w:w="1920"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书记</w:t>
            </w:r>
          </w:p>
        </w:tc>
        <w:tc>
          <w:tcPr>
            <w:tcW w:w="2210"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13876918678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93"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风塘村委会</w:t>
            </w:r>
          </w:p>
        </w:tc>
        <w:tc>
          <w:tcPr>
            <w:tcW w:w="1520" w:type="dxa"/>
            <w:vAlign w:val="center"/>
          </w:tcPr>
          <w:p>
            <w:pPr>
              <w:widowControl/>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陈帮文</w:t>
            </w:r>
          </w:p>
        </w:tc>
        <w:tc>
          <w:tcPr>
            <w:tcW w:w="1920"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书记</w:t>
            </w:r>
          </w:p>
        </w:tc>
        <w:tc>
          <w:tcPr>
            <w:tcW w:w="2210"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13876203100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593"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洪李村委会</w:t>
            </w:r>
          </w:p>
        </w:tc>
        <w:tc>
          <w:tcPr>
            <w:tcW w:w="1520" w:type="dxa"/>
            <w:vAlign w:val="center"/>
          </w:tcPr>
          <w:p>
            <w:pPr>
              <w:widowControl/>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王康熙</w:t>
            </w:r>
          </w:p>
        </w:tc>
        <w:tc>
          <w:tcPr>
            <w:tcW w:w="1920"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书记</w:t>
            </w:r>
          </w:p>
        </w:tc>
        <w:tc>
          <w:tcPr>
            <w:tcW w:w="2210"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13518887799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93"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北山村委会</w:t>
            </w:r>
          </w:p>
        </w:tc>
        <w:tc>
          <w:tcPr>
            <w:tcW w:w="1520" w:type="dxa"/>
            <w:vAlign w:val="center"/>
          </w:tcPr>
          <w:p>
            <w:pPr>
              <w:widowControl/>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苏玉花</w:t>
            </w:r>
          </w:p>
        </w:tc>
        <w:tc>
          <w:tcPr>
            <w:tcW w:w="1920"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书记</w:t>
            </w:r>
          </w:p>
        </w:tc>
        <w:tc>
          <w:tcPr>
            <w:tcW w:w="2210"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13198905731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593"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龙江村委会</w:t>
            </w:r>
          </w:p>
        </w:tc>
        <w:tc>
          <w:tcPr>
            <w:tcW w:w="1520" w:type="dxa"/>
            <w:vAlign w:val="center"/>
          </w:tcPr>
          <w:p>
            <w:pPr>
              <w:widowControl/>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黎育江</w:t>
            </w:r>
          </w:p>
        </w:tc>
        <w:tc>
          <w:tcPr>
            <w:tcW w:w="1920"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书记</w:t>
            </w:r>
          </w:p>
        </w:tc>
        <w:tc>
          <w:tcPr>
            <w:tcW w:w="2210"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13178920020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93"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林新村委会</w:t>
            </w:r>
          </w:p>
        </w:tc>
        <w:tc>
          <w:tcPr>
            <w:tcW w:w="1520" w:type="dxa"/>
            <w:vAlign w:val="center"/>
          </w:tcPr>
          <w:p>
            <w:pPr>
              <w:widowControl/>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徐翔</w:t>
            </w:r>
          </w:p>
        </w:tc>
        <w:tc>
          <w:tcPr>
            <w:tcW w:w="1920"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书记</w:t>
            </w:r>
          </w:p>
        </w:tc>
        <w:tc>
          <w:tcPr>
            <w:tcW w:w="2210"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13006077997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593"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三灶村委会</w:t>
            </w:r>
          </w:p>
        </w:tc>
        <w:tc>
          <w:tcPr>
            <w:tcW w:w="1520" w:type="dxa"/>
            <w:vAlign w:val="center"/>
          </w:tcPr>
          <w:p>
            <w:pPr>
              <w:widowControl/>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欧能友</w:t>
            </w:r>
          </w:p>
        </w:tc>
        <w:tc>
          <w:tcPr>
            <w:tcW w:w="1920"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书记</w:t>
            </w:r>
          </w:p>
        </w:tc>
        <w:tc>
          <w:tcPr>
            <w:tcW w:w="2210"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15103696999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93"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庄大村委会</w:t>
            </w:r>
          </w:p>
        </w:tc>
        <w:tc>
          <w:tcPr>
            <w:tcW w:w="1520" w:type="dxa"/>
            <w:vAlign w:val="center"/>
          </w:tcPr>
          <w:p>
            <w:pPr>
              <w:widowControl/>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杨亮</w:t>
            </w:r>
          </w:p>
        </w:tc>
        <w:tc>
          <w:tcPr>
            <w:tcW w:w="1920"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书记</w:t>
            </w:r>
          </w:p>
        </w:tc>
        <w:tc>
          <w:tcPr>
            <w:tcW w:w="2210"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18876792486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593"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湾坡村委会</w:t>
            </w:r>
          </w:p>
        </w:tc>
        <w:tc>
          <w:tcPr>
            <w:tcW w:w="1520" w:type="dxa"/>
            <w:vAlign w:val="center"/>
          </w:tcPr>
          <w:p>
            <w:pPr>
              <w:widowControl/>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周其川</w:t>
            </w:r>
          </w:p>
        </w:tc>
        <w:tc>
          <w:tcPr>
            <w:tcW w:w="1920"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书记</w:t>
            </w:r>
          </w:p>
        </w:tc>
        <w:tc>
          <w:tcPr>
            <w:tcW w:w="2210"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18789968998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93"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江林村委会</w:t>
            </w:r>
          </w:p>
        </w:tc>
        <w:tc>
          <w:tcPr>
            <w:tcW w:w="1520" w:type="dxa"/>
            <w:vAlign w:val="center"/>
          </w:tcPr>
          <w:p>
            <w:pPr>
              <w:widowControl/>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林廷文</w:t>
            </w:r>
          </w:p>
        </w:tc>
        <w:tc>
          <w:tcPr>
            <w:tcW w:w="1920"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书记</w:t>
            </w:r>
          </w:p>
        </w:tc>
        <w:tc>
          <w:tcPr>
            <w:tcW w:w="2210"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13158975606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593"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青田村委会</w:t>
            </w:r>
          </w:p>
        </w:tc>
        <w:tc>
          <w:tcPr>
            <w:tcW w:w="1520" w:type="dxa"/>
            <w:vAlign w:val="center"/>
          </w:tcPr>
          <w:p>
            <w:pPr>
              <w:widowControl/>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蒲忠源</w:t>
            </w:r>
          </w:p>
        </w:tc>
        <w:tc>
          <w:tcPr>
            <w:tcW w:w="1920"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书记</w:t>
            </w:r>
          </w:p>
        </w:tc>
        <w:tc>
          <w:tcPr>
            <w:tcW w:w="2210"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13876420006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93"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铁炉村委会</w:t>
            </w:r>
          </w:p>
        </w:tc>
        <w:tc>
          <w:tcPr>
            <w:tcW w:w="1520" w:type="dxa"/>
            <w:vAlign w:val="center"/>
          </w:tcPr>
          <w:p>
            <w:pPr>
              <w:widowControl/>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lang w:val="en-US" w:eastAsia="zh-CN"/>
              </w:rPr>
              <w:t>周志忠</w:t>
            </w:r>
          </w:p>
        </w:tc>
        <w:tc>
          <w:tcPr>
            <w:tcW w:w="1920"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书记</w:t>
            </w:r>
          </w:p>
        </w:tc>
        <w:tc>
          <w:tcPr>
            <w:tcW w:w="2210"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lang w:val="en-US" w:eastAsia="zh-CN"/>
              </w:rPr>
              <w:t>18876927487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593"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南田社区</w:t>
            </w:r>
          </w:p>
        </w:tc>
        <w:tc>
          <w:tcPr>
            <w:tcW w:w="1520"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符天德</w:t>
            </w:r>
          </w:p>
        </w:tc>
        <w:tc>
          <w:tcPr>
            <w:tcW w:w="1920"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书记</w:t>
            </w:r>
          </w:p>
        </w:tc>
        <w:tc>
          <w:tcPr>
            <w:tcW w:w="2210"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13907601608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93"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长海社区</w:t>
            </w:r>
          </w:p>
        </w:tc>
        <w:tc>
          <w:tcPr>
            <w:tcW w:w="1520"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黎思思</w:t>
            </w:r>
          </w:p>
        </w:tc>
        <w:tc>
          <w:tcPr>
            <w:tcW w:w="1920"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书记</w:t>
            </w:r>
          </w:p>
        </w:tc>
        <w:tc>
          <w:tcPr>
            <w:tcW w:w="2210"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13976799715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593"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红旗社区</w:t>
            </w:r>
          </w:p>
        </w:tc>
        <w:tc>
          <w:tcPr>
            <w:tcW w:w="1520"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谢明</w:t>
            </w:r>
          </w:p>
        </w:tc>
        <w:tc>
          <w:tcPr>
            <w:tcW w:w="1920"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书记</w:t>
            </w:r>
          </w:p>
        </w:tc>
        <w:tc>
          <w:tcPr>
            <w:tcW w:w="2210" w:type="dxa"/>
            <w:vAlign w:val="center"/>
          </w:tcPr>
          <w:p>
            <w:pPr>
              <w:spacing w:line="6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8"/>
              </w:rPr>
              <w:t>13876660418</w:t>
            </w:r>
          </w:p>
        </w:tc>
      </w:tr>
    </w:tbl>
    <w:p>
      <w:pPr>
        <w:rPr>
          <w:rFonts w:eastAsiaTheme="minorEastAsia"/>
        </w:rPr>
      </w:pPr>
    </w:p>
    <w:sectPr>
      <w:footerReference r:id="rId4" w:type="default"/>
      <w:pgSz w:w="11906" w:h="16838"/>
      <w:pgMar w:top="1814" w:right="1474" w:bottom="1814" w:left="1587" w:header="851" w:footer="992" w:gutter="0"/>
      <w:pgNumType w:start="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ingLiU">
    <w:panose1 w:val="02020509000000000000"/>
    <w:charset w:val="88"/>
    <w:family w:val="decorative"/>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F7rpKxYCAAAZBAAADgAAAAAAAAABACAAAAA1AQAAZHJzL2Uyb0RvYy54bWxQSwUGAAAAAAYA&#10;BgBZAQAAvQUAAAAA&#10;">
              <v:fill on="f" focussize="0,0"/>
              <v:stroke on="f" weight="0.5pt"/>
              <v:imagedata o:title=""/>
              <o:lock v:ext="edit" aspectratio="f"/>
              <v:textbox inset="0mm,0mm,0mm,0mm" style="mso-fit-shape-to-text:t;">
                <w:txbxContent>
                  <w:p>
                    <w:pPr>
                      <w:pStyle w:val="8"/>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asciiTheme="minorEastAsia" w:hAnsiTheme="minorEastAsia" w:eastAsiaTheme="minorEastAsia" w:cstheme="minorEastAsia"/>
                              <w:sz w:val="24"/>
                              <w:szCs w:val="24"/>
                            </w:rPr>
                            <w:t>36</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8"/>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asciiTheme="minorEastAsia" w:hAnsiTheme="minorEastAsia" w:eastAsiaTheme="minorEastAsia" w:cstheme="minorEastAsia"/>
                        <w:sz w:val="24"/>
                        <w:szCs w:val="24"/>
                      </w:rPr>
                      <w:t>36</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3ZDliODUzNGMxYWZiZGJjNDAzYmU1MDRlNzI3NzcifQ=="/>
  </w:docVars>
  <w:rsids>
    <w:rsidRoot w:val="160701E0"/>
    <w:rsid w:val="000008D4"/>
    <w:rsid w:val="00007B76"/>
    <w:rsid w:val="00053B02"/>
    <w:rsid w:val="0006365A"/>
    <w:rsid w:val="000639EE"/>
    <w:rsid w:val="000670DF"/>
    <w:rsid w:val="00077ECD"/>
    <w:rsid w:val="000907EF"/>
    <w:rsid w:val="000A4D4A"/>
    <w:rsid w:val="000A6237"/>
    <w:rsid w:val="000D526B"/>
    <w:rsid w:val="000E7D8C"/>
    <w:rsid w:val="000F5B4A"/>
    <w:rsid w:val="00102CE7"/>
    <w:rsid w:val="0010543A"/>
    <w:rsid w:val="00112156"/>
    <w:rsid w:val="00204349"/>
    <w:rsid w:val="0021119D"/>
    <w:rsid w:val="00221A1B"/>
    <w:rsid w:val="0023055D"/>
    <w:rsid w:val="002441D8"/>
    <w:rsid w:val="002543E1"/>
    <w:rsid w:val="002604E7"/>
    <w:rsid w:val="00273731"/>
    <w:rsid w:val="0029687E"/>
    <w:rsid w:val="002A0F12"/>
    <w:rsid w:val="002B56F8"/>
    <w:rsid w:val="002C3271"/>
    <w:rsid w:val="003126A2"/>
    <w:rsid w:val="003423F0"/>
    <w:rsid w:val="00380F8F"/>
    <w:rsid w:val="003947E6"/>
    <w:rsid w:val="003F5D31"/>
    <w:rsid w:val="00406C70"/>
    <w:rsid w:val="00410A49"/>
    <w:rsid w:val="004145E1"/>
    <w:rsid w:val="00436560"/>
    <w:rsid w:val="00473CCF"/>
    <w:rsid w:val="00477394"/>
    <w:rsid w:val="00523565"/>
    <w:rsid w:val="00525C49"/>
    <w:rsid w:val="00533135"/>
    <w:rsid w:val="0054076F"/>
    <w:rsid w:val="00571097"/>
    <w:rsid w:val="00595BE9"/>
    <w:rsid w:val="00692A2F"/>
    <w:rsid w:val="006C0295"/>
    <w:rsid w:val="006E0AD2"/>
    <w:rsid w:val="00732B36"/>
    <w:rsid w:val="00742B28"/>
    <w:rsid w:val="00752B6B"/>
    <w:rsid w:val="007876CC"/>
    <w:rsid w:val="007B67FF"/>
    <w:rsid w:val="007B6D57"/>
    <w:rsid w:val="007E20C2"/>
    <w:rsid w:val="00813EB0"/>
    <w:rsid w:val="00821206"/>
    <w:rsid w:val="00840579"/>
    <w:rsid w:val="008644A5"/>
    <w:rsid w:val="00881267"/>
    <w:rsid w:val="00894E6F"/>
    <w:rsid w:val="008B47C9"/>
    <w:rsid w:val="008E1A6D"/>
    <w:rsid w:val="00903C75"/>
    <w:rsid w:val="00927CC7"/>
    <w:rsid w:val="00970C79"/>
    <w:rsid w:val="00996384"/>
    <w:rsid w:val="009D4A99"/>
    <w:rsid w:val="009E64A8"/>
    <w:rsid w:val="00A56DE7"/>
    <w:rsid w:val="00A916DB"/>
    <w:rsid w:val="00A938BD"/>
    <w:rsid w:val="00AA34E5"/>
    <w:rsid w:val="00AB3E0F"/>
    <w:rsid w:val="00AD36D5"/>
    <w:rsid w:val="00AF2F5A"/>
    <w:rsid w:val="00B2483A"/>
    <w:rsid w:val="00B40A29"/>
    <w:rsid w:val="00B41F8C"/>
    <w:rsid w:val="00B43C34"/>
    <w:rsid w:val="00BD7B41"/>
    <w:rsid w:val="00C06349"/>
    <w:rsid w:val="00C131BA"/>
    <w:rsid w:val="00C52351"/>
    <w:rsid w:val="00C75840"/>
    <w:rsid w:val="00C76BC6"/>
    <w:rsid w:val="00C96153"/>
    <w:rsid w:val="00D06D4A"/>
    <w:rsid w:val="00D1269D"/>
    <w:rsid w:val="00D41E34"/>
    <w:rsid w:val="00D84AC0"/>
    <w:rsid w:val="00D852EC"/>
    <w:rsid w:val="00DC42AE"/>
    <w:rsid w:val="00E42539"/>
    <w:rsid w:val="00E44C3F"/>
    <w:rsid w:val="00E510AC"/>
    <w:rsid w:val="00E83A3F"/>
    <w:rsid w:val="00E97942"/>
    <w:rsid w:val="00EA36A1"/>
    <w:rsid w:val="00EA7431"/>
    <w:rsid w:val="00EB17A6"/>
    <w:rsid w:val="00EB4BB5"/>
    <w:rsid w:val="00F336BF"/>
    <w:rsid w:val="00F4423C"/>
    <w:rsid w:val="00F81900"/>
    <w:rsid w:val="00F876EA"/>
    <w:rsid w:val="00F9297E"/>
    <w:rsid w:val="00FB620A"/>
    <w:rsid w:val="00FC1B17"/>
    <w:rsid w:val="00FD5E96"/>
    <w:rsid w:val="00FE44F7"/>
    <w:rsid w:val="01595525"/>
    <w:rsid w:val="038744A2"/>
    <w:rsid w:val="05084BEF"/>
    <w:rsid w:val="06A56427"/>
    <w:rsid w:val="07123AC6"/>
    <w:rsid w:val="075C31DB"/>
    <w:rsid w:val="076A2A02"/>
    <w:rsid w:val="079F5DF3"/>
    <w:rsid w:val="08253703"/>
    <w:rsid w:val="0963712E"/>
    <w:rsid w:val="099D2EF0"/>
    <w:rsid w:val="0A270855"/>
    <w:rsid w:val="0A457FFA"/>
    <w:rsid w:val="0A8E1F88"/>
    <w:rsid w:val="0AA74501"/>
    <w:rsid w:val="0AF838A6"/>
    <w:rsid w:val="0AFD3303"/>
    <w:rsid w:val="0BC730AD"/>
    <w:rsid w:val="0D6C7B0F"/>
    <w:rsid w:val="0E27269D"/>
    <w:rsid w:val="0E68457B"/>
    <w:rsid w:val="0E9710E7"/>
    <w:rsid w:val="0F775BEE"/>
    <w:rsid w:val="0F9342E6"/>
    <w:rsid w:val="10535CAF"/>
    <w:rsid w:val="107F5B03"/>
    <w:rsid w:val="114415F3"/>
    <w:rsid w:val="11872A48"/>
    <w:rsid w:val="125C269F"/>
    <w:rsid w:val="1360023A"/>
    <w:rsid w:val="144472C2"/>
    <w:rsid w:val="14514B22"/>
    <w:rsid w:val="14796185"/>
    <w:rsid w:val="14EF754D"/>
    <w:rsid w:val="15671D54"/>
    <w:rsid w:val="15F35A07"/>
    <w:rsid w:val="160701E0"/>
    <w:rsid w:val="16AC2EB8"/>
    <w:rsid w:val="16BB0CCA"/>
    <w:rsid w:val="1925173D"/>
    <w:rsid w:val="19732B2B"/>
    <w:rsid w:val="1B611AD3"/>
    <w:rsid w:val="1E754C81"/>
    <w:rsid w:val="1EB47FAC"/>
    <w:rsid w:val="1EC54A01"/>
    <w:rsid w:val="1F0625DD"/>
    <w:rsid w:val="1F79308B"/>
    <w:rsid w:val="1F7F2DA8"/>
    <w:rsid w:val="207F63BE"/>
    <w:rsid w:val="20875058"/>
    <w:rsid w:val="211741F9"/>
    <w:rsid w:val="21346FFC"/>
    <w:rsid w:val="21B50979"/>
    <w:rsid w:val="229807E9"/>
    <w:rsid w:val="22A60D8A"/>
    <w:rsid w:val="24041A5B"/>
    <w:rsid w:val="24B03B5D"/>
    <w:rsid w:val="24B73820"/>
    <w:rsid w:val="24F27517"/>
    <w:rsid w:val="25466619"/>
    <w:rsid w:val="265C5996"/>
    <w:rsid w:val="26790F96"/>
    <w:rsid w:val="26AF6980"/>
    <w:rsid w:val="27480AFA"/>
    <w:rsid w:val="27C76682"/>
    <w:rsid w:val="27DF4F47"/>
    <w:rsid w:val="282F347B"/>
    <w:rsid w:val="28B91E3C"/>
    <w:rsid w:val="2973201E"/>
    <w:rsid w:val="298D4E01"/>
    <w:rsid w:val="298E47B4"/>
    <w:rsid w:val="29B035B6"/>
    <w:rsid w:val="2A146187"/>
    <w:rsid w:val="2AB35BB3"/>
    <w:rsid w:val="2AC32DC3"/>
    <w:rsid w:val="2C033482"/>
    <w:rsid w:val="2CA150B6"/>
    <w:rsid w:val="2CC736A2"/>
    <w:rsid w:val="2D0E770F"/>
    <w:rsid w:val="2E575442"/>
    <w:rsid w:val="2EE25304"/>
    <w:rsid w:val="31013820"/>
    <w:rsid w:val="31B819B5"/>
    <w:rsid w:val="31D00591"/>
    <w:rsid w:val="32C31FC3"/>
    <w:rsid w:val="333C69A6"/>
    <w:rsid w:val="33523A3E"/>
    <w:rsid w:val="339F4548"/>
    <w:rsid w:val="344B4669"/>
    <w:rsid w:val="35447564"/>
    <w:rsid w:val="36587A06"/>
    <w:rsid w:val="37350617"/>
    <w:rsid w:val="38F66CB3"/>
    <w:rsid w:val="39410801"/>
    <w:rsid w:val="3A043FC1"/>
    <w:rsid w:val="3A3DFC79"/>
    <w:rsid w:val="3A8D375B"/>
    <w:rsid w:val="3AFA0DF0"/>
    <w:rsid w:val="3B270C74"/>
    <w:rsid w:val="3D556069"/>
    <w:rsid w:val="3D5D7415"/>
    <w:rsid w:val="3DB55050"/>
    <w:rsid w:val="3DD90894"/>
    <w:rsid w:val="3F150861"/>
    <w:rsid w:val="40554183"/>
    <w:rsid w:val="410A17E0"/>
    <w:rsid w:val="418036D2"/>
    <w:rsid w:val="4205546E"/>
    <w:rsid w:val="420A2297"/>
    <w:rsid w:val="42876CE2"/>
    <w:rsid w:val="42BA0141"/>
    <w:rsid w:val="439B4519"/>
    <w:rsid w:val="441175DD"/>
    <w:rsid w:val="44B85878"/>
    <w:rsid w:val="4618037D"/>
    <w:rsid w:val="46F72688"/>
    <w:rsid w:val="47721018"/>
    <w:rsid w:val="48E44522"/>
    <w:rsid w:val="4950607F"/>
    <w:rsid w:val="49DB003F"/>
    <w:rsid w:val="49F13CAF"/>
    <w:rsid w:val="4A207FAB"/>
    <w:rsid w:val="4AF869CF"/>
    <w:rsid w:val="4C231829"/>
    <w:rsid w:val="4D773C53"/>
    <w:rsid w:val="4DBFB575"/>
    <w:rsid w:val="4FEF07BF"/>
    <w:rsid w:val="4FFF9F72"/>
    <w:rsid w:val="50AC5486"/>
    <w:rsid w:val="50F30264"/>
    <w:rsid w:val="51AA5B33"/>
    <w:rsid w:val="52D73701"/>
    <w:rsid w:val="563A408F"/>
    <w:rsid w:val="57AE59A8"/>
    <w:rsid w:val="57C03470"/>
    <w:rsid w:val="58B71C77"/>
    <w:rsid w:val="596B2F1B"/>
    <w:rsid w:val="596B480F"/>
    <w:rsid w:val="5A051ECE"/>
    <w:rsid w:val="5A644416"/>
    <w:rsid w:val="5AB126F6"/>
    <w:rsid w:val="5AC4531C"/>
    <w:rsid w:val="5AD25CE5"/>
    <w:rsid w:val="5AE93812"/>
    <w:rsid w:val="5CA245B8"/>
    <w:rsid w:val="5D5F7117"/>
    <w:rsid w:val="5F38534B"/>
    <w:rsid w:val="5F661D01"/>
    <w:rsid w:val="5F661E0C"/>
    <w:rsid w:val="5FEDA592"/>
    <w:rsid w:val="60716BAF"/>
    <w:rsid w:val="607F3D11"/>
    <w:rsid w:val="613F048B"/>
    <w:rsid w:val="61F26EB2"/>
    <w:rsid w:val="62FE6CE5"/>
    <w:rsid w:val="64EA9AF3"/>
    <w:rsid w:val="65257F68"/>
    <w:rsid w:val="65345C03"/>
    <w:rsid w:val="671558F4"/>
    <w:rsid w:val="679850DD"/>
    <w:rsid w:val="67B6134C"/>
    <w:rsid w:val="68153617"/>
    <w:rsid w:val="697E56C9"/>
    <w:rsid w:val="69AF2F87"/>
    <w:rsid w:val="6AA81420"/>
    <w:rsid w:val="6C33740F"/>
    <w:rsid w:val="6CE87DC7"/>
    <w:rsid w:val="6E3351E8"/>
    <w:rsid w:val="6E91666F"/>
    <w:rsid w:val="6F7B6A72"/>
    <w:rsid w:val="709F5073"/>
    <w:rsid w:val="72515039"/>
    <w:rsid w:val="72A97A19"/>
    <w:rsid w:val="73217FC1"/>
    <w:rsid w:val="73A6242D"/>
    <w:rsid w:val="748E6B0C"/>
    <w:rsid w:val="74E3691D"/>
    <w:rsid w:val="74FC7699"/>
    <w:rsid w:val="75640F98"/>
    <w:rsid w:val="76D67314"/>
    <w:rsid w:val="7778661E"/>
    <w:rsid w:val="77CF6CB6"/>
    <w:rsid w:val="78CA2EA9"/>
    <w:rsid w:val="78CE39C8"/>
    <w:rsid w:val="78F932CC"/>
    <w:rsid w:val="790F4D60"/>
    <w:rsid w:val="79FC52E4"/>
    <w:rsid w:val="7A813A3B"/>
    <w:rsid w:val="7AFF2CC9"/>
    <w:rsid w:val="7B093642"/>
    <w:rsid w:val="7B4119B6"/>
    <w:rsid w:val="7BA43E85"/>
    <w:rsid w:val="7BC92EA0"/>
    <w:rsid w:val="7C52568F"/>
    <w:rsid w:val="7C746E92"/>
    <w:rsid w:val="7D5C6F32"/>
    <w:rsid w:val="7D7D673C"/>
    <w:rsid w:val="7EF736CE"/>
    <w:rsid w:val="7FD843D3"/>
    <w:rsid w:val="7FDF8FAA"/>
    <w:rsid w:val="A3F54E5C"/>
    <w:rsid w:val="A7F730EC"/>
    <w:rsid w:val="B6FF64FE"/>
    <w:rsid w:val="BFFFACC5"/>
    <w:rsid w:val="CBEF0D04"/>
    <w:rsid w:val="D7BB33CF"/>
    <w:rsid w:val="FAF466EE"/>
    <w:rsid w:val="FBF75C42"/>
    <w:rsid w:val="FDF7231B"/>
    <w:rsid w:val="FE977D88"/>
    <w:rsid w:val="FFBB470D"/>
    <w:rsid w:val="FFFEA5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1"/>
    <w:basedOn w:val="1"/>
    <w:next w:val="1"/>
    <w:link w:val="56"/>
    <w:qFormat/>
    <w:uiPriority w:val="0"/>
    <w:pPr>
      <w:keepNext/>
      <w:keepLines/>
      <w:spacing w:line="600" w:lineRule="exact"/>
      <w:ind w:firstLine="879" w:firstLineChars="200"/>
      <w:outlineLvl w:val="0"/>
    </w:pPr>
    <w:rPr>
      <w:rFonts w:eastAsia="黑体"/>
      <w:kern w:val="44"/>
      <w:sz w:val="32"/>
    </w:rPr>
  </w:style>
  <w:style w:type="paragraph" w:styleId="4">
    <w:name w:val="heading 2"/>
    <w:basedOn w:val="1"/>
    <w:next w:val="1"/>
    <w:link w:val="57"/>
    <w:unhideWhenUsed/>
    <w:qFormat/>
    <w:uiPriority w:val="0"/>
    <w:pPr>
      <w:keepNext/>
      <w:keepLines/>
      <w:spacing w:line="600" w:lineRule="exact"/>
      <w:ind w:firstLine="879" w:firstLineChars="200"/>
      <w:outlineLvl w:val="1"/>
    </w:pPr>
    <w:rPr>
      <w:rFonts w:eastAsia="楷体_GB2312"/>
      <w:sz w:val="32"/>
    </w:rPr>
  </w:style>
  <w:style w:type="paragraph" w:styleId="5">
    <w:name w:val="heading 3"/>
    <w:basedOn w:val="1"/>
    <w:next w:val="1"/>
    <w:unhideWhenUsed/>
    <w:qFormat/>
    <w:uiPriority w:val="0"/>
    <w:pPr>
      <w:keepNext/>
      <w:keepLines/>
      <w:spacing w:line="600" w:lineRule="exact"/>
      <w:ind w:firstLine="879" w:firstLineChars="200"/>
      <w:outlineLvl w:val="2"/>
    </w:pPr>
    <w:rPr>
      <w:rFonts w:eastAsia="仿宋_GB2312"/>
      <w:sz w:val="32"/>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rPr>
      <w:rFonts w:ascii="Times New Roman" w:hAnsi="Times New Roman"/>
    </w:rPr>
  </w:style>
  <w:style w:type="paragraph" w:styleId="6">
    <w:name w:val="toc 3"/>
    <w:basedOn w:val="1"/>
    <w:next w:val="1"/>
    <w:qFormat/>
    <w:uiPriority w:val="39"/>
    <w:pPr>
      <w:ind w:left="840" w:leftChars="400"/>
    </w:pPr>
  </w:style>
  <w:style w:type="paragraph" w:styleId="7">
    <w:name w:val="Date"/>
    <w:basedOn w:val="1"/>
    <w:next w:val="1"/>
    <w:link w:val="58"/>
    <w:qFormat/>
    <w:uiPriority w:val="0"/>
    <w:pPr>
      <w:ind w:left="100" w:leftChars="2500"/>
    </w:pPr>
  </w:style>
  <w:style w:type="paragraph" w:styleId="8">
    <w:name w:val="footer"/>
    <w:basedOn w:val="1"/>
    <w:qFormat/>
    <w:uiPriority w:val="0"/>
    <w:pPr>
      <w:tabs>
        <w:tab w:val="center" w:pos="4153"/>
        <w:tab w:val="right" w:pos="8306"/>
      </w:tabs>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paragraph" w:styleId="12">
    <w:name w:val="Normal (Web)"/>
    <w:basedOn w:val="1"/>
    <w:qFormat/>
    <w:uiPriority w:val="99"/>
    <w:rPr>
      <w:rFonts w:cs="Times New Roman"/>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FollowedHyperlink"/>
    <w:basedOn w:val="15"/>
    <w:qFormat/>
    <w:uiPriority w:val="0"/>
    <w:rPr>
      <w:color w:val="333333"/>
      <w:u w:val="none"/>
    </w:rPr>
  </w:style>
  <w:style w:type="character" w:styleId="17">
    <w:name w:val="Hyperlink"/>
    <w:basedOn w:val="15"/>
    <w:qFormat/>
    <w:uiPriority w:val="99"/>
    <w:rPr>
      <w:color w:val="333333"/>
      <w:u w:val="none"/>
    </w:rPr>
  </w:style>
  <w:style w:type="character" w:customStyle="1" w:styleId="18">
    <w:name w:val="cur"/>
    <w:basedOn w:val="15"/>
    <w:qFormat/>
    <w:uiPriority w:val="0"/>
    <w:rPr>
      <w:shd w:val="clear" w:color="auto" w:fill="3678D8"/>
    </w:rPr>
  </w:style>
  <w:style w:type="character" w:customStyle="1" w:styleId="19">
    <w:name w:val="cur1"/>
    <w:basedOn w:val="15"/>
    <w:qFormat/>
    <w:uiPriority w:val="0"/>
    <w:rPr>
      <w:color w:val="3678D8"/>
    </w:rPr>
  </w:style>
  <w:style w:type="character" w:customStyle="1" w:styleId="20">
    <w:name w:val="ban-dy"/>
    <w:basedOn w:val="15"/>
    <w:qFormat/>
    <w:uiPriority w:val="0"/>
    <w:rPr>
      <w:sz w:val="27"/>
      <w:szCs w:val="27"/>
    </w:rPr>
  </w:style>
  <w:style w:type="character" w:customStyle="1" w:styleId="21">
    <w:name w:val="first-child14"/>
    <w:basedOn w:val="15"/>
    <w:qFormat/>
    <w:uiPriority w:val="0"/>
    <w:rPr>
      <w:bdr w:val="single" w:color="D5D5D5" w:sz="6" w:space="0"/>
    </w:rPr>
  </w:style>
  <w:style w:type="character" w:customStyle="1" w:styleId="22">
    <w:name w:val="first-child15"/>
    <w:basedOn w:val="15"/>
    <w:qFormat/>
    <w:uiPriority w:val="0"/>
  </w:style>
  <w:style w:type="character" w:customStyle="1" w:styleId="23">
    <w:name w:val="first-child16"/>
    <w:basedOn w:val="15"/>
    <w:qFormat/>
    <w:uiPriority w:val="0"/>
  </w:style>
  <w:style w:type="character" w:customStyle="1" w:styleId="24">
    <w:name w:val="first-child17"/>
    <w:basedOn w:val="15"/>
    <w:qFormat/>
    <w:uiPriority w:val="0"/>
    <w:rPr>
      <w:color w:val="20528F"/>
    </w:rPr>
  </w:style>
  <w:style w:type="character" w:customStyle="1" w:styleId="25">
    <w:name w:val="cur2"/>
    <w:basedOn w:val="15"/>
    <w:qFormat/>
    <w:uiPriority w:val="0"/>
    <w:rPr>
      <w:shd w:val="clear" w:color="auto" w:fill="1F4F89"/>
    </w:rPr>
  </w:style>
  <w:style w:type="character" w:customStyle="1" w:styleId="26">
    <w:name w:val="cur3"/>
    <w:basedOn w:val="15"/>
    <w:qFormat/>
    <w:uiPriority w:val="0"/>
    <w:rPr>
      <w:color w:val="333333"/>
    </w:rPr>
  </w:style>
  <w:style w:type="character" w:customStyle="1" w:styleId="27">
    <w:name w:val="cur4"/>
    <w:basedOn w:val="15"/>
    <w:qFormat/>
    <w:uiPriority w:val="0"/>
    <w:rPr>
      <w:color w:val="2F57A4"/>
    </w:rPr>
  </w:style>
  <w:style w:type="character" w:customStyle="1" w:styleId="28">
    <w:name w:val="cur5"/>
    <w:basedOn w:val="15"/>
    <w:qFormat/>
    <w:uiPriority w:val="0"/>
  </w:style>
  <w:style w:type="character" w:customStyle="1" w:styleId="29">
    <w:name w:val="cur6"/>
    <w:basedOn w:val="15"/>
    <w:qFormat/>
    <w:uiPriority w:val="0"/>
    <w:rPr>
      <w:shd w:val="clear" w:color="auto" w:fill="184984"/>
    </w:rPr>
  </w:style>
  <w:style w:type="character" w:customStyle="1" w:styleId="30">
    <w:name w:val="red2"/>
    <w:basedOn w:val="15"/>
    <w:qFormat/>
    <w:uiPriority w:val="0"/>
    <w:rPr>
      <w:color w:val="E42121"/>
    </w:rPr>
  </w:style>
  <w:style w:type="character" w:customStyle="1" w:styleId="31">
    <w:name w:val="red3"/>
    <w:basedOn w:val="15"/>
    <w:qFormat/>
    <w:uiPriority w:val="0"/>
    <w:rPr>
      <w:color w:val="FF3131"/>
    </w:rPr>
  </w:style>
  <w:style w:type="character" w:customStyle="1" w:styleId="32">
    <w:name w:val="xx-label2"/>
    <w:basedOn w:val="15"/>
    <w:qFormat/>
    <w:uiPriority w:val="0"/>
  </w:style>
  <w:style w:type="character" w:customStyle="1" w:styleId="33">
    <w:name w:val="hover92"/>
    <w:basedOn w:val="15"/>
    <w:qFormat/>
    <w:uiPriority w:val="0"/>
    <w:rPr>
      <w:shd w:val="clear" w:color="auto" w:fill="1F4F89"/>
    </w:rPr>
  </w:style>
  <w:style w:type="character" w:customStyle="1" w:styleId="34">
    <w:name w:val="hover93"/>
    <w:basedOn w:val="15"/>
    <w:qFormat/>
    <w:uiPriority w:val="0"/>
  </w:style>
  <w:style w:type="character" w:customStyle="1" w:styleId="35">
    <w:name w:val="total"/>
    <w:basedOn w:val="15"/>
    <w:qFormat/>
    <w:uiPriority w:val="0"/>
    <w:rPr>
      <w:bdr w:val="single" w:color="E0E0E0" w:sz="6" w:space="0"/>
    </w:rPr>
  </w:style>
  <w:style w:type="character" w:customStyle="1" w:styleId="36">
    <w:name w:val="num6"/>
    <w:basedOn w:val="15"/>
    <w:qFormat/>
    <w:uiPriority w:val="0"/>
    <w:rPr>
      <w:color w:val="333333"/>
    </w:rPr>
  </w:style>
  <w:style w:type="character" w:customStyle="1" w:styleId="37">
    <w:name w:val="num7"/>
    <w:basedOn w:val="15"/>
    <w:qFormat/>
    <w:uiPriority w:val="0"/>
  </w:style>
  <w:style w:type="character" w:customStyle="1" w:styleId="38">
    <w:name w:val="line10"/>
    <w:basedOn w:val="15"/>
    <w:qFormat/>
    <w:uiPriority w:val="0"/>
    <w:rPr>
      <w:color w:val="999999"/>
      <w:sz w:val="24"/>
      <w:szCs w:val="24"/>
    </w:rPr>
  </w:style>
  <w:style w:type="character" w:customStyle="1" w:styleId="39">
    <w:name w:val="talk-time"/>
    <w:basedOn w:val="15"/>
    <w:qFormat/>
    <w:uiPriority w:val="0"/>
  </w:style>
  <w:style w:type="character" w:customStyle="1" w:styleId="40">
    <w:name w:val="ask"/>
    <w:basedOn w:val="15"/>
    <w:qFormat/>
    <w:uiPriority w:val="0"/>
    <w:rPr>
      <w:b/>
      <w:color w:val="FFFFFF"/>
      <w:sz w:val="27"/>
      <w:szCs w:val="27"/>
      <w:shd w:val="clear" w:color="auto" w:fill="327EDA"/>
    </w:rPr>
  </w:style>
  <w:style w:type="character" w:customStyle="1" w:styleId="41">
    <w:name w:val="answer"/>
    <w:basedOn w:val="15"/>
    <w:qFormat/>
    <w:uiPriority w:val="0"/>
    <w:rPr>
      <w:shd w:val="clear" w:color="auto" w:fill="556FB5"/>
    </w:rPr>
  </w:style>
  <w:style w:type="character" w:customStyle="1" w:styleId="42">
    <w:name w:val="gb_fontbig"/>
    <w:basedOn w:val="15"/>
    <w:qFormat/>
    <w:uiPriority w:val="0"/>
  </w:style>
  <w:style w:type="character" w:customStyle="1" w:styleId="43">
    <w:name w:val="sw-c5ul-s1"/>
    <w:basedOn w:val="15"/>
    <w:qFormat/>
    <w:uiPriority w:val="0"/>
    <w:rPr>
      <w:color w:val="FFFFFF"/>
      <w:sz w:val="19"/>
      <w:szCs w:val="19"/>
      <w:shd w:val="clear" w:color="auto" w:fill="4E8FDE"/>
    </w:rPr>
  </w:style>
  <w:style w:type="character" w:customStyle="1" w:styleId="44">
    <w:name w:val="gb_fontsmall"/>
    <w:basedOn w:val="15"/>
    <w:qFormat/>
    <w:uiPriority w:val="0"/>
  </w:style>
  <w:style w:type="character" w:customStyle="1" w:styleId="45">
    <w:name w:val="f-ml75"/>
    <w:basedOn w:val="15"/>
    <w:qFormat/>
    <w:uiPriority w:val="0"/>
  </w:style>
  <w:style w:type="character" w:customStyle="1" w:styleId="46">
    <w:name w:val="gb_font"/>
    <w:basedOn w:val="15"/>
    <w:qFormat/>
    <w:uiPriority w:val="0"/>
  </w:style>
  <w:style w:type="character" w:customStyle="1" w:styleId="47">
    <w:name w:val="assis-blue"/>
    <w:basedOn w:val="15"/>
    <w:qFormat/>
    <w:uiPriority w:val="0"/>
    <w:rPr>
      <w:color w:val="20528F"/>
    </w:rPr>
  </w:style>
  <w:style w:type="character" w:customStyle="1" w:styleId="48">
    <w:name w:val="sq_bg1"/>
    <w:basedOn w:val="15"/>
    <w:qFormat/>
    <w:uiPriority w:val="0"/>
    <w:rPr>
      <w:color w:val="FFFFFF"/>
      <w:shd w:val="clear" w:color="auto" w:fill="4E8FDE"/>
    </w:rPr>
  </w:style>
  <w:style w:type="character" w:customStyle="1" w:styleId="49">
    <w:name w:val="sq_bg2"/>
    <w:basedOn w:val="15"/>
    <w:qFormat/>
    <w:uiPriority w:val="0"/>
    <w:rPr>
      <w:color w:val="FFFFFF"/>
      <w:shd w:val="clear" w:color="auto" w:fill="83B0E8"/>
    </w:rPr>
  </w:style>
  <w:style w:type="character" w:customStyle="1" w:styleId="50">
    <w:name w:val="sq_bg3"/>
    <w:basedOn w:val="15"/>
    <w:qFormat/>
    <w:uiPriority w:val="0"/>
    <w:rPr>
      <w:color w:val="FFFFFF"/>
      <w:shd w:val="clear" w:color="auto" w:fill="A6C7EE"/>
    </w:rPr>
  </w:style>
  <w:style w:type="character" w:customStyle="1" w:styleId="51">
    <w:name w:val="f-ib11"/>
    <w:basedOn w:val="15"/>
    <w:qFormat/>
    <w:uiPriority w:val="0"/>
    <w:rPr>
      <w:sz w:val="30"/>
      <w:szCs w:val="30"/>
    </w:rPr>
  </w:style>
  <w:style w:type="character" w:customStyle="1" w:styleId="52">
    <w:name w:val="detail3"/>
    <w:basedOn w:val="15"/>
    <w:qFormat/>
    <w:uiPriority w:val="0"/>
    <w:rPr>
      <w:color w:val="E72323"/>
    </w:rPr>
  </w:style>
  <w:style w:type="character" w:customStyle="1" w:styleId="53">
    <w:name w:val="detail4"/>
    <w:basedOn w:val="15"/>
    <w:qFormat/>
    <w:uiPriority w:val="0"/>
    <w:rPr>
      <w:color w:val="E72323"/>
    </w:rPr>
  </w:style>
  <w:style w:type="character" w:customStyle="1" w:styleId="54">
    <w:name w:val="play2"/>
    <w:basedOn w:val="15"/>
    <w:qFormat/>
    <w:uiPriority w:val="0"/>
  </w:style>
  <w:style w:type="character" w:customStyle="1" w:styleId="55">
    <w:name w:val="mark"/>
    <w:basedOn w:val="15"/>
    <w:qFormat/>
    <w:uiPriority w:val="0"/>
    <w:rPr>
      <w:color w:val="FFFFFF"/>
      <w:sz w:val="27"/>
      <w:szCs w:val="27"/>
    </w:rPr>
  </w:style>
  <w:style w:type="character" w:customStyle="1" w:styleId="56">
    <w:name w:val="标题 1 Char"/>
    <w:link w:val="3"/>
    <w:qFormat/>
    <w:uiPriority w:val="0"/>
    <w:rPr>
      <w:rFonts w:ascii="Arial" w:hAnsi="Arial" w:eastAsia="黑体"/>
      <w:kern w:val="44"/>
      <w:sz w:val="32"/>
    </w:rPr>
  </w:style>
  <w:style w:type="character" w:customStyle="1" w:styleId="57">
    <w:name w:val="标题 2 Char"/>
    <w:link w:val="4"/>
    <w:qFormat/>
    <w:uiPriority w:val="0"/>
    <w:rPr>
      <w:rFonts w:ascii="Arial" w:hAnsi="Arial" w:eastAsia="楷体_GB2312"/>
      <w:sz w:val="32"/>
    </w:rPr>
  </w:style>
  <w:style w:type="character" w:customStyle="1" w:styleId="58">
    <w:name w:val="日期 Char"/>
    <w:basedOn w:val="15"/>
    <w:link w:val="7"/>
    <w:qFormat/>
    <w:uiPriority w:val="0"/>
    <w:rPr>
      <w:rFonts w:ascii="Arial" w:hAnsi="Arial" w:eastAsia="Arial" w:cs="Arial"/>
      <w:snapToGrid w:val="0"/>
      <w:color w:val="000000"/>
      <w:sz w:val="21"/>
      <w:szCs w:val="21"/>
    </w:rPr>
  </w:style>
  <w:style w:type="paragraph" w:customStyle="1" w:styleId="59">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41</Pages>
  <Words>14989</Words>
  <Characters>15382</Characters>
  <Lines>148</Lines>
  <Paragraphs>41</Paragraphs>
  <TotalTime>0</TotalTime>
  <ScaleCrop>false</ScaleCrop>
  <LinksUpToDate>false</LinksUpToDate>
  <CharactersWithSpaces>15611</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2022-11-20T17:19:00Z</dcterms:created>
  <dc:creator>Administrator</dc:creator>
  <cp:lastModifiedBy>user</cp:lastModifiedBy>
  <cp:lastPrinted>2024-10-28T16:05:00Z</cp:lastPrinted>
  <dcterms:modified xsi:type="dcterms:W3CDTF">2025-09-16T09:46:22Z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7D8BC94FD7A742DB951B3EE0B61985F5_12</vt:lpwstr>
  </property>
</Properties>
</file>