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spacing w:before="100" w:after="100" w:line="600" w:lineRule="exact"/>
        <w:rPr>
          <w:rFonts w:cs="MingLiU" w:asciiTheme="minorEastAsia" w:hAnsiTheme="minorEastAsia" w:eastAsiaTheme="minorEastAsia"/>
          <w:sz w:val="21"/>
          <w:szCs w:val="21"/>
        </w:rPr>
      </w:pPr>
      <w:r>
        <w:rPr>
          <w:rFonts w:hint="eastAsia" w:cs="MingLiU"/>
          <w:sz w:val="21"/>
          <w:szCs w:val="21"/>
        </w:rPr>
        <w:t xml:space="preserve">                                        </w:t>
      </w:r>
      <w:r>
        <w:rPr>
          <w:rFonts w:hint="eastAsia" w:ascii="黑体" w:hAnsi="黑体" w:eastAsia="黑体" w:cs="MingLiU"/>
          <w:sz w:val="28"/>
          <w:szCs w:val="28"/>
        </w:rPr>
        <w:t xml:space="preserve">     </w:t>
      </w:r>
    </w:p>
    <w:p>
      <w:pPr>
        <w:pStyle w:val="14"/>
        <w:spacing w:line="600" w:lineRule="exact"/>
        <w:jc w:val="both"/>
        <w:rPr>
          <w:rFonts w:ascii="黑体" w:hAnsi="黑体" w:eastAsia="黑体" w:cs="MingLiU"/>
          <w:sz w:val="44"/>
          <w:szCs w:val="44"/>
        </w:rPr>
      </w:pPr>
    </w:p>
    <w:p>
      <w:pPr>
        <w:pStyle w:val="14"/>
        <w:spacing w:beforeAutospacing="0" w:afterAutospacing="0" w:line="700" w:lineRule="exact"/>
        <w:jc w:val="center"/>
        <w:rPr>
          <w:rFonts w:ascii="黑体" w:hAnsi="黑体" w:eastAsia="黑体" w:cs="MingLiU"/>
          <w:b/>
          <w:bCs/>
          <w:sz w:val="44"/>
          <w:szCs w:val="44"/>
        </w:rPr>
      </w:pPr>
      <w:r>
        <w:rPr>
          <w:rFonts w:hint="eastAsia" w:ascii="黑体" w:hAnsi="黑体" w:eastAsia="黑体" w:cs="MingLiU"/>
          <w:b/>
          <w:bCs/>
          <w:sz w:val="44"/>
          <w:szCs w:val="44"/>
        </w:rPr>
        <w:t>三亚市海棠区森林火灾应急预案</w:t>
      </w:r>
    </w:p>
    <w:p>
      <w:pPr>
        <w:pStyle w:val="14"/>
        <w:spacing w:line="600" w:lineRule="exact"/>
        <w:jc w:val="center"/>
        <w:rPr>
          <w:rFonts w:cs="MingLiU" w:asciiTheme="minorEastAsia" w:hAnsiTheme="minorEastAsia" w:eastAsiaTheme="minorEastAsia"/>
          <w:sz w:val="21"/>
          <w:szCs w:val="21"/>
          <w:u w:val="single"/>
        </w:rPr>
      </w:pPr>
      <w:r>
        <w:rPr>
          <w:rFonts w:hint="eastAsia" w:ascii="黑体" w:hAnsi="黑体" w:eastAsia="黑体" w:cs="宋体"/>
          <w:sz w:val="36"/>
          <w:szCs w:val="36"/>
        </w:rPr>
        <w:t>（1.0版）</w:t>
      </w:r>
      <w:r>
        <w:rPr>
          <w:rFonts w:hint="eastAsia" w:cs="MingLiU" w:asciiTheme="minorEastAsia" w:hAnsiTheme="minorEastAsia" w:eastAsiaTheme="minorEastAsia"/>
          <w:sz w:val="21"/>
          <w:szCs w:val="21"/>
        </w:rPr>
        <w:t xml:space="preserve">                  </w:t>
      </w:r>
    </w:p>
    <w:p>
      <w:pPr>
        <w:pStyle w:val="14"/>
        <w:spacing w:line="600" w:lineRule="exact"/>
        <w:jc w:val="both"/>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 xml:space="preserve">    </w:t>
      </w:r>
    </w:p>
    <w:p>
      <w:pPr>
        <w:pStyle w:val="14"/>
        <w:spacing w:after="780" w:line="600" w:lineRule="exact"/>
        <w:rPr>
          <w:rFonts w:ascii="黑体" w:hAnsi="黑体" w:eastAsia="黑体" w:cs="MingLiU"/>
          <w:sz w:val="28"/>
          <w:szCs w:val="28"/>
        </w:rPr>
      </w:pPr>
      <w:bookmarkStart w:id="0" w:name="bookmark5"/>
      <w:bookmarkStart w:id="1" w:name="bookmark3"/>
      <w:bookmarkStart w:id="2" w:name="bookmark4"/>
    </w:p>
    <w:p>
      <w:pPr>
        <w:pStyle w:val="14"/>
        <w:spacing w:after="780" w:line="600" w:lineRule="exact"/>
        <w:rPr>
          <w:rFonts w:ascii="黑体" w:hAnsi="黑体" w:eastAsia="黑体" w:cs="MingLiU"/>
          <w:sz w:val="28"/>
          <w:szCs w:val="28"/>
        </w:rPr>
      </w:pPr>
    </w:p>
    <w:p>
      <w:pPr>
        <w:pStyle w:val="14"/>
        <w:spacing w:after="780" w:line="600" w:lineRule="exact"/>
        <w:rPr>
          <w:rFonts w:ascii="黑体" w:hAnsi="黑体" w:eastAsia="黑体" w:cs="MingLiU"/>
          <w:sz w:val="28"/>
          <w:szCs w:val="28"/>
        </w:rPr>
      </w:pPr>
    </w:p>
    <w:p>
      <w:pPr>
        <w:pStyle w:val="14"/>
        <w:spacing w:after="780" w:line="600" w:lineRule="exact"/>
        <w:rPr>
          <w:rFonts w:ascii="黑体" w:hAnsi="黑体" w:eastAsia="黑体" w:cs="MingLiU"/>
          <w:sz w:val="28"/>
          <w:szCs w:val="28"/>
        </w:rPr>
      </w:pPr>
    </w:p>
    <w:p>
      <w:pPr>
        <w:pStyle w:val="14"/>
        <w:spacing w:after="780" w:line="600" w:lineRule="exact"/>
        <w:rPr>
          <w:rFonts w:ascii="黑体" w:hAnsi="黑体" w:eastAsia="黑体" w:cs="MingLiU"/>
          <w:sz w:val="28"/>
          <w:szCs w:val="28"/>
        </w:rPr>
      </w:pPr>
    </w:p>
    <w:p>
      <w:pPr>
        <w:pStyle w:val="14"/>
        <w:spacing w:after="780" w:line="600" w:lineRule="exact"/>
        <w:rPr>
          <w:rFonts w:ascii="黑体" w:hAnsi="黑体" w:eastAsia="黑体" w:cs="MingLiU"/>
          <w:sz w:val="28"/>
          <w:szCs w:val="28"/>
        </w:rPr>
      </w:pPr>
    </w:p>
    <w:p>
      <w:pPr>
        <w:pStyle w:val="14"/>
        <w:spacing w:after="780" w:line="600" w:lineRule="exact"/>
        <w:rPr>
          <w:rFonts w:ascii="黑体" w:hAnsi="黑体" w:eastAsia="黑体" w:cs="MingLiU"/>
          <w:sz w:val="28"/>
          <w:szCs w:val="28"/>
        </w:rPr>
      </w:pPr>
    </w:p>
    <w:p>
      <w:pPr>
        <w:pStyle w:val="14"/>
        <w:spacing w:after="780" w:line="600" w:lineRule="exact"/>
        <w:rPr>
          <w:rFonts w:ascii="黑体" w:hAnsi="黑体" w:eastAsia="黑体" w:cs="MingLiU"/>
          <w:sz w:val="28"/>
          <w:szCs w:val="28"/>
        </w:rPr>
      </w:pPr>
    </w:p>
    <w:p>
      <w:pPr>
        <w:pStyle w:val="14"/>
        <w:spacing w:beforeAutospacing="0" w:afterAutospacing="0" w:line="700" w:lineRule="exact"/>
        <w:jc w:val="center"/>
        <w:rPr>
          <w:rFonts w:cs="MingLiU" w:asciiTheme="minorEastAsia" w:hAnsiTheme="minorEastAsia" w:eastAsiaTheme="minorEastAsia"/>
          <w:b/>
          <w:sz w:val="28"/>
          <w:szCs w:val="28"/>
        </w:rPr>
      </w:pPr>
      <w:r>
        <w:rPr>
          <w:rFonts w:hint="eastAsia" w:cs="MingLiU" w:asciiTheme="minorEastAsia" w:hAnsiTheme="minorEastAsia" w:eastAsiaTheme="minorEastAsia"/>
          <w:b/>
          <w:sz w:val="28"/>
          <w:szCs w:val="28"/>
        </w:rPr>
        <w:t>三亚市海棠区人民政府</w:t>
      </w:r>
    </w:p>
    <w:p>
      <w:pPr>
        <w:pStyle w:val="14"/>
        <w:spacing w:beforeAutospacing="0" w:afterAutospacing="0" w:line="700" w:lineRule="exact"/>
        <w:jc w:val="center"/>
        <w:rPr>
          <w:rFonts w:cs="MingLiU" w:asciiTheme="minorEastAsia" w:hAnsiTheme="minorEastAsia" w:eastAsiaTheme="minorEastAsia"/>
          <w:b/>
          <w:sz w:val="28"/>
          <w:szCs w:val="28"/>
        </w:rPr>
      </w:pPr>
      <w:r>
        <w:rPr>
          <w:rFonts w:cs="MingLiU" w:asciiTheme="minorEastAsia" w:hAnsiTheme="minorEastAsia" w:eastAsiaTheme="minorEastAsia"/>
          <w:b/>
          <w:sz w:val="28"/>
          <w:szCs w:val="28"/>
        </w:rPr>
        <w:t>202</w:t>
      </w:r>
      <w:r>
        <w:rPr>
          <w:rFonts w:hint="eastAsia" w:cs="MingLiU" w:asciiTheme="minorEastAsia" w:hAnsiTheme="minorEastAsia" w:eastAsiaTheme="minorEastAsia"/>
          <w:b/>
          <w:sz w:val="28"/>
          <w:szCs w:val="28"/>
          <w:lang w:val="en-US" w:eastAsia="zh-CN"/>
        </w:rPr>
        <w:t>5</w:t>
      </w:r>
      <w:r>
        <w:rPr>
          <w:rFonts w:hint="eastAsia" w:cs="MingLiU" w:asciiTheme="minorEastAsia" w:hAnsiTheme="minorEastAsia" w:eastAsiaTheme="minorEastAsia"/>
          <w:b/>
          <w:sz w:val="28"/>
          <w:szCs w:val="28"/>
        </w:rPr>
        <w:t>年</w:t>
      </w:r>
      <w:r>
        <w:rPr>
          <w:rFonts w:hint="eastAsia" w:cs="MingLiU" w:asciiTheme="minorEastAsia" w:hAnsiTheme="minorEastAsia" w:eastAsiaTheme="minorEastAsia"/>
          <w:b/>
          <w:sz w:val="28"/>
          <w:szCs w:val="28"/>
          <w:lang w:val="en-US" w:eastAsia="zh-CN"/>
        </w:rPr>
        <w:t>5</w:t>
      </w:r>
      <w:r>
        <w:rPr>
          <w:rFonts w:hint="eastAsia" w:cs="MingLiU" w:asciiTheme="minorEastAsia" w:hAnsiTheme="minorEastAsia" w:eastAsiaTheme="minorEastAsia"/>
          <w:b/>
          <w:sz w:val="28"/>
          <w:szCs w:val="28"/>
        </w:rPr>
        <w:t>月</w:t>
      </w:r>
    </w:p>
    <w:bookmarkEnd w:id="0"/>
    <w:bookmarkEnd w:id="1"/>
    <w:bookmarkEnd w:id="2"/>
    <w:p>
      <w:pPr>
        <w:spacing w:line="600" w:lineRule="exact"/>
        <w:jc w:val="center"/>
        <w:rPr>
          <w:rFonts w:hint="eastAsia" w:asciiTheme="minorEastAsia" w:hAnsiTheme="minorEastAsia" w:eastAsiaTheme="minorEastAsia" w:cstheme="minorEastAsia"/>
          <w:b/>
          <w:sz w:val="21"/>
        </w:rPr>
        <w:sectPr>
          <w:headerReference r:id="rId3" w:type="default"/>
          <w:footerReference r:id="rId4" w:type="default"/>
          <w:pgSz w:w="11906" w:h="16838"/>
          <w:pgMar w:top="1417" w:right="1418" w:bottom="1418" w:left="1418" w:header="1418" w:footer="1418" w:gutter="0"/>
          <w:pgNumType w:start="1"/>
          <w:cols w:space="720" w:num="1"/>
          <w:docGrid w:type="linesAndChars" w:linePitch="584" w:charSpace="804"/>
        </w:sectPr>
      </w:pPr>
    </w:p>
    <w:sdt>
      <w:sdtPr>
        <w:rPr>
          <w:rFonts w:hint="eastAsia" w:asciiTheme="minorEastAsia" w:hAnsiTheme="minorEastAsia" w:eastAsiaTheme="minorEastAsia" w:cstheme="minorEastAsia"/>
          <w:b/>
          <w:sz w:val="21"/>
        </w:rPr>
        <w:id w:val="147451707"/>
      </w:sdtPr>
      <w:sdtEndPr>
        <w:rPr>
          <w:rFonts w:hint="eastAsia" w:asciiTheme="minorEastAsia" w:hAnsiTheme="minorEastAsia" w:eastAsiaTheme="minorEastAsia" w:cstheme="minorEastAsia"/>
          <w:b w:val="0"/>
          <w:sz w:val="28"/>
          <w:szCs w:val="28"/>
        </w:rPr>
      </w:sdtEndPr>
      <w:sdtContent>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目 录</w:t>
          </w:r>
        </w:p>
        <w:p>
          <w:pPr>
            <w:pStyle w:val="12"/>
            <w:tabs>
              <w:tab w:val="right" w:leader="dot" w:pos="9060"/>
            </w:tabs>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"_Toc184133641" </w:instrText>
          </w:r>
          <w:r>
            <w:rPr>
              <w:rFonts w:hint="eastAsia" w:asciiTheme="minorEastAsia" w:hAnsiTheme="minorEastAsia" w:eastAsiaTheme="minorEastAsia" w:cstheme="minorEastAsia"/>
              <w:b/>
              <w:bCs/>
              <w:sz w:val="28"/>
              <w:szCs w:val="28"/>
            </w:rPr>
            <w:fldChar w:fldCharType="separate"/>
          </w:r>
          <w:r>
            <w:rPr>
              <w:rStyle w:val="21"/>
              <w:rFonts w:hint="eastAsia" w:asciiTheme="minorEastAsia" w:hAnsiTheme="minorEastAsia" w:eastAsiaTheme="minorEastAsia" w:cstheme="minorEastAsia"/>
              <w:b/>
              <w:bCs/>
              <w:sz w:val="28"/>
              <w:szCs w:val="28"/>
            </w:rPr>
            <w:t>1 总则</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_Toc184133641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5</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"_Toc184133642"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1.1 编制目的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_Toc184133642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"_Toc184133643"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1.2 编制依据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_Toc184133643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"_Toc184133644"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1.3 工作原则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_Toc184133644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"_Toc184133645"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1.4 森林火灾的界定与分级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_Toc184133645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"_Toc184133646"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1.5 适用范围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_Toc184133646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"_Toc184133647"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1.6 风险分析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_Toc184133647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9060"/>
            </w:tabs>
            <w:spacing w:line="24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"_Toc184133648" </w:instrText>
          </w:r>
          <w:r>
            <w:rPr>
              <w:rFonts w:hint="eastAsia" w:asciiTheme="minorEastAsia" w:hAnsiTheme="minorEastAsia" w:eastAsiaTheme="minorEastAsia" w:cstheme="minorEastAsia"/>
              <w:b/>
              <w:bCs/>
              <w:sz w:val="28"/>
              <w:szCs w:val="28"/>
            </w:rPr>
            <w:fldChar w:fldCharType="separate"/>
          </w:r>
          <w:r>
            <w:rPr>
              <w:rStyle w:val="21"/>
              <w:rFonts w:hint="eastAsia" w:asciiTheme="minorEastAsia" w:hAnsiTheme="minorEastAsia" w:eastAsiaTheme="minorEastAsia" w:cstheme="minorEastAsia"/>
              <w:b/>
              <w:bCs/>
              <w:sz w:val="28"/>
              <w:szCs w:val="28"/>
            </w:rPr>
            <w:t>2 组织指挥体系</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_Toc184133648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8</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"_Toc184133649"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2.1 组织机构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_Toc184133649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"_Toc184133650"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2.1.1 区森林防灭火指挥部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_Toc184133650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"_Toc184133651"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2.1.2 市森林防灭火指挥部办公室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_Toc184133651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"_Toc184133652"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2.1.3 成员单位</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_Toc184133652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"_Toc184133653"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2.1.4 相关单位</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"_Toc184133654"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2.2 其它森林防灭火指挥机构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"_Toc184133655"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2.3 指挥救援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_Toc184133655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"_Toc184133656"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2.3.1 现场指挥部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_Toc184133656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"_Toc184133657"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2.3.2 现场工作组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_Toc184133657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"_Toc184133658"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2.4 应急力量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"_Toc184133659"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2.4.1 主要扑火力量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_Toc184133659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"_Toc184133660"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2.4.2 跨区增援、机动力量的组成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_Toc184133660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9060"/>
            </w:tabs>
            <w:spacing w:line="24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"_Toc184133661" </w:instrText>
          </w:r>
          <w:r>
            <w:rPr>
              <w:rFonts w:hint="eastAsia" w:asciiTheme="minorEastAsia" w:hAnsiTheme="minorEastAsia" w:eastAsiaTheme="minorEastAsia" w:cstheme="minorEastAsia"/>
              <w:b/>
              <w:bCs/>
              <w:sz w:val="28"/>
              <w:szCs w:val="28"/>
            </w:rPr>
            <w:fldChar w:fldCharType="separate"/>
          </w:r>
          <w:r>
            <w:rPr>
              <w:rStyle w:val="21"/>
              <w:rFonts w:hint="eastAsia" w:asciiTheme="minorEastAsia" w:hAnsiTheme="minorEastAsia" w:eastAsiaTheme="minorEastAsia" w:cstheme="minorEastAsia"/>
              <w:b/>
              <w:bCs/>
              <w:sz w:val="28"/>
              <w:szCs w:val="28"/>
            </w:rPr>
            <w:t>3 预报预警监测</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_Toc184133661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18</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"_Toc184133662"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3.1 预防</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_Toc184133662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"_Toc184133663"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3.1.1 建立应急会议制度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"_Toc184133664"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3.1.2 重点防护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_Toc184133664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"_Toc184133665"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3.2 预报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_Toc184133665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"_Toc184133666"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3.3 火灾监测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"_Toc184133667"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3.4 预警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_Toc184133667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"_Toc184133668"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3.4.1 预警分级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_Toc184133668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"_Toc184133669"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3.4.2 预警发布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_Toc184133669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"_Toc184133670"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3.4.3 预警响应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_Toc184133670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"_Toc184133671"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3.4.4 预警升级和解除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_Toc184133671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"_Toc184133672"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3.5 信息报告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_Toc184133672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"_Toc184133673"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3.5.1 火情报告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"_Toc184133674"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3.5.2 火灾报告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9060"/>
            </w:tabs>
            <w:spacing w:line="24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"_Toc184133675" </w:instrText>
          </w:r>
          <w:r>
            <w:rPr>
              <w:rFonts w:hint="eastAsia" w:asciiTheme="minorEastAsia" w:hAnsiTheme="minorEastAsia" w:eastAsiaTheme="minorEastAsia" w:cstheme="minorEastAsia"/>
              <w:b/>
              <w:bCs/>
              <w:sz w:val="28"/>
              <w:szCs w:val="28"/>
            </w:rPr>
            <w:fldChar w:fldCharType="separate"/>
          </w:r>
          <w:r>
            <w:rPr>
              <w:rStyle w:val="21"/>
              <w:rFonts w:hint="eastAsia" w:asciiTheme="minorEastAsia" w:hAnsiTheme="minorEastAsia" w:eastAsiaTheme="minorEastAsia" w:cstheme="minorEastAsia"/>
              <w:b/>
              <w:bCs/>
              <w:sz w:val="28"/>
              <w:szCs w:val="28"/>
            </w:rPr>
            <w:t>4 应急响应</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_Toc184133675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25</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"_Toc184133676"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4.1 响应分级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"_Toc184133677"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4.1.1 Ⅳ级响应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_Toc184133677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"_Toc184133678"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4.1.2 Ⅲ级响应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_Toc184133678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"_Toc184133679"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4.1.3 Ⅱ级响应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"_Toc184133680"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4.1.4 Ⅰ级响应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_Toc184133680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"_Toc184133681"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4.2 响应措施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_Toc184133681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"_Toc184133682"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4.2.1 Ⅳ级响应措施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_Toc184133682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"_Toc184133683"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4.2.2 Ⅲ级响应措施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"_Toc184133684"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4.2.3 Ⅱ级响应措施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_Toc184133684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"_Toc184133685"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4.2.4 Ⅰ级响应措施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_Toc184133685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"_Toc184133686"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4.3 应急处置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_Toc184133686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"_Toc184133687"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4.3.1 处置原则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"_Toc184133688"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4.3.2 先期处置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_Toc184133688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9060"/>
            </w:tabs>
            <w:spacing w:line="240" w:lineRule="auto"/>
            <w:ind w:left="12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"_Toc184133689"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napToGrid w:val="0"/>
              <w:kern w:val="0"/>
              <w:sz w:val="28"/>
              <w:szCs w:val="28"/>
            </w:rPr>
            <w:t>4.3.3 处置措施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_Toc184133689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"_Toc184133690"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4.4 应急结束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9060"/>
            </w:tabs>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"_Toc184133691" </w:instrText>
          </w:r>
          <w:r>
            <w:rPr>
              <w:rFonts w:hint="eastAsia" w:asciiTheme="minorEastAsia" w:hAnsiTheme="minorEastAsia" w:eastAsiaTheme="minorEastAsia" w:cstheme="minorEastAsia"/>
              <w:b/>
              <w:bCs/>
              <w:sz w:val="28"/>
              <w:szCs w:val="28"/>
            </w:rPr>
            <w:fldChar w:fldCharType="separate"/>
          </w:r>
          <w:r>
            <w:rPr>
              <w:rStyle w:val="21"/>
              <w:rFonts w:hint="eastAsia" w:asciiTheme="minorEastAsia" w:hAnsiTheme="minorEastAsia" w:eastAsiaTheme="minorEastAsia" w:cstheme="minorEastAsia"/>
              <w:b/>
              <w:bCs/>
              <w:sz w:val="28"/>
              <w:szCs w:val="28"/>
            </w:rPr>
            <w:t>5后期处置</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_Toc184133691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"_Toc184133692"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5.1 善后处理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_Toc184133692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"_Toc184133693"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5.2 调查评估</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_Toc184133693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"_Toc184133694"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5.3 火灾案件查处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_Toc184133694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"_Toc184133695"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5.4 工作总结</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_Toc184133695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"_Toc184133696"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5.5 责任与奖惩</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"_Toc184133697"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5.6 新闻报道</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_Toc184133697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9060"/>
            </w:tabs>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"_Toc184133698" </w:instrText>
          </w:r>
          <w:r>
            <w:rPr>
              <w:rFonts w:hint="eastAsia" w:asciiTheme="minorEastAsia" w:hAnsiTheme="minorEastAsia" w:eastAsiaTheme="minorEastAsia" w:cstheme="minorEastAsia"/>
              <w:b/>
              <w:bCs/>
              <w:sz w:val="28"/>
              <w:szCs w:val="28"/>
            </w:rPr>
            <w:fldChar w:fldCharType="separate"/>
          </w:r>
          <w:r>
            <w:rPr>
              <w:rStyle w:val="21"/>
              <w:rFonts w:hint="eastAsia" w:asciiTheme="minorEastAsia" w:hAnsiTheme="minorEastAsia" w:eastAsiaTheme="minorEastAsia" w:cstheme="minorEastAsia"/>
              <w:b/>
              <w:bCs/>
              <w:sz w:val="28"/>
              <w:szCs w:val="28"/>
            </w:rPr>
            <w:t>6 应急保障</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_Toc184133698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33</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"_Toc184133699"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6.1 通信与信息保障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_Toc184133699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"_Toc184133700"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6.2 后备力量保障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_Toc184133700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"_Toc184133701"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6.3 物资保障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"_Toc184133702"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6.4 资金保障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_Toc184133702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"_Toc184133703"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6.5 交通运输保障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_Toc184133703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"_Toc184133704"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6.6 医疗卫生保障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_Toc184133704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"_Toc184133705"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6.7 技术保障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_Toc184133705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9060"/>
            </w:tabs>
            <w:spacing w:line="24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"_Toc184133706" </w:instrText>
          </w:r>
          <w:r>
            <w:rPr>
              <w:rFonts w:hint="eastAsia" w:asciiTheme="minorEastAsia" w:hAnsiTheme="minorEastAsia" w:eastAsiaTheme="minorEastAsia" w:cstheme="minorEastAsia"/>
              <w:b/>
              <w:bCs/>
              <w:sz w:val="28"/>
              <w:szCs w:val="28"/>
            </w:rPr>
            <w:fldChar w:fldCharType="separate"/>
          </w:r>
          <w:r>
            <w:rPr>
              <w:rStyle w:val="21"/>
              <w:rFonts w:hint="eastAsia" w:asciiTheme="minorEastAsia" w:hAnsiTheme="minorEastAsia" w:eastAsiaTheme="minorEastAsia" w:cstheme="minorEastAsia"/>
              <w:b/>
              <w:bCs/>
              <w:sz w:val="28"/>
              <w:szCs w:val="28"/>
            </w:rPr>
            <w:t>7 附则</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_Toc184133706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34</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"_Toc184133707"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7.1 预案管理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_Toc184133707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"_Toc184133708"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7.2 宣教培训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_Toc184133708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"_Toc184133709"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7.3 预案演练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_Toc184133709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"_Toc184133710"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7.4 制定解释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"_Toc184133711"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7.5 预案实施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9060"/>
            </w:tabs>
            <w:spacing w:line="24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"_Toc184133712" </w:instrText>
          </w:r>
          <w:r>
            <w:rPr>
              <w:rFonts w:hint="eastAsia" w:asciiTheme="minorEastAsia" w:hAnsiTheme="minorEastAsia" w:eastAsiaTheme="minorEastAsia" w:cstheme="minorEastAsia"/>
              <w:b/>
              <w:bCs/>
              <w:sz w:val="28"/>
              <w:szCs w:val="28"/>
            </w:rPr>
            <w:fldChar w:fldCharType="separate"/>
          </w:r>
          <w:r>
            <w:rPr>
              <w:rStyle w:val="21"/>
              <w:rFonts w:hint="eastAsia" w:asciiTheme="minorEastAsia" w:hAnsiTheme="minorEastAsia" w:eastAsiaTheme="minorEastAsia" w:cstheme="minorEastAsia"/>
              <w:b/>
              <w:bCs/>
              <w:sz w:val="28"/>
              <w:szCs w:val="28"/>
            </w:rPr>
            <w:t>8 附件</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_Toc184133712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37</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"_Toc184133713"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附件1 森林消防专业应急救援队伍装备一览表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_Toc184133713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"_Toc184133714"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附件2 海棠区各部门(单位)主要负责人通讯录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_Toc184133714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9060"/>
            </w:tabs>
            <w:spacing w:line="240" w:lineRule="auto"/>
            <w:ind w:left="648"/>
            <w:rPr>
              <w:rFonts w:asciiTheme="minorHAnsi" w:hAnsiTheme="minorHAnsi" w:eastAsiaTheme="minorEastAsia" w:cstheme="minorBidi"/>
              <w:sz w:val="21"/>
              <w:szCs w:val="2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"_Toc184133715" </w:instrText>
          </w:r>
          <w:r>
            <w:rPr>
              <w:rFonts w:hint="eastAsia" w:asciiTheme="minorEastAsia" w:hAnsiTheme="minorEastAsia" w:eastAsiaTheme="minorEastAsia" w:cstheme="minorEastAsia"/>
              <w:sz w:val="28"/>
              <w:szCs w:val="28"/>
            </w:rPr>
            <w:fldChar w:fldCharType="separate"/>
          </w:r>
          <w:r>
            <w:rPr>
              <w:rStyle w:val="21"/>
              <w:rFonts w:hint="eastAsia" w:asciiTheme="minorEastAsia" w:hAnsiTheme="minorEastAsia" w:eastAsiaTheme="minorEastAsia" w:cstheme="minorEastAsia"/>
              <w:sz w:val="28"/>
              <w:szCs w:val="28"/>
            </w:rPr>
            <w:t>附件3 海棠区各村（居）委会应急通讯录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_Toc184133715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end"/>
          </w:r>
        </w:p>
      </w:sdtContent>
    </w:sdt>
    <w:p>
      <w:pPr>
        <w:pStyle w:val="13"/>
        <w:tabs>
          <w:tab w:val="right" w:leader="dot" w:pos="9070"/>
        </w:tabs>
        <w:spacing w:line="600" w:lineRule="exact"/>
        <w:ind w:left="0" w:leftChars="0" w:firstLine="486" w:firstLineChars="200"/>
        <w:rPr>
          <w:rFonts w:ascii="宋体" w:hAnsi="宋体" w:eastAsia="宋体" w:cs="宋体"/>
          <w:b/>
        </w:rPr>
      </w:pPr>
    </w:p>
    <w:p>
      <w:pPr>
        <w:pStyle w:val="13"/>
        <w:tabs>
          <w:tab w:val="right" w:leader="dot" w:pos="9070"/>
        </w:tabs>
        <w:spacing w:line="600" w:lineRule="exact"/>
        <w:ind w:left="0" w:leftChars="0" w:firstLine="486" w:firstLineChars="200"/>
        <w:rPr>
          <w:rFonts w:ascii="宋体" w:hAnsi="宋体" w:eastAsia="宋体" w:cs="宋体"/>
          <w:b/>
        </w:rPr>
      </w:pPr>
    </w:p>
    <w:p>
      <w:pPr>
        <w:pStyle w:val="13"/>
        <w:tabs>
          <w:tab w:val="right" w:leader="dot" w:pos="9070"/>
        </w:tabs>
        <w:spacing w:line="600" w:lineRule="exact"/>
        <w:ind w:left="0" w:leftChars="0" w:firstLine="486" w:firstLineChars="200"/>
        <w:rPr>
          <w:rFonts w:ascii="宋体" w:hAnsi="宋体" w:eastAsia="宋体" w:cs="宋体"/>
          <w:b/>
        </w:rPr>
      </w:pPr>
    </w:p>
    <w:p>
      <w:pPr>
        <w:spacing w:line="600" w:lineRule="exact"/>
      </w:pPr>
    </w:p>
    <w:p>
      <w:pPr>
        <w:spacing w:line="600" w:lineRule="exact"/>
      </w:pPr>
    </w:p>
    <w:p>
      <w:pPr>
        <w:spacing w:line="600" w:lineRule="exact"/>
      </w:pPr>
    </w:p>
    <w:p>
      <w:pPr>
        <w:pStyle w:val="13"/>
        <w:tabs>
          <w:tab w:val="right" w:leader="dot" w:pos="9070"/>
        </w:tabs>
        <w:spacing w:line="600" w:lineRule="exact"/>
        <w:ind w:left="0" w:leftChars="0" w:firstLine="486" w:firstLineChars="200"/>
        <w:rPr>
          <w:rFonts w:ascii="宋体" w:hAnsi="宋体" w:eastAsia="宋体" w:cs="宋体"/>
          <w:b/>
        </w:rPr>
      </w:pPr>
    </w:p>
    <w:p>
      <w:pPr>
        <w:pStyle w:val="13"/>
        <w:tabs>
          <w:tab w:val="right" w:leader="dot" w:pos="9070"/>
        </w:tabs>
        <w:spacing w:line="600" w:lineRule="exact"/>
        <w:ind w:left="0" w:leftChars="0" w:firstLine="486" w:firstLineChars="200"/>
        <w:rPr>
          <w:rFonts w:ascii="宋体" w:hAnsi="宋体" w:eastAsia="宋体" w:cs="宋体"/>
          <w:b/>
        </w:rPr>
        <w:sectPr>
          <w:footerReference r:id="rId5" w:type="default"/>
          <w:pgSz w:w="11906" w:h="16838"/>
          <w:pgMar w:top="1417" w:right="1418" w:bottom="1418" w:left="1418" w:header="1418" w:footer="1418" w:gutter="0"/>
          <w:pgNumType w:start="1"/>
          <w:cols w:space="720" w:num="1"/>
          <w:docGrid w:type="linesAndChars" w:linePitch="584" w:charSpace="804"/>
        </w:sectPr>
      </w:pPr>
    </w:p>
    <w:p>
      <w:pPr>
        <w:pStyle w:val="3"/>
        <w:spacing w:before="0" w:after="0" w:line="600" w:lineRule="exact"/>
        <w:ind w:firstLine="720" w:firstLineChars="200"/>
        <w:rPr>
          <w:rFonts w:ascii="黑体" w:hAnsi="黑体"/>
          <w:b w:val="0"/>
          <w:bCs w:val="0"/>
          <w:sz w:val="36"/>
          <w:szCs w:val="36"/>
        </w:rPr>
      </w:pPr>
      <w:bookmarkStart w:id="3" w:name="_Toc50347174"/>
      <w:bookmarkStart w:id="4" w:name="_Toc184133641"/>
      <w:r>
        <w:rPr>
          <w:rFonts w:hint="eastAsia" w:ascii="黑体" w:hAnsi="黑体"/>
          <w:b w:val="0"/>
          <w:bCs w:val="0"/>
          <w:sz w:val="36"/>
          <w:szCs w:val="36"/>
        </w:rPr>
        <w:t>1</w:t>
      </w:r>
      <w:r>
        <w:rPr>
          <w:rFonts w:ascii="黑体" w:hAnsi="黑体"/>
          <w:b w:val="0"/>
          <w:bCs w:val="0"/>
          <w:sz w:val="36"/>
          <w:szCs w:val="36"/>
        </w:rPr>
        <w:t xml:space="preserve"> </w:t>
      </w:r>
      <w:r>
        <w:rPr>
          <w:rFonts w:hint="eastAsia" w:ascii="黑体" w:hAnsi="黑体"/>
          <w:b w:val="0"/>
          <w:bCs w:val="0"/>
          <w:sz w:val="36"/>
          <w:szCs w:val="36"/>
        </w:rPr>
        <w:t>总则</w:t>
      </w:r>
      <w:bookmarkEnd w:id="3"/>
      <w:bookmarkEnd w:id="4"/>
    </w:p>
    <w:p>
      <w:pPr>
        <w:pStyle w:val="4"/>
        <w:spacing w:before="0" w:beforeAutospacing="0" w:after="0" w:afterAutospacing="0" w:line="600" w:lineRule="exact"/>
        <w:ind w:firstLine="643"/>
        <w:rPr>
          <w:rFonts w:hint="default" w:asciiTheme="minorEastAsia" w:hAnsiTheme="minorEastAsia" w:eastAsiaTheme="minorEastAsia"/>
        </w:rPr>
      </w:pPr>
      <w:bookmarkStart w:id="5" w:name="_Toc50347175"/>
      <w:bookmarkStart w:id="6" w:name="_Toc184133642"/>
      <w:r>
        <w:rPr>
          <w:rFonts w:asciiTheme="minorEastAsia" w:hAnsiTheme="minorEastAsia" w:eastAsiaTheme="minorEastAsia"/>
        </w:rPr>
        <w:t>1.1 编制目的</w:t>
      </w:r>
      <w:bookmarkEnd w:id="5"/>
      <w:bookmarkEnd w:id="6"/>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切实贯彻落实“预防为主、积极消灭”的森林防灭火工作方针，进一步建立健全海棠区人民政府森林火灾应对工作机制，依法有力有序有效实施森林火灾应急</w:t>
      </w:r>
      <w:r>
        <w:rPr>
          <w:rFonts w:hint="eastAsia" w:ascii="仿宋" w:hAnsi="仿宋" w:eastAsia="仿宋"/>
          <w:snapToGrid w:val="0"/>
          <w:kern w:val="0"/>
        </w:rPr>
        <w:t>救援工作</w:t>
      </w:r>
      <w:r>
        <w:rPr>
          <w:rFonts w:hint="eastAsia" w:ascii="仿宋" w:hAnsi="仿宋" w:eastAsia="仿宋" w:cs="宋体"/>
          <w:snapToGrid w:val="0"/>
          <w:kern w:val="0"/>
        </w:rPr>
        <w:t>，最大限度减少森林火灾及其造成的人员伤亡和财产损失，有力保护森林、保护生态环境资源，维护生态安全。</w:t>
      </w:r>
    </w:p>
    <w:p>
      <w:pPr>
        <w:pStyle w:val="4"/>
        <w:spacing w:before="0" w:beforeAutospacing="0" w:after="0" w:afterAutospacing="0" w:line="600" w:lineRule="exact"/>
        <w:ind w:firstLine="643"/>
        <w:rPr>
          <w:rFonts w:hint="default" w:asciiTheme="minorEastAsia" w:hAnsiTheme="minorEastAsia" w:eastAsiaTheme="minorEastAsia"/>
        </w:rPr>
      </w:pPr>
      <w:bookmarkStart w:id="7" w:name="_Toc50347176"/>
      <w:bookmarkStart w:id="8" w:name="_Toc184133643"/>
      <w:r>
        <w:rPr>
          <w:rFonts w:asciiTheme="minorEastAsia" w:hAnsiTheme="minorEastAsia" w:eastAsiaTheme="minorEastAsia"/>
        </w:rPr>
        <w:t>1.2</w:t>
      </w:r>
      <w:r>
        <w:rPr>
          <w:rFonts w:hint="default" w:asciiTheme="minorEastAsia" w:hAnsiTheme="minorEastAsia" w:eastAsiaTheme="minorEastAsia"/>
        </w:rPr>
        <w:t xml:space="preserve"> </w:t>
      </w:r>
      <w:r>
        <w:rPr>
          <w:rFonts w:asciiTheme="minorEastAsia" w:hAnsiTheme="minorEastAsia" w:eastAsiaTheme="minorEastAsia"/>
        </w:rPr>
        <w:t>编制依据</w:t>
      </w:r>
      <w:bookmarkEnd w:id="7"/>
      <w:bookmarkEnd w:id="8"/>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依据《中华人民共和国森林法》、《森林防火条例》、《国家森林火灾应急预案》、《海南省森林防火条例》、《海南省突发事件总体应急预案》、《海南省森林火灾应急预案》、《三亚市突发事件总体应急预案》、《三亚市森林火灾应急预案》、《三亚市海棠区突发事件总体应急预案》及海棠区机构改革方案等</w:t>
      </w:r>
      <w:r>
        <w:rPr>
          <w:rFonts w:ascii="仿宋" w:hAnsi="仿宋" w:eastAsia="仿宋" w:cs="宋体"/>
          <w:snapToGrid w:val="0"/>
          <w:kern w:val="0"/>
        </w:rPr>
        <w:t>法律法规及规范性文件</w:t>
      </w:r>
      <w:r>
        <w:rPr>
          <w:rFonts w:hint="eastAsia" w:ascii="仿宋" w:hAnsi="仿宋" w:eastAsia="仿宋" w:cs="宋体"/>
          <w:snapToGrid w:val="0"/>
          <w:kern w:val="0"/>
        </w:rPr>
        <w:t>,特制定本预案。</w:t>
      </w:r>
    </w:p>
    <w:p>
      <w:pPr>
        <w:pStyle w:val="4"/>
        <w:spacing w:before="0" w:beforeAutospacing="0" w:after="0" w:afterAutospacing="0" w:line="600" w:lineRule="exact"/>
        <w:ind w:firstLine="643"/>
        <w:rPr>
          <w:rFonts w:hint="default" w:asciiTheme="minorEastAsia" w:hAnsiTheme="minorEastAsia" w:eastAsiaTheme="minorEastAsia"/>
        </w:rPr>
      </w:pPr>
      <w:bookmarkStart w:id="9" w:name="_Toc50347177"/>
      <w:bookmarkStart w:id="10" w:name="_Toc184133644"/>
      <w:r>
        <w:rPr>
          <w:rFonts w:asciiTheme="minorEastAsia" w:hAnsiTheme="minorEastAsia" w:eastAsiaTheme="minorEastAsia"/>
        </w:rPr>
        <w:t>1.3</w:t>
      </w:r>
      <w:r>
        <w:rPr>
          <w:rFonts w:hint="default" w:asciiTheme="minorEastAsia" w:hAnsiTheme="minorEastAsia" w:eastAsiaTheme="minorEastAsia"/>
        </w:rPr>
        <w:t xml:space="preserve"> </w:t>
      </w:r>
      <w:r>
        <w:rPr>
          <w:rFonts w:asciiTheme="minorEastAsia" w:hAnsiTheme="minorEastAsia" w:eastAsiaTheme="minorEastAsia"/>
        </w:rPr>
        <w:t>工作原则</w:t>
      </w:r>
      <w:bookmarkEnd w:id="9"/>
      <w:bookmarkEnd w:id="10"/>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(1)统一领导，分级负责</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在区委、区人民政府的统一领导下，区森林防灭火指挥部（以下简称“区森防指”）负责制定和协调组织实施本预案，同时指导全区各社区、村森林防灭火部门制定本辖区的森林防灭火应急方案，按照属地管理、分级响应的要求，落实应急处置责任制。</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(2)协调配合，快速反应</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本预案所涉及的相关单位，应根据本单位在森林防灭火工作中应履行的职责密切协作、形成合力，确保预案实施快速有效。</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(3)以人为本，安全防范</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要坚持把保护人民群众生命安全放在首位，全力保护人民群众财产、林区公共设施和保护森林资源的安全，把森林火灾造成的损失降到最低程度。</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(4)提高警惕，常备不懈</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各村（居）委会要全面落实预防森林火灾的各项措施，建立应对森林火灾事件的有效机制，做到常备不懈，快速反应，及时处置。</w:t>
      </w:r>
    </w:p>
    <w:p>
      <w:pPr>
        <w:pStyle w:val="4"/>
        <w:spacing w:before="0" w:beforeAutospacing="0" w:after="0" w:afterAutospacing="0" w:line="600" w:lineRule="exact"/>
        <w:ind w:firstLine="643"/>
        <w:rPr>
          <w:rFonts w:hint="default" w:asciiTheme="minorEastAsia" w:hAnsiTheme="minorEastAsia" w:eastAsiaTheme="minorEastAsia"/>
        </w:rPr>
      </w:pPr>
      <w:bookmarkStart w:id="11" w:name="_Toc184133645"/>
      <w:bookmarkStart w:id="12" w:name="_Toc50347178"/>
      <w:r>
        <w:rPr>
          <w:rFonts w:asciiTheme="minorEastAsia" w:hAnsiTheme="minorEastAsia" w:eastAsiaTheme="minorEastAsia"/>
        </w:rPr>
        <w:t>1.4</w:t>
      </w:r>
      <w:r>
        <w:rPr>
          <w:rFonts w:hint="default" w:asciiTheme="minorEastAsia" w:hAnsiTheme="minorEastAsia" w:eastAsiaTheme="minorEastAsia"/>
        </w:rPr>
        <w:t xml:space="preserve"> </w:t>
      </w:r>
      <w:r>
        <w:rPr>
          <w:rFonts w:asciiTheme="minorEastAsia" w:hAnsiTheme="minorEastAsia" w:eastAsiaTheme="minorEastAsia"/>
        </w:rPr>
        <w:t>森林火灾的界定与分级</w:t>
      </w:r>
      <w:bookmarkEnd w:id="11"/>
      <w:bookmarkEnd w:id="12"/>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本预案所称森林火灾是指失去人为控制，在林地内自由蔓延和扩展，对森林、自然生态系统和人类造成危害和损失的林火灾害。发生森林火灾按照其严重程度，受害面积和伤亡人数，共分为四级：</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Ⅳ级（一般森林火灾）：受害森林面积在1公顷以下或者其他林地起火的，或者死亡1人以上3人以下的，或者重伤1人以上10人以下的；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Ⅲ级（较大森林火灾）：受害森林面积在1公顷以上100公顷以下的，或者死亡3人以上10人以下的，或者重伤10人以上50人以下的；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Ⅱ级（重大森林火灾）：受害森林面积在100公顷以上1000公顷以下的，或者死亡10人以上30人以下的，或者重伤50人以上100人以下的；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Ⅰ级（特别重大森林火灾）：受害森林面积在1000公顷以上的，或者死亡30人以上的，或者重伤100人以上的。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本条第一款所称“以上”包括本数，“以下”不包括本数。</w:t>
      </w:r>
    </w:p>
    <w:p>
      <w:pPr>
        <w:pStyle w:val="4"/>
        <w:spacing w:before="0" w:beforeAutospacing="0" w:after="0" w:afterAutospacing="0" w:line="600" w:lineRule="exact"/>
        <w:ind w:firstLine="643"/>
        <w:rPr>
          <w:rFonts w:hint="default" w:asciiTheme="minorEastAsia" w:hAnsiTheme="minorEastAsia" w:eastAsiaTheme="minorEastAsia"/>
        </w:rPr>
      </w:pPr>
      <w:bookmarkStart w:id="13" w:name="_Toc184133646"/>
      <w:bookmarkStart w:id="14" w:name="_Toc50347179"/>
      <w:r>
        <w:rPr>
          <w:rFonts w:asciiTheme="minorEastAsia" w:hAnsiTheme="minorEastAsia" w:eastAsiaTheme="minorEastAsia"/>
        </w:rPr>
        <w:t>1.5</w:t>
      </w:r>
      <w:r>
        <w:rPr>
          <w:rFonts w:hint="default" w:asciiTheme="minorEastAsia" w:hAnsiTheme="minorEastAsia" w:eastAsiaTheme="minorEastAsia"/>
        </w:rPr>
        <w:t xml:space="preserve"> </w:t>
      </w:r>
      <w:r>
        <w:rPr>
          <w:rFonts w:asciiTheme="minorEastAsia" w:hAnsiTheme="minorEastAsia" w:eastAsiaTheme="minorEastAsia"/>
        </w:rPr>
        <w:t>适用范围</w:t>
      </w:r>
      <w:bookmarkEnd w:id="13"/>
      <w:bookmarkEnd w:id="14"/>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本预案适用于海棠区行政区域内森林火灾的应对和应急处置工作。</w:t>
      </w:r>
    </w:p>
    <w:p>
      <w:pPr>
        <w:pStyle w:val="4"/>
        <w:spacing w:before="0" w:beforeAutospacing="0" w:after="0" w:afterAutospacing="0" w:line="600" w:lineRule="exact"/>
        <w:ind w:firstLine="643"/>
        <w:rPr>
          <w:rFonts w:hint="default" w:asciiTheme="minorEastAsia" w:hAnsiTheme="minorEastAsia" w:eastAsiaTheme="minorEastAsia"/>
        </w:rPr>
      </w:pPr>
      <w:bookmarkStart w:id="15" w:name="_Toc184133647"/>
      <w:r>
        <w:rPr>
          <w:rFonts w:hint="default" w:asciiTheme="minorEastAsia" w:hAnsiTheme="minorEastAsia" w:eastAsiaTheme="minorEastAsia"/>
        </w:rPr>
        <w:t>1</w:t>
      </w:r>
      <w:r>
        <w:rPr>
          <w:rFonts w:asciiTheme="minorEastAsia" w:hAnsiTheme="minorEastAsia" w:eastAsiaTheme="minorEastAsia"/>
        </w:rPr>
        <w:t>.</w:t>
      </w:r>
      <w:r>
        <w:rPr>
          <w:rFonts w:hint="default" w:asciiTheme="minorEastAsia" w:hAnsiTheme="minorEastAsia" w:eastAsiaTheme="minorEastAsia"/>
        </w:rPr>
        <w:t>6</w:t>
      </w:r>
      <w:r>
        <w:rPr>
          <w:rFonts w:asciiTheme="minorEastAsia" w:hAnsiTheme="minorEastAsia" w:eastAsiaTheme="minorEastAsia"/>
        </w:rPr>
        <w:t xml:space="preserve"> 风险分析</w:t>
      </w:r>
      <w:bookmarkEnd w:id="15"/>
    </w:p>
    <w:p>
      <w:pPr>
        <w:ind w:firstLine="640" w:firstLineChars="200"/>
        <w:rPr>
          <w:rFonts w:ascii="仿宋" w:hAnsi="仿宋" w:eastAsia="仿宋" w:cs="宋体"/>
          <w:kern w:val="0"/>
        </w:rPr>
      </w:pPr>
      <w:r>
        <w:rPr>
          <w:rFonts w:hint="eastAsia" w:ascii="仿宋" w:hAnsi="仿宋" w:eastAsia="仿宋" w:cs="宋体"/>
          <w:kern w:val="0"/>
        </w:rPr>
        <w:t>海棠区共有林地面积约11万亩，林木绿化覆盖率达69%，公益林管护面积4万余亩，主要涉及道龙楼、湾坡、青田、升昌、铁炉等村。森林火灾风险主要有以下几点：</w:t>
      </w:r>
    </w:p>
    <w:p>
      <w:pPr>
        <w:ind w:firstLine="640" w:firstLineChars="200"/>
        <w:rPr>
          <w:rFonts w:ascii="仿宋" w:hAnsi="仿宋" w:eastAsia="仿宋" w:cs="宋体"/>
          <w:kern w:val="0"/>
        </w:rPr>
      </w:pPr>
      <w:r>
        <w:rPr>
          <w:rFonts w:hint="eastAsia" w:ascii="仿宋" w:hAnsi="仿宋" w:eastAsia="仿宋" w:cs="宋体"/>
          <w:kern w:val="0"/>
        </w:rPr>
        <w:t>（1）全球性气温升高，高火险天气增多。</w:t>
      </w:r>
    </w:p>
    <w:p>
      <w:pPr>
        <w:ind w:firstLine="640" w:firstLineChars="200"/>
        <w:rPr>
          <w:rFonts w:ascii="仿宋" w:hAnsi="仿宋" w:eastAsia="仿宋" w:cs="宋体"/>
          <w:kern w:val="0"/>
        </w:rPr>
      </w:pPr>
      <w:r>
        <w:rPr>
          <w:rFonts w:hint="eastAsia" w:ascii="仿宋" w:hAnsi="仿宋" w:eastAsia="仿宋" w:cs="宋体"/>
          <w:kern w:val="0"/>
        </w:rPr>
        <w:t>（2）连年实施的封山育林，林内枯枝落叶不断增多，林下可燃物越积越多。</w:t>
      </w:r>
    </w:p>
    <w:p>
      <w:pPr>
        <w:ind w:firstLine="720" w:firstLineChars="225"/>
        <w:rPr>
          <w:rFonts w:ascii="仿宋" w:hAnsi="仿宋" w:eastAsia="仿宋" w:cs="宋体"/>
          <w:kern w:val="0"/>
        </w:rPr>
      </w:pPr>
      <w:r>
        <w:rPr>
          <w:rFonts w:hint="eastAsia" w:ascii="仿宋" w:hAnsi="仿宋" w:eastAsia="仿宋" w:cs="宋体"/>
          <w:kern w:val="0"/>
        </w:rPr>
        <w:t>（3）人工种植的桉树、木麻黄、马占树等防风林和商品林面积较大，加上农业用地与山林、林地相接，农村农事活动的生产性用火，特别是到甘蔗榨季，群众野外用火烧甘蔗叶难以遏制。从事农业生产活动人员对农事活动用火和野外用火的法律规定不了解。</w:t>
      </w:r>
    </w:p>
    <w:p>
      <w:pPr>
        <w:ind w:firstLine="697" w:firstLineChars="218"/>
        <w:rPr>
          <w:rFonts w:ascii="仿宋" w:hAnsi="仿宋" w:eastAsia="仿宋" w:cs="宋体"/>
          <w:kern w:val="0"/>
        </w:rPr>
      </w:pPr>
      <w:r>
        <w:rPr>
          <w:rFonts w:hint="eastAsia" w:ascii="仿宋" w:hAnsi="仿宋" w:eastAsia="仿宋" w:cs="宋体"/>
          <w:kern w:val="0"/>
        </w:rPr>
        <w:t>（4）防灭火意识淡薄。在春耕备耕、甘蔗榨季群众生产性用火烧荒，烧甘蔗叶；“春节”、“清明节”、“五一节”等重大节假日期间，群众上坟祭祖时仍保留烧火纸、点火烛、放鞭炮、焚香和放牧、捕猎等易引发森林火灾隐患的传统习俗。</w:t>
      </w:r>
    </w:p>
    <w:p>
      <w:pPr>
        <w:ind w:firstLine="697" w:firstLineChars="218"/>
        <w:rPr>
          <w:rFonts w:ascii="仿宋" w:hAnsi="仿宋" w:eastAsia="仿宋" w:cs="宋体"/>
          <w:kern w:val="0"/>
        </w:rPr>
      </w:pPr>
      <w:r>
        <w:rPr>
          <w:rFonts w:hint="eastAsia" w:ascii="仿宋" w:hAnsi="仿宋" w:eastAsia="仿宋" w:cs="宋体"/>
          <w:kern w:val="0"/>
        </w:rPr>
        <w:t>（5）护林防灭火宣传、管理、巡查、督促仍待加强，对林区附近疯、痴、呆、傻等智障人员及老人儿童等特殊群体缺乏有效的监护。</w:t>
      </w:r>
    </w:p>
    <w:p>
      <w:pPr>
        <w:ind w:firstLine="697" w:firstLineChars="218"/>
        <w:rPr>
          <w:rFonts w:ascii="仿宋" w:hAnsi="仿宋" w:eastAsia="仿宋" w:cs="宋体"/>
          <w:kern w:val="0"/>
        </w:rPr>
      </w:pPr>
      <w:r>
        <w:rPr>
          <w:rFonts w:hint="eastAsia" w:ascii="仿宋" w:hAnsi="仿宋" w:eastAsia="仿宋" w:cs="宋体"/>
          <w:kern w:val="0"/>
        </w:rPr>
        <w:t>（6）生态旅游景区、景点的游客大幅度增加，森林火灾隐患增大。</w:t>
      </w:r>
    </w:p>
    <w:p>
      <w:pPr>
        <w:ind w:firstLine="697" w:firstLineChars="218"/>
        <w:rPr>
          <w:rFonts w:ascii="仿宋" w:hAnsi="仿宋" w:eastAsia="仿宋" w:cs="宋体"/>
          <w:kern w:val="0"/>
        </w:rPr>
      </w:pPr>
      <w:r>
        <w:rPr>
          <w:rFonts w:hint="eastAsia" w:ascii="仿宋" w:hAnsi="仿宋" w:eastAsia="仿宋" w:cs="宋体"/>
          <w:kern w:val="0"/>
        </w:rPr>
        <w:t>（7）人为故意纵火毁林犯罪行为。</w:t>
      </w:r>
    </w:p>
    <w:p>
      <w:pPr>
        <w:pStyle w:val="3"/>
        <w:spacing w:before="0" w:after="0" w:line="600" w:lineRule="exact"/>
        <w:ind w:firstLine="720" w:firstLineChars="200"/>
        <w:rPr>
          <w:rFonts w:ascii="黑体" w:hAnsi="黑体"/>
          <w:b w:val="0"/>
          <w:bCs w:val="0"/>
          <w:sz w:val="36"/>
          <w:szCs w:val="36"/>
        </w:rPr>
      </w:pPr>
      <w:bookmarkStart w:id="16" w:name="_Toc184133648"/>
      <w:bookmarkStart w:id="17" w:name="_Toc50347186"/>
      <w:r>
        <w:rPr>
          <w:rFonts w:hint="eastAsia" w:ascii="黑体" w:hAnsi="黑体"/>
          <w:b w:val="0"/>
          <w:bCs w:val="0"/>
          <w:sz w:val="36"/>
          <w:szCs w:val="36"/>
        </w:rPr>
        <w:t>2 组织指挥体系</w:t>
      </w:r>
      <w:bookmarkEnd w:id="16"/>
      <w:bookmarkEnd w:id="17"/>
    </w:p>
    <w:p>
      <w:pPr>
        <w:pStyle w:val="4"/>
        <w:spacing w:before="0" w:beforeAutospacing="0" w:after="0" w:afterAutospacing="0" w:line="600" w:lineRule="exact"/>
        <w:ind w:firstLine="643"/>
        <w:rPr>
          <w:rFonts w:hint="default" w:asciiTheme="minorEastAsia" w:hAnsiTheme="minorEastAsia" w:eastAsiaTheme="minorEastAsia"/>
        </w:rPr>
      </w:pPr>
      <w:bookmarkStart w:id="18" w:name="_Toc50347187"/>
      <w:bookmarkStart w:id="19" w:name="_Toc184133649"/>
      <w:r>
        <w:rPr>
          <w:rFonts w:hint="default" w:asciiTheme="minorEastAsia" w:hAnsiTheme="minorEastAsia" w:eastAsiaTheme="minorEastAsia"/>
        </w:rPr>
        <w:t>2</w:t>
      </w:r>
      <w:r>
        <w:rPr>
          <w:rFonts w:asciiTheme="minorEastAsia" w:hAnsiTheme="minorEastAsia" w:eastAsiaTheme="minorEastAsia"/>
        </w:rPr>
        <w:t>.1</w:t>
      </w:r>
      <w:r>
        <w:rPr>
          <w:rFonts w:hint="default" w:asciiTheme="minorEastAsia" w:hAnsiTheme="minorEastAsia" w:eastAsiaTheme="minorEastAsia"/>
        </w:rPr>
        <w:t xml:space="preserve"> </w:t>
      </w:r>
      <w:bookmarkEnd w:id="18"/>
      <w:r>
        <w:rPr>
          <w:rFonts w:asciiTheme="minorEastAsia" w:hAnsiTheme="minorEastAsia" w:eastAsiaTheme="minorEastAsia"/>
        </w:rPr>
        <w:t>组织</w:t>
      </w:r>
      <w:r>
        <w:rPr>
          <w:rFonts w:hint="default" w:asciiTheme="minorEastAsia" w:hAnsiTheme="minorEastAsia" w:eastAsiaTheme="minorEastAsia"/>
        </w:rPr>
        <w:t>机构</w:t>
      </w:r>
      <w:bookmarkEnd w:id="19"/>
    </w:p>
    <w:p>
      <w:pPr>
        <w:pStyle w:val="5"/>
        <w:spacing w:before="0" w:after="0" w:line="600" w:lineRule="exact"/>
        <w:ind w:firstLine="643"/>
        <w:rPr>
          <w:snapToGrid w:val="0"/>
          <w:kern w:val="0"/>
        </w:rPr>
      </w:pPr>
      <w:bookmarkStart w:id="20" w:name="_Toc184133650"/>
      <w:r>
        <w:rPr>
          <w:rFonts w:hint="eastAsia"/>
          <w:snapToGrid w:val="0"/>
          <w:kern w:val="0"/>
        </w:rPr>
        <w:t>2.1.1</w:t>
      </w:r>
      <w:r>
        <w:rPr>
          <w:snapToGrid w:val="0"/>
          <w:kern w:val="0"/>
        </w:rPr>
        <w:t xml:space="preserve"> </w:t>
      </w:r>
      <w:r>
        <w:rPr>
          <w:rFonts w:hint="eastAsia"/>
          <w:snapToGrid w:val="0"/>
          <w:kern w:val="0"/>
        </w:rPr>
        <w:t>区森林防灭火指挥部</w:t>
      </w:r>
      <w:bookmarkEnd w:id="20"/>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森林防灭火指挥部（简称区森防指）是区政府议事协调机构，其主要任务是，在省、市森林防灭火指挥部及其办公室的指导下，在区委、区政府的统一领导下，研究部署、指导协调全区森林防灭火工作，提出全区森林防灭火工作的重大决策，解决森林防灭火工作中的重大问题。</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区森防指总指挥、副总指挥分别由</w:t>
      </w:r>
      <w:r>
        <w:rPr>
          <w:rFonts w:hint="eastAsia" w:ascii="仿宋" w:hAnsi="仿宋" w:eastAsia="仿宋" w:cs="宋体"/>
          <w:snapToGrid w:val="0"/>
          <w:kern w:val="0"/>
          <w:lang w:val="en-US" w:eastAsia="zh-CN"/>
        </w:rPr>
        <w:t>区长、</w:t>
      </w:r>
      <w:r>
        <w:rPr>
          <w:rFonts w:hint="eastAsia" w:ascii="仿宋" w:hAnsi="仿宋" w:eastAsia="仿宋" w:cs="宋体"/>
          <w:snapToGrid w:val="0"/>
          <w:kern w:val="0"/>
        </w:rPr>
        <w:t>分管副区长担任。</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成员单位：区人民武装部、区人民政府办公室、区应急管理局、区农业农村局、区消防救援大队、市公安局海棠分局、区发展和改革委员会、区财政局、区住房和城乡建设局、区交通运输局、区民政局、区卫生健康委员会、区教育局、区旅游和文化广电体育局。</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相关单位：区政法委、区宣传部、</w:t>
      </w:r>
      <w:r>
        <w:rPr>
          <w:rFonts w:hint="eastAsia" w:ascii="仿宋" w:hAnsi="仿宋" w:eastAsia="仿宋" w:cs="宋体"/>
          <w:snapToGrid w:val="0"/>
          <w:kern w:val="0"/>
          <w:lang w:eastAsia="zh-CN"/>
        </w:rPr>
        <w:t>区商务局</w:t>
      </w:r>
      <w:r>
        <w:rPr>
          <w:rFonts w:hint="eastAsia" w:ascii="仿宋" w:hAnsi="仿宋" w:eastAsia="仿宋" w:cs="宋体"/>
          <w:snapToGrid w:val="0"/>
          <w:kern w:val="0"/>
        </w:rPr>
        <w:t>、市自然资源和规划局海棠分局、三亚市城郊人民法院海棠湾人民法庭、三亚市人民检察院海棠湾检察室、区司法局、区水务林业局、海棠湾供电所。</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职责：对全区森林防灭火工作进行检查、监督；研究、协调、解决扑火救灾中的重大问题；根据前线指挥部的请求和扑火需要，指挥调动扑火急需的人员、物资和装备，协助当地村（居）委会尽快扑灭火灾；报请启动或终止本预案。</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 xml:space="preserve">    区森防指人员要根据工作变动适时调整。</w:t>
      </w:r>
    </w:p>
    <w:p>
      <w:pPr>
        <w:pStyle w:val="5"/>
        <w:spacing w:before="0" w:after="0" w:line="600" w:lineRule="exact"/>
        <w:ind w:firstLine="643"/>
        <w:rPr>
          <w:snapToGrid w:val="0"/>
          <w:kern w:val="0"/>
        </w:rPr>
      </w:pPr>
      <w:bookmarkStart w:id="21" w:name="_Toc184133651"/>
      <w:r>
        <w:rPr>
          <w:rFonts w:hint="eastAsia"/>
          <w:snapToGrid w:val="0"/>
          <w:kern w:val="0"/>
        </w:rPr>
        <w:t>2.1.2 市森林防灭火指挥部办公室</w:t>
      </w:r>
      <w:bookmarkEnd w:id="21"/>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区森防指下设区森林防灭火指挥部办公室（以下简称“区森防办”），区森防办日常办公设在区应急管理局，由局长兼任办公室主任，具体职责是：</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（1）负责森林防灭火办公室的日常工作，提出森林火灾事故的处置方案，报区森防指。</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（2）负责应急与值守，及时掌握报告火灾现场情况和动态；协调组织扑火力量、通信联系、火场监测及单位间的协调等各项具体应急处置措施落实工作。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（3）负责协调成员单位和相关部门确保扑火人员、扑火设备以及救援物资快速运输，为扑火工作提供后勤保障。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（4）负责对火场态势进行科学分析和评估，为扑救工作提供技术咨询。</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（5）协调和指导开展扑火救灾工作，负责及时向市森林防灭火指挥部反馈火场信息，协调解决在扑火中存在的实际困难。</w:t>
      </w:r>
    </w:p>
    <w:p>
      <w:pPr>
        <w:pStyle w:val="5"/>
        <w:spacing w:before="0" w:after="0" w:line="600" w:lineRule="exact"/>
        <w:ind w:firstLine="643"/>
        <w:rPr>
          <w:snapToGrid w:val="0"/>
          <w:kern w:val="0"/>
        </w:rPr>
      </w:pPr>
      <w:bookmarkStart w:id="22" w:name="_Toc184133652"/>
      <w:r>
        <w:rPr>
          <w:rFonts w:hint="eastAsia"/>
          <w:snapToGrid w:val="0"/>
          <w:kern w:val="0"/>
        </w:rPr>
        <w:t>2.1.3 成员单位</w:t>
      </w:r>
      <w:bookmarkEnd w:id="22"/>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区人民武装部：组织民兵或根据需要协调辖区驻军等参与扑火工作，必要时做好支援准备。</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区人民政府办公室：协助区森防指总指挥做好协调工作。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应急管理局：负责区森防指掌握全区火情动态及救灾工作信息，制定扑救方案，科学调度扑火队伍扑救森林火灾；帮助、指导灾区开展林业灾后恢复生产工作；负责灾民的救助和安置工作，做好灾民紧急转移安置；负责发动、收集社会募捐，资助住房恢复重建；负责救灾救济物资的储备、调集、分配、发放等工作；负责救灾救济资金的管理和使用；负责森林火灾的信息报送为新闻发布工作提供素材；协调电信部门负责所辖通信设施的森林防灭火安全，做好应急通讯保障；对接三亚市气象局，负责天气、气候监测和预报、警报工作，对重要天气形势和灾害性天气作出预报，并及时向区森防办提供气象信息。</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w:t>
      </w:r>
      <w:r>
        <w:rPr>
          <w:rFonts w:hint="eastAsia" w:ascii="仿宋" w:hAnsi="仿宋" w:eastAsia="仿宋" w:cs="宋体"/>
          <w:snapToGrid w:val="0"/>
          <w:kern w:val="0"/>
          <w:lang w:val="en-US" w:eastAsia="zh-CN"/>
        </w:rPr>
        <w:t>水务林业局</w:t>
      </w:r>
      <w:r>
        <w:rPr>
          <w:rFonts w:hint="eastAsia" w:ascii="仿宋" w:hAnsi="仿宋" w:eastAsia="仿宋" w:cs="宋体"/>
          <w:snapToGrid w:val="0"/>
          <w:kern w:val="0"/>
        </w:rPr>
        <w:t>：负责对全区农村野外生产用火宣传教育和督查。组织编制全区森林火灾防治规划并指导实施；组织、指导开展防火巡护、火源管理、防火设施建设、火情早期处理等工作；组织指导全区开展防灭火宣传教育、监测预警、督促检查等工作；指导、协调全区森林火灾防治工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区消防救援大队：参加森林火灾扑救工作。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市公安局海棠分局：负责火灾应急处置工作中的治安管理和安全保卫工作，预防和打击各种违法犯罪活动，并负责森林火灾案件的查处工作；协助开展抢险救援工作，组织群众撤离危险地区；负责交通疏导工作，确保疏散受灾群众和抢险救灾车辆通行无阻；加强对互联网、手机短信的监管控制，严防不法分子制造散播谣言影响社会稳定；协助有关部门查处森林火灾案件。</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区发展和改革委员会：负责将森林防灭火基础设施纳入全区国民经济和社会发展规划。</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区财政局：负责落实并及时拨付森林防灭火基础设施建设及森林火灾救灾资金，并对资金的使用情况进行监督，确保专款专用。</w:t>
      </w:r>
    </w:p>
    <w:p>
      <w:pPr>
        <w:spacing w:line="600" w:lineRule="exact"/>
        <w:ind w:firstLine="640" w:firstLineChars="200"/>
        <w:rPr>
          <w:rFonts w:hint="eastAsia" w:ascii="仿宋" w:hAnsi="仿宋" w:eastAsia="仿宋" w:cs="宋体"/>
          <w:snapToGrid w:val="0"/>
          <w:kern w:val="0"/>
          <w:lang w:val="en-US" w:eastAsia="zh-CN"/>
        </w:rPr>
      </w:pPr>
      <w:bookmarkStart w:id="23" w:name="_Toc50347191"/>
      <w:r>
        <w:rPr>
          <w:rFonts w:hint="eastAsia" w:ascii="仿宋" w:hAnsi="仿宋" w:eastAsia="仿宋" w:cs="宋体"/>
          <w:snapToGrid w:val="0"/>
          <w:kern w:val="0"/>
        </w:rPr>
        <w:t>区交通</w:t>
      </w:r>
      <w:r>
        <w:rPr>
          <w:rFonts w:ascii="仿宋" w:hAnsi="仿宋" w:eastAsia="仿宋" w:cs="宋体"/>
          <w:snapToGrid w:val="0"/>
          <w:kern w:val="0"/>
        </w:rPr>
        <w:t>运输局</w:t>
      </w:r>
      <w:r>
        <w:rPr>
          <w:rFonts w:hint="eastAsia" w:ascii="仿宋" w:hAnsi="仿宋" w:eastAsia="仿宋" w:cs="宋体"/>
          <w:snapToGrid w:val="0"/>
          <w:kern w:val="0"/>
        </w:rPr>
        <w:t>：</w:t>
      </w:r>
      <w:r>
        <w:rPr>
          <w:rFonts w:hint="eastAsia" w:ascii="仿宋" w:hAnsi="仿宋" w:eastAsia="仿宋" w:cs="宋体"/>
          <w:snapToGrid w:val="0"/>
          <w:kern w:val="0"/>
          <w:lang w:val="en-US" w:eastAsia="zh-CN"/>
        </w:rPr>
        <w:t>区交通运输局协助提供所需车辆运输森林防灭火应急物资，保证农村公路畅通无阻。</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民政局：有计划的在四处公益性公墓周围设立防火隔离带，落实防火措施，配备相应防火器材，做好公墓及周围森林防火工作，加强对扫墓人员进行森林防火的宣传和教育。对因森林火灾造成群众生活困难及时给予社会救济。</w:t>
      </w:r>
    </w:p>
    <w:p>
      <w:pPr>
        <w:spacing w:line="600" w:lineRule="exact"/>
        <w:ind w:firstLine="640" w:firstLineChars="200"/>
        <w:rPr>
          <w:rFonts w:ascii="仿宋" w:hAnsi="仿宋" w:eastAsia="仿宋" w:cs="宋体"/>
          <w:snapToGrid w:val="0"/>
          <w:kern w:val="0"/>
        </w:rPr>
      </w:pPr>
      <w:bookmarkStart w:id="24" w:name="_Toc25377"/>
      <w:r>
        <w:rPr>
          <w:rFonts w:hint="eastAsia" w:ascii="仿宋" w:hAnsi="仿宋" w:eastAsia="仿宋" w:cs="宋体"/>
          <w:snapToGrid w:val="0"/>
          <w:kern w:val="0"/>
        </w:rPr>
        <w:t>区卫生健康委员会：负责组织调度技术力量，抢救受灾受伤病员，做好灾区防疫工作，防止灾区疫情、疾病的发生、传播、蔓延。</w:t>
      </w:r>
      <w:bookmarkEnd w:id="24"/>
    </w:p>
    <w:p>
      <w:pPr>
        <w:spacing w:line="600" w:lineRule="exact"/>
        <w:ind w:firstLine="640" w:firstLineChars="200"/>
        <w:rPr>
          <w:rFonts w:ascii="仿宋" w:hAnsi="仿宋" w:eastAsia="仿宋" w:cs="宋体"/>
          <w:snapToGrid w:val="0"/>
          <w:kern w:val="0"/>
        </w:rPr>
      </w:pPr>
      <w:bookmarkStart w:id="25" w:name="_Toc6786"/>
      <w:r>
        <w:rPr>
          <w:rFonts w:hint="eastAsia" w:ascii="仿宋" w:hAnsi="仿宋" w:eastAsia="仿宋" w:cs="宋体"/>
          <w:snapToGrid w:val="0"/>
          <w:kern w:val="0"/>
        </w:rPr>
        <w:t>区教育局：负责对学生进行森林防灭火知识、火灾扑救的宣传教育工作。</w:t>
      </w:r>
      <w:bookmarkEnd w:id="25"/>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区旅游和文化广电体育局：负责对旅游景区、景点防灭火知识、火灾扑救的宣传教育工作。</w:t>
      </w:r>
    </w:p>
    <w:p>
      <w:pPr>
        <w:pStyle w:val="5"/>
        <w:spacing w:before="0" w:after="0" w:line="600" w:lineRule="exact"/>
        <w:ind w:firstLine="643"/>
        <w:rPr>
          <w:snapToGrid w:val="0"/>
          <w:kern w:val="0"/>
        </w:rPr>
      </w:pPr>
      <w:bookmarkStart w:id="26" w:name="_Toc184133653"/>
      <w:r>
        <w:rPr>
          <w:rFonts w:hint="eastAsia"/>
          <w:snapToGrid w:val="0"/>
          <w:kern w:val="0"/>
        </w:rPr>
        <w:t>2.1.4 相关单位</w:t>
      </w:r>
      <w:bookmarkEnd w:id="23"/>
      <w:bookmarkEnd w:id="26"/>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区委政法委员会：组织、协调和指导火灾现场治安综合情况，维护稳定。</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委宣传部：负责森林防灭火应急处置宣传报道的协调工作。组织协调市广播电视台、新闻办等传播媒体做好森林防灭火知识宣传和及时播发火灾预报、高火险警报工作；组织安排新闻单位对森林火灾及扑救情况进行采访报道；跟踪媒体舆论，及时对外澄清事实，负责新闻发布工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区商务局：负责协调做好灾区居民日用生活消费品的供应工作；负责森林火灾应急救援物资储备的综合管理工作。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三亚市城郊人民法院海棠湾人民法庭：负责森林防灭火刑事案件的审判工作。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三亚市人民检察院海棠湾检察室：及时开展森林火灾案件中的职务犯罪侦查和火灾案件的起诉工作。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区司法局：负责对全民防灾减灾宣传教育活动和提供森林火灾发生后各方面的法律帮助。</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区水务林业局：负责向指挥部提供全区林区、林地水资源信息。</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海棠湾供电所：为森林防灭火有关抢险救灾工作提供电力供应，及时组织抢修因火灾受毁的电力设施。</w:t>
      </w:r>
    </w:p>
    <w:p>
      <w:pPr>
        <w:pStyle w:val="4"/>
        <w:spacing w:before="0" w:beforeAutospacing="0" w:after="0" w:afterAutospacing="0" w:line="600" w:lineRule="exact"/>
        <w:ind w:firstLine="643"/>
        <w:rPr>
          <w:rFonts w:hint="default" w:asciiTheme="minorEastAsia" w:hAnsiTheme="minorEastAsia" w:eastAsiaTheme="minorEastAsia"/>
        </w:rPr>
      </w:pPr>
      <w:bookmarkStart w:id="27" w:name="_Toc184133654"/>
      <w:r>
        <w:rPr>
          <w:rFonts w:asciiTheme="minorEastAsia" w:hAnsiTheme="minorEastAsia" w:eastAsiaTheme="minorEastAsia"/>
        </w:rPr>
        <w:t>2.</w:t>
      </w:r>
      <w:r>
        <w:rPr>
          <w:rFonts w:hint="default" w:asciiTheme="minorEastAsia" w:hAnsiTheme="minorEastAsia" w:eastAsiaTheme="minorEastAsia"/>
        </w:rPr>
        <w:t>2</w:t>
      </w:r>
      <w:r>
        <w:rPr>
          <w:rFonts w:asciiTheme="minorEastAsia" w:hAnsiTheme="minorEastAsia" w:eastAsiaTheme="minorEastAsia"/>
        </w:rPr>
        <w:t xml:space="preserve"> 其它森林防灭火指挥机构</w:t>
      </w:r>
      <w:bookmarkEnd w:id="27"/>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各村(居)委会、自然保护区、国有林场、森林公园、风景名胜区等基层组织和单位，上级森林防灭火指挥机构领导下，根据工作需要设立森林防灭火工作领导小组，负责组织、指挥管辖区域内森林防灭火工作。</w:t>
      </w:r>
    </w:p>
    <w:p>
      <w:pPr>
        <w:pStyle w:val="4"/>
        <w:spacing w:before="0" w:beforeAutospacing="0" w:after="0" w:afterAutospacing="0" w:line="600" w:lineRule="exact"/>
        <w:ind w:firstLine="643"/>
        <w:rPr>
          <w:rFonts w:hint="default" w:asciiTheme="minorEastAsia" w:hAnsiTheme="minorEastAsia" w:eastAsiaTheme="minorEastAsia"/>
        </w:rPr>
      </w:pPr>
      <w:bookmarkStart w:id="28" w:name="_Toc184133655"/>
      <w:r>
        <w:rPr>
          <w:rFonts w:asciiTheme="minorEastAsia" w:hAnsiTheme="minorEastAsia" w:eastAsiaTheme="minorEastAsia"/>
        </w:rPr>
        <w:t>2.3 指挥救援</w:t>
      </w:r>
      <w:bookmarkEnd w:id="28"/>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w:t>
      </w:r>
      <w:r>
        <w:rPr>
          <w:rFonts w:ascii="仿宋" w:hAnsi="仿宋" w:eastAsia="仿宋" w:cs="宋体"/>
          <w:snapToGrid w:val="0"/>
          <w:kern w:val="0"/>
        </w:rPr>
        <w:t>1</w:t>
      </w:r>
      <w:r>
        <w:rPr>
          <w:rFonts w:hint="eastAsia" w:ascii="仿宋" w:hAnsi="仿宋" w:eastAsia="仿宋" w:cs="宋体"/>
          <w:snapToGrid w:val="0"/>
          <w:kern w:val="0"/>
        </w:rPr>
        <w:t>）区森防指联席会议由总指挥或委托副总指挥主持召开，根据火灾处理工作的实际需要，可以随时召开全体或部分成员单位联席会议。联席会议以会议纪要形式明确会议议定事项，经总指挥或总指挥授权副总指挥签发后，印发各有关单位，按职责分工贯彻落实。</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w:t>
      </w:r>
      <w:r>
        <w:rPr>
          <w:rFonts w:ascii="仿宋" w:hAnsi="仿宋" w:eastAsia="仿宋" w:cs="宋体"/>
          <w:snapToGrid w:val="0"/>
          <w:kern w:val="0"/>
        </w:rPr>
        <w:t>2</w:t>
      </w:r>
      <w:r>
        <w:rPr>
          <w:rFonts w:hint="eastAsia" w:ascii="仿宋" w:hAnsi="仿宋" w:eastAsia="仿宋" w:cs="宋体"/>
          <w:snapToGrid w:val="0"/>
          <w:kern w:val="0"/>
        </w:rPr>
        <w:t>）区各单位在区森防指的统一指挥和领导下，组织协调本单位应对森林火灾的力量，采取积极、有效的应急处理措施；履行各自职责，按照分工负责、相互配合的原则，共同做好应对森林火灾的处理工作。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w:t>
      </w:r>
      <w:r>
        <w:rPr>
          <w:rFonts w:ascii="仿宋" w:hAnsi="仿宋" w:eastAsia="仿宋" w:cs="宋体"/>
          <w:snapToGrid w:val="0"/>
          <w:kern w:val="0"/>
        </w:rPr>
        <w:t>3</w:t>
      </w:r>
      <w:r>
        <w:rPr>
          <w:rFonts w:hint="eastAsia" w:ascii="仿宋" w:hAnsi="仿宋" w:eastAsia="仿宋" w:cs="宋体"/>
          <w:snapToGrid w:val="0"/>
          <w:kern w:val="0"/>
        </w:rPr>
        <w:t>）统一指挥。海棠区处置森林火灾，由区森防指统一指挥和指导各有关单位开展处置工作，森林火灾队伍由区森防指统一组织和指挥，参加扑火的所有单位和个人必须服从指挥。</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w:t>
      </w:r>
      <w:r>
        <w:rPr>
          <w:rFonts w:ascii="仿宋" w:hAnsi="仿宋" w:eastAsia="仿宋" w:cs="宋体"/>
          <w:snapToGrid w:val="0"/>
          <w:kern w:val="0"/>
        </w:rPr>
        <w:t>4</w:t>
      </w:r>
      <w:r>
        <w:rPr>
          <w:rFonts w:hint="eastAsia" w:ascii="仿宋" w:hAnsi="仿宋" w:eastAsia="仿宋" w:cs="宋体"/>
          <w:snapToGrid w:val="0"/>
          <w:kern w:val="0"/>
        </w:rPr>
        <w:t>）逐级指挥。我区森林防灭火组织管理体系分为：区森防指→村（居）委会防灭火领导小组。森林火灾初期由村（居）委会防灭火领导小组组织力量先前</w:t>
      </w:r>
      <w:r>
        <w:rPr>
          <w:rFonts w:ascii="仿宋" w:hAnsi="仿宋" w:eastAsia="仿宋" w:cs="宋体"/>
          <w:snapToGrid w:val="0"/>
          <w:kern w:val="0"/>
        </w:rPr>
        <w:t>处置</w:t>
      </w:r>
      <w:r>
        <w:rPr>
          <w:rFonts w:hint="eastAsia" w:ascii="仿宋" w:hAnsi="仿宋" w:eastAsia="仿宋" w:cs="宋体"/>
          <w:snapToGrid w:val="0"/>
          <w:kern w:val="0"/>
        </w:rPr>
        <w:t>，需要增援时，由区森防指部下令，调动区森林消防专业队及各防火责任单位森林消防力量增援，区森防指前移</w:t>
      </w:r>
      <w:r>
        <w:rPr>
          <w:rFonts w:ascii="仿宋" w:hAnsi="仿宋" w:eastAsia="仿宋" w:cs="宋体"/>
          <w:snapToGrid w:val="0"/>
          <w:kern w:val="0"/>
        </w:rPr>
        <w:t>成立现场指挥部</w:t>
      </w:r>
      <w:r>
        <w:rPr>
          <w:rFonts w:hint="eastAsia" w:ascii="仿宋" w:hAnsi="仿宋" w:eastAsia="仿宋" w:cs="宋体"/>
          <w:snapToGrid w:val="0"/>
          <w:kern w:val="0"/>
        </w:rPr>
        <w:t>。</w:t>
      </w:r>
    </w:p>
    <w:p>
      <w:pPr>
        <w:pStyle w:val="5"/>
        <w:spacing w:before="0" w:after="0" w:line="600" w:lineRule="exact"/>
        <w:ind w:firstLine="643"/>
        <w:rPr>
          <w:snapToGrid w:val="0"/>
          <w:kern w:val="0"/>
        </w:rPr>
      </w:pPr>
      <w:bookmarkStart w:id="29" w:name="_Toc184133656"/>
      <w:r>
        <w:rPr>
          <w:rFonts w:hint="eastAsia"/>
          <w:snapToGrid w:val="0"/>
          <w:kern w:val="0"/>
        </w:rPr>
        <w:t>2.3.1 现场指挥部</w:t>
      </w:r>
      <w:bookmarkEnd w:id="29"/>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按分级响应的原则，本预案启动后，当地村（居）委会成立前线指挥部，前线指挥部下设扑火组、治安维稳组、后勤供给组、医疗救护组、应急通信组和宣传报道组等工作部门，各组长对前线指挥员负责；前线指挥部指挥员对区指挥部总指挥、副总指挥负责。</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现场指挥：区应急管理局局长担任</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成员：区消防救援大队、区人民武装部、市公安局海棠分局等主要</w:t>
      </w:r>
      <w:r>
        <w:rPr>
          <w:rFonts w:ascii="仿宋" w:hAnsi="仿宋" w:eastAsia="仿宋" w:cs="宋体"/>
          <w:snapToGrid w:val="0"/>
          <w:kern w:val="0"/>
        </w:rPr>
        <w:t>负责</w:t>
      </w:r>
      <w:r>
        <w:rPr>
          <w:rFonts w:hint="eastAsia" w:ascii="仿宋" w:hAnsi="仿宋" w:eastAsia="仿宋" w:cs="宋体"/>
          <w:snapToGrid w:val="0"/>
          <w:kern w:val="0"/>
        </w:rPr>
        <w:t>同志</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前线指挥部的主要职责：全权负责火灾现场的指挥扑救；全面掌握火情变化和发展趋势，调动和指挥扑火队伍扑救森林火灾，随时向区森防办报告扑火进展情况；协调做好火场的治安维稳、后勤供给、医疗救护、应急通信、宣传报道工作。各支森林扑火队伍，在前线指挥部的统一指挥调度下进行扑火。各级领导靠前指挥到位，随着火情趋于严重，前线指挥部的级别随之提高，人员组成相应调整，但要坚持由上到下的逐级指挥体系。</w:t>
      </w:r>
    </w:p>
    <w:p>
      <w:pPr>
        <w:pStyle w:val="5"/>
        <w:spacing w:before="0" w:after="0" w:line="600" w:lineRule="exact"/>
        <w:ind w:firstLine="643"/>
        <w:rPr>
          <w:snapToGrid w:val="0"/>
          <w:kern w:val="0"/>
        </w:rPr>
      </w:pPr>
      <w:bookmarkStart w:id="30" w:name="_Toc184133657"/>
      <w:r>
        <w:rPr>
          <w:rFonts w:hint="eastAsia"/>
          <w:snapToGrid w:val="0"/>
          <w:kern w:val="0"/>
        </w:rPr>
        <w:t>2.3.2 现场工作组</w:t>
      </w:r>
      <w:bookmarkEnd w:id="30"/>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 xml:space="preserve">1.扑火组人员组成及职责 </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组 长：事发地村（居）委会主任、区森防办主任</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成 员：区森林扑火队、区消防救援大队、区人民武装部、市公安局海棠分局、事发地应急分队、事发地义务扑火队</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职 责：负责森林火灾扑救工作，根据火场形势制定扑火方案，并组织实施；准确掌握火情变化和发展趋势，及时调整和调动扑火队伍，并负责向前线指挥部、区森防指报告扑火进展情况及问题；及时向区森防办提报扑救火灾人力、物资需求；检查，督促当地村（居）委会对区政府领导和区森防指领导有关扑火救灾指示的落实情况。</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2.治安维稳组人员组成及职责</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组 长：区委政法委员会主要负责同志</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成 员：区人民武装部、市公安局海棠分局、事发地村（居）委会主要负责同志</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职 责：负责火灾现场治安、交通秩序管理；维持火灾现场治安秩序，及时落实火灾现场交通管制；协助卫生部门落实强制隔离等应急处理措施；根据扑火需要和前线指挥部领导意见，联系协调扑火组、后勤供给组、医疗救护组、应急通信组、宣传报道组的有关事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3.后勤供给组人员组成及职责</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组 长：区商务局主要负责同志</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成 员：区应急管理局、区财政局、区住房和城乡建设局、</w:t>
      </w:r>
      <w:r>
        <w:rPr>
          <w:rFonts w:ascii="仿宋" w:hAnsi="仿宋" w:eastAsia="仿宋" w:cs="宋体"/>
          <w:snapToGrid w:val="0"/>
          <w:kern w:val="0"/>
        </w:rPr>
        <w:t>区交通运输局</w:t>
      </w:r>
      <w:r>
        <w:rPr>
          <w:rFonts w:hint="eastAsia" w:ascii="仿宋" w:hAnsi="仿宋" w:eastAsia="仿宋" w:cs="宋体"/>
          <w:snapToGrid w:val="0"/>
          <w:kern w:val="0"/>
        </w:rPr>
        <w:t>、事发地村（居）委会主要负责同志</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职 责：根据前线指挥部提出的人力、物资需求计划，及时从后方组织扑火人力、物资（包括扑火人员、扑火工具、车辆所需汽油、柴油等）及水、食物；组织管理扑救火灾车辆；负责组织财产转移或受灾群众的转移安置，安排扑火人员的食宿；根据扑火需要和前线指挥部领导意见，联系协调扑火组、治安维稳组、医疗救护组、应急通信组、宣传报道组的有关事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4.医疗救护组人员组成及职责</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组 长：区卫生健康委员会主要负责同志</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成 员：区应急管理局、驻区医疗机构、事发地村（居）委会主要负责同志</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职 责：组织管理、保护好现场医疗救护车辆和医疗卫生人员；及时组织医疗救护队赴现场抢救伤员；接收、管理灾区医疗药品；及时安置受灾群众，解决受灾群众的生活等。</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5.应急通信组人员组成及职责</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 xml:space="preserve">组 长：区应急管理局主要负责同志          </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成 员：中国电信海棠分公司、中国移动海棠公司、中国联通海棠公司、南方电网海棠公司相关负责人</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职 责：驻区各电信运营商组织做好火灾现场的通信保障工作、负责所辖通信网的建设和管理工作；南方电网海棠公司保障区森防指办事机构的正常供电。</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6.宣传报道组人员组成及职责：</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组 长：区委宣传部主要负责同志</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成 员：区人民政府办公室、区水务林业局、驻区各新闻单位、事发地村（居）委会主要负责同志</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职 责：组织火情和扑火救灾情况的宣传报道；联系、协调新闻单位的采访报道工作；负责扑火指挥部的新闻发布等工作。</w:t>
      </w:r>
    </w:p>
    <w:p>
      <w:pPr>
        <w:pStyle w:val="4"/>
        <w:spacing w:before="0" w:beforeAutospacing="0" w:after="0" w:afterAutospacing="0" w:line="600" w:lineRule="exact"/>
        <w:ind w:firstLine="643"/>
        <w:rPr>
          <w:rFonts w:hint="default" w:asciiTheme="minorEastAsia" w:hAnsiTheme="minorEastAsia" w:eastAsiaTheme="minorEastAsia"/>
        </w:rPr>
      </w:pPr>
      <w:bookmarkStart w:id="31" w:name="_Toc184133658"/>
      <w:bookmarkStart w:id="32" w:name="_Toc50347210"/>
      <w:r>
        <w:rPr>
          <w:rFonts w:asciiTheme="minorEastAsia" w:hAnsiTheme="minorEastAsia" w:eastAsiaTheme="minorEastAsia"/>
        </w:rPr>
        <w:t>2.</w:t>
      </w:r>
      <w:r>
        <w:rPr>
          <w:rFonts w:hint="default" w:asciiTheme="minorEastAsia" w:hAnsiTheme="minorEastAsia" w:eastAsiaTheme="minorEastAsia"/>
        </w:rPr>
        <w:t>4</w:t>
      </w:r>
      <w:r>
        <w:rPr>
          <w:rFonts w:asciiTheme="minorEastAsia" w:hAnsiTheme="minorEastAsia" w:eastAsiaTheme="minorEastAsia"/>
        </w:rPr>
        <w:t xml:space="preserve"> 应急力量</w:t>
      </w:r>
      <w:bookmarkEnd w:id="31"/>
    </w:p>
    <w:p>
      <w:pPr>
        <w:pStyle w:val="5"/>
        <w:spacing w:before="0" w:after="0" w:line="600" w:lineRule="exact"/>
        <w:ind w:firstLine="643"/>
        <w:rPr>
          <w:snapToGrid w:val="0"/>
          <w:kern w:val="0"/>
        </w:rPr>
      </w:pPr>
      <w:bookmarkStart w:id="33" w:name="_Toc184133659"/>
      <w:r>
        <w:rPr>
          <w:rFonts w:hint="eastAsia"/>
          <w:snapToGrid w:val="0"/>
          <w:kern w:val="0"/>
        </w:rPr>
        <w:t>2.4.1 主要扑火力量</w:t>
      </w:r>
      <w:bookmarkEnd w:id="32"/>
      <w:bookmarkEnd w:id="33"/>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我区扑火力量共分三个梯队：</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第一梯队：村（居）委会应急分队和干部群众组成的义务扑火队伍（简称义务扑火队），由当地村（居）委会政府调动。</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第二梯队：海棠区森林扑火队（专业队和半专业队），由区森防办调动。</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第三梯队：民兵、公安民警和协警、消防救援队伍，由区森林防灭火指挥部调动。</w:t>
      </w:r>
    </w:p>
    <w:p>
      <w:pPr>
        <w:pStyle w:val="5"/>
        <w:spacing w:before="0" w:after="0" w:line="600" w:lineRule="exact"/>
        <w:ind w:firstLine="643"/>
        <w:rPr>
          <w:snapToGrid w:val="0"/>
          <w:kern w:val="0"/>
        </w:rPr>
      </w:pPr>
      <w:bookmarkStart w:id="34" w:name="_Toc50347211"/>
      <w:bookmarkStart w:id="35" w:name="_Toc184133660"/>
      <w:r>
        <w:rPr>
          <w:rFonts w:hint="eastAsia"/>
          <w:snapToGrid w:val="0"/>
          <w:kern w:val="0"/>
        </w:rPr>
        <w:t>2.4.2 跨区增援、机动力量的组成</w:t>
      </w:r>
      <w:bookmarkEnd w:id="34"/>
      <w:bookmarkEnd w:id="35"/>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根据森林火灾应对需要，应优先调动属地扑火力量，如我区扑火力量不足时，由区森防指申请调动邻近的专业森林扑火队实施跨区域支援扑火。</w:t>
      </w:r>
    </w:p>
    <w:p>
      <w:pPr>
        <w:pStyle w:val="3"/>
        <w:spacing w:before="0" w:after="0" w:line="600" w:lineRule="exact"/>
        <w:ind w:firstLine="720" w:firstLineChars="200"/>
        <w:rPr>
          <w:rFonts w:ascii="黑体" w:hAnsi="黑体"/>
          <w:b w:val="0"/>
          <w:bCs w:val="0"/>
          <w:sz w:val="36"/>
          <w:szCs w:val="36"/>
        </w:rPr>
      </w:pPr>
      <w:bookmarkStart w:id="36" w:name="_Toc184133661"/>
      <w:bookmarkStart w:id="37" w:name="_Toc50347192"/>
      <w:r>
        <w:rPr>
          <w:rFonts w:hint="eastAsia" w:ascii="黑体" w:hAnsi="黑体"/>
          <w:b w:val="0"/>
          <w:bCs w:val="0"/>
          <w:sz w:val="36"/>
          <w:szCs w:val="36"/>
        </w:rPr>
        <w:t>3 预报预警监测</w:t>
      </w:r>
      <w:bookmarkEnd w:id="36"/>
      <w:bookmarkEnd w:id="37"/>
    </w:p>
    <w:p>
      <w:pPr>
        <w:pStyle w:val="4"/>
        <w:spacing w:before="0" w:beforeAutospacing="0" w:after="0" w:afterAutospacing="0" w:line="600" w:lineRule="exact"/>
        <w:ind w:firstLine="643"/>
        <w:rPr>
          <w:rFonts w:hint="default" w:asciiTheme="minorEastAsia" w:hAnsiTheme="minorEastAsia" w:eastAsiaTheme="minorEastAsia"/>
        </w:rPr>
      </w:pPr>
      <w:bookmarkStart w:id="38" w:name="_Toc50347193"/>
      <w:bookmarkStart w:id="39" w:name="_Toc184133662"/>
      <w:r>
        <w:rPr>
          <w:rFonts w:hint="default" w:asciiTheme="minorEastAsia" w:hAnsiTheme="minorEastAsia" w:eastAsiaTheme="minorEastAsia"/>
        </w:rPr>
        <w:t>3</w:t>
      </w:r>
      <w:r>
        <w:rPr>
          <w:rFonts w:asciiTheme="minorEastAsia" w:hAnsiTheme="minorEastAsia" w:eastAsiaTheme="minorEastAsia"/>
        </w:rPr>
        <w:t>.1</w:t>
      </w:r>
      <w:r>
        <w:rPr>
          <w:rFonts w:hint="default" w:asciiTheme="minorEastAsia" w:hAnsiTheme="minorEastAsia" w:eastAsiaTheme="minorEastAsia"/>
        </w:rPr>
        <w:t xml:space="preserve"> </w:t>
      </w:r>
      <w:r>
        <w:rPr>
          <w:rFonts w:asciiTheme="minorEastAsia" w:hAnsiTheme="minorEastAsia" w:eastAsiaTheme="minorEastAsia"/>
        </w:rPr>
        <w:t>预防</w:t>
      </w:r>
      <w:bookmarkEnd w:id="38"/>
      <w:bookmarkEnd w:id="39"/>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海棠区各村（居）委会在森林防灭火期要组织开展森林防灭火宣传教育，不断提高群众防灭火意识。严格控制和管理野外火源，规范群众生产、生活用火行为。加大高火险时段和危险区域的检查监督，消除各项火灾隐患。加强森林防灭火基础设施建设，开设防灭火隔离带，全面提高预防森林火灾的综合能力。</w:t>
      </w:r>
    </w:p>
    <w:p>
      <w:pPr>
        <w:pStyle w:val="5"/>
        <w:spacing w:before="0" w:after="0" w:line="600" w:lineRule="exact"/>
        <w:ind w:firstLine="643"/>
        <w:rPr>
          <w:snapToGrid w:val="0"/>
          <w:kern w:val="0"/>
        </w:rPr>
      </w:pPr>
      <w:bookmarkStart w:id="40" w:name="_Toc184133663"/>
      <w:r>
        <w:rPr>
          <w:rFonts w:hint="eastAsia"/>
          <w:snapToGrid w:val="0"/>
          <w:kern w:val="0"/>
        </w:rPr>
        <w:t>3.1.1 建立应急会议制度</w:t>
      </w:r>
      <w:bookmarkEnd w:id="40"/>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(1)全体会议和专题会议</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森林防灭火指挥部实行重大问题集中讨论制度。全体会议由总指挥召集并主持召开，区森林防灭火指挥部全体成员参加，原则上每年召开一次。专题会议由总指挥或副总指挥召集并主持，区森林防灭火指挥部有关成员参加，根据工作需要不定期召开。会议议题由区森林防灭火指挥部办公室按照领导要求研究提出，并报区森林防灭火指挥部总指挥批准。</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(2)联络员会议</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每个成员单位确定一名分管领导担任联络员。联络员会议由市森林防灭火指挥部办公室组织召开，由办公室主任或副主任主持，全体或部分联络员参加，原则上每年召开一至两次。会议主要内容是:通报全区森林防灭火工作形势和重点工作进展情况，对全区森林火灾风险进行会商;研究讨论拟提交区森林防灭火指挥部审议的事项;研究协调成员单位提出的有关事项;提出森林火灾防范应对工作建议意见。</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(3)扑火会商会议</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根据火险等级变化、火灾发展趋势等情况，及时组织相关部门开展扑火工作会商，适时启动应急响应，安排部署各项扑救工作。</w:t>
      </w:r>
    </w:p>
    <w:p>
      <w:pPr>
        <w:pStyle w:val="5"/>
        <w:spacing w:before="0" w:after="0" w:line="600" w:lineRule="exact"/>
        <w:ind w:firstLine="643"/>
        <w:rPr>
          <w:snapToGrid w:val="0"/>
          <w:kern w:val="0"/>
        </w:rPr>
      </w:pPr>
      <w:bookmarkStart w:id="41" w:name="_Toc184133664"/>
      <w:r>
        <w:rPr>
          <w:rFonts w:hint="eastAsia"/>
          <w:snapToGrid w:val="0"/>
          <w:kern w:val="0"/>
        </w:rPr>
        <w:t>3.1.2 重点防护</w:t>
      </w:r>
      <w:bookmarkEnd w:id="41"/>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(1)高危火险区</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高危火险区是指发生林火后，林火蔓延速度快，容易形成急进地表火和树冠火，具备形成特别重大森林火灾自然条件的区域。该区域或是森林分布集中连片的高海拔山地和大面积人工林，或是大草塘沟较多的低山丘陵，林内外可燃物载量大，周围阻隔系统比较薄弱，又处于交通不便的偏远深山区，扑火队伍短时间内达到和控制火场条件有限，首次扑救成功率较低，火场面积极易超过1平方公里以上，受害森林面积极易达到100公顷以上。</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(2)高保护价值森林</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根据《海南省重点生态公益林区划界定实施细则》，高保护价值森林是指生态区位极为重要或生态状况极为脆弱，对国土生态安全、生物多样性保护和经济社会可持续发展具有重要作用，以提供森林生态和社会服务产品为主要经营目的的重点防护林和特种用途林。如:天然林、自然保护区、海防林、母树林等。</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(3)重要设施目标</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重要设施目标是指林区内和靠近林缘的油库、加油站、弹药库、军事设施、液化气站、易燃化学品仓库、供变电站、油气管线的地面设施等。</w:t>
      </w:r>
    </w:p>
    <w:p>
      <w:pPr>
        <w:pStyle w:val="4"/>
        <w:spacing w:before="0" w:beforeAutospacing="0" w:after="0" w:afterAutospacing="0" w:line="600" w:lineRule="exact"/>
        <w:ind w:firstLine="643"/>
        <w:rPr>
          <w:rFonts w:hint="default" w:asciiTheme="minorEastAsia" w:hAnsiTheme="minorEastAsia" w:eastAsiaTheme="minorEastAsia"/>
        </w:rPr>
      </w:pPr>
      <w:bookmarkStart w:id="42" w:name="_Toc50347194"/>
      <w:bookmarkStart w:id="43" w:name="_Toc184133665"/>
      <w:r>
        <w:rPr>
          <w:rFonts w:hint="default" w:asciiTheme="minorEastAsia" w:hAnsiTheme="minorEastAsia" w:eastAsiaTheme="minorEastAsia"/>
        </w:rPr>
        <w:t>3</w:t>
      </w:r>
      <w:r>
        <w:rPr>
          <w:rFonts w:asciiTheme="minorEastAsia" w:hAnsiTheme="minorEastAsia" w:eastAsiaTheme="minorEastAsia"/>
        </w:rPr>
        <w:t>.2 预报</w:t>
      </w:r>
      <w:bookmarkEnd w:id="42"/>
      <w:bookmarkEnd w:id="43"/>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森防指依据气象局气候中长期预报，分析各重点防灭火期的森林火险形势，适时发布火险形势宏观预测报告；区应急管理局依据天气预报信息，制作全区24小时森林火险天气预报，并向全区发布；遇到高火险天气时，积极与市广播电视台、驻区各电信运营商联系，及时发布高火险天气警报；在森林火灾发生后，区应急管理局要全面监测火场天气实况，提供火场天气形势预报。</w:t>
      </w:r>
    </w:p>
    <w:p>
      <w:pPr>
        <w:pStyle w:val="4"/>
        <w:spacing w:before="0" w:beforeAutospacing="0" w:after="0" w:afterAutospacing="0" w:line="600" w:lineRule="exact"/>
        <w:ind w:firstLine="643"/>
        <w:rPr>
          <w:rFonts w:hint="default" w:asciiTheme="minorEastAsia" w:hAnsiTheme="minorEastAsia" w:eastAsiaTheme="minorEastAsia"/>
        </w:rPr>
      </w:pPr>
      <w:bookmarkStart w:id="44" w:name="_Toc184133666"/>
      <w:bookmarkStart w:id="45" w:name="_Toc50347195"/>
      <w:r>
        <w:rPr>
          <w:rFonts w:hint="default" w:asciiTheme="minorEastAsia" w:hAnsiTheme="minorEastAsia" w:eastAsiaTheme="minorEastAsia"/>
        </w:rPr>
        <w:t>3</w:t>
      </w:r>
      <w:r>
        <w:rPr>
          <w:rFonts w:asciiTheme="minorEastAsia" w:hAnsiTheme="minorEastAsia" w:eastAsiaTheme="minorEastAsia"/>
        </w:rPr>
        <w:t>.3</w:t>
      </w:r>
      <w:r>
        <w:rPr>
          <w:rFonts w:hint="default" w:asciiTheme="minorEastAsia" w:hAnsiTheme="minorEastAsia" w:eastAsiaTheme="minorEastAsia"/>
        </w:rPr>
        <w:t xml:space="preserve"> </w:t>
      </w:r>
      <w:r>
        <w:rPr>
          <w:rFonts w:asciiTheme="minorEastAsia" w:hAnsiTheme="minorEastAsia" w:eastAsiaTheme="minorEastAsia"/>
        </w:rPr>
        <w:t>火灾监测</w:t>
      </w:r>
      <w:bookmarkEnd w:id="44"/>
      <w:bookmarkEnd w:id="45"/>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海棠区监测林火主要包括：巡逻监测、瞭望台观测、视频监控监测等。</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1）巡逻监测：由各村（居）委会指定专人和区农业农村局安排重点公益林护林员执行。主要方式为摩托车、汽车巡逻等。主要任务：森林防灭火宣传；清查和控制非法入山，入林区人员；依法检查和监督防灭火规章制度执行情况；发现火情、及时报告并积极组织扑救。</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（2）瞭望台监测：利用瞭望台登高望远来监测火情，确定火场位置，并及时报告。</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（3）视频监控监测：依托卫星监测、三亚市的视频监控系统监测林火，及时掌握林区火警火灾变化情况，及时将火情信息反馈区森防办。</w:t>
      </w:r>
    </w:p>
    <w:p>
      <w:pPr>
        <w:pStyle w:val="4"/>
        <w:spacing w:before="0" w:beforeAutospacing="0" w:after="0" w:afterAutospacing="0" w:line="600" w:lineRule="exact"/>
        <w:ind w:firstLine="643"/>
        <w:rPr>
          <w:rFonts w:hint="default" w:asciiTheme="minorEastAsia" w:hAnsiTheme="minorEastAsia" w:eastAsiaTheme="minorEastAsia"/>
        </w:rPr>
      </w:pPr>
      <w:bookmarkStart w:id="46" w:name="_Toc50347197"/>
      <w:bookmarkStart w:id="47" w:name="_Toc184133667"/>
      <w:r>
        <w:rPr>
          <w:rFonts w:hint="default" w:asciiTheme="minorEastAsia" w:hAnsiTheme="minorEastAsia" w:eastAsiaTheme="minorEastAsia"/>
        </w:rPr>
        <w:t>3</w:t>
      </w:r>
      <w:r>
        <w:rPr>
          <w:rFonts w:asciiTheme="minorEastAsia" w:hAnsiTheme="minorEastAsia" w:eastAsiaTheme="minorEastAsia"/>
        </w:rPr>
        <w:t>.</w:t>
      </w:r>
      <w:r>
        <w:rPr>
          <w:rFonts w:hint="default" w:asciiTheme="minorEastAsia" w:hAnsiTheme="minorEastAsia" w:eastAsiaTheme="minorEastAsia"/>
        </w:rPr>
        <w:t>4</w:t>
      </w:r>
      <w:r>
        <w:rPr>
          <w:rFonts w:asciiTheme="minorEastAsia" w:hAnsiTheme="minorEastAsia" w:eastAsiaTheme="minorEastAsia"/>
        </w:rPr>
        <w:t xml:space="preserve"> 预警</w:t>
      </w:r>
      <w:bookmarkEnd w:id="46"/>
      <w:bookmarkEnd w:id="47"/>
    </w:p>
    <w:p>
      <w:pPr>
        <w:pStyle w:val="5"/>
        <w:spacing w:before="0" w:after="0" w:line="600" w:lineRule="exact"/>
        <w:ind w:firstLine="643"/>
        <w:rPr>
          <w:snapToGrid w:val="0"/>
          <w:kern w:val="0"/>
        </w:rPr>
      </w:pPr>
      <w:bookmarkStart w:id="48" w:name="_Toc184133668"/>
      <w:bookmarkStart w:id="49" w:name="_Toc50347198"/>
      <w:r>
        <w:rPr>
          <w:rFonts w:hint="eastAsia"/>
          <w:snapToGrid w:val="0"/>
          <w:kern w:val="0"/>
        </w:rPr>
        <w:t>3.4.1 预警分级</w:t>
      </w:r>
      <w:bookmarkEnd w:id="48"/>
      <w:bookmarkEnd w:id="49"/>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森林火险指数等级分为一至五级，当森林火险指数达三级时开始预警，其中三至五级为森林火险预警等级，划分标准为：</w:t>
      </w:r>
    </w:p>
    <w:p>
      <w:pPr>
        <w:spacing w:line="600" w:lineRule="exact"/>
        <w:ind w:firstLine="645"/>
        <w:rPr>
          <w:rFonts w:ascii="仿宋" w:hAnsi="仿宋" w:eastAsia="仿宋" w:cs="宋体"/>
          <w:snapToGrid w:val="0"/>
          <w:kern w:val="0"/>
        </w:rPr>
      </w:pPr>
    </w:p>
    <w:tbl>
      <w:tblPr>
        <w:tblStyle w:val="16"/>
        <w:tblW w:w="887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701"/>
        <w:gridCol w:w="1701"/>
        <w:gridCol w:w="1701"/>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森林火险指数等级</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颜色表示</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危险程度</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易燃程度</w:t>
            </w:r>
          </w:p>
        </w:tc>
        <w:tc>
          <w:tcPr>
            <w:tcW w:w="1792" w:type="dxa"/>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蔓延程度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五级</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红色</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极度危险</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极易燃烧</w:t>
            </w:r>
          </w:p>
        </w:tc>
        <w:tc>
          <w:tcPr>
            <w:tcW w:w="1792" w:type="dxa"/>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迅猛蔓延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四级</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橙色</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高度危险</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容易燃烧</w:t>
            </w:r>
          </w:p>
        </w:tc>
        <w:tc>
          <w:tcPr>
            <w:tcW w:w="1792" w:type="dxa"/>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快速蔓延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三级</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黄色</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中度危险</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较易燃烧</w:t>
            </w:r>
          </w:p>
        </w:tc>
        <w:tc>
          <w:tcPr>
            <w:tcW w:w="1792" w:type="dxa"/>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较易蔓延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二级</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蓝色</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低度危险</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难以燃烧</w:t>
            </w:r>
          </w:p>
        </w:tc>
        <w:tc>
          <w:tcPr>
            <w:tcW w:w="1792" w:type="dxa"/>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可蔓延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一级</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没有危险</w:t>
            </w:r>
          </w:p>
        </w:tc>
        <w:tc>
          <w:tcPr>
            <w:tcW w:w="1701" w:type="dxa"/>
            <w:vAlign w:val="center"/>
          </w:tcPr>
          <w:p>
            <w:pPr>
              <w:spacing w:line="240" w:lineRule="auto"/>
              <w:jc w:val="center"/>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不能燃烧</w:t>
            </w:r>
          </w:p>
        </w:tc>
        <w:tc>
          <w:tcPr>
            <w:tcW w:w="1792" w:type="dxa"/>
          </w:tcPr>
          <w:p>
            <w:pPr>
              <w:spacing w:line="240" w:lineRule="auto"/>
              <w:jc w:val="center"/>
              <w:rPr>
                <w:rFonts w:hint="eastAsia" w:asciiTheme="minorEastAsia" w:hAnsiTheme="minorEastAsia" w:eastAsiaTheme="minorEastAsia" w:cstheme="minorEastAsia"/>
                <w:spacing w:val="-20"/>
                <w:sz w:val="24"/>
                <w:szCs w:val="24"/>
              </w:rPr>
            </w:pPr>
          </w:p>
        </w:tc>
      </w:tr>
    </w:tbl>
    <w:p>
      <w:pPr>
        <w:spacing w:line="600" w:lineRule="exact"/>
        <w:ind w:firstLine="560" w:firstLineChars="200"/>
        <w:rPr>
          <w:rFonts w:ascii="仿宋" w:hAnsi="仿宋" w:eastAsia="仿宋" w:cs="宋体"/>
          <w:spacing w:val="-20"/>
        </w:rPr>
      </w:pPr>
    </w:p>
    <w:p>
      <w:pPr>
        <w:pStyle w:val="5"/>
        <w:spacing w:before="0" w:after="0" w:line="600" w:lineRule="exact"/>
        <w:ind w:firstLine="643"/>
        <w:rPr>
          <w:snapToGrid w:val="0"/>
          <w:kern w:val="0"/>
        </w:rPr>
      </w:pPr>
      <w:bookmarkStart w:id="50" w:name="_Toc184133669"/>
      <w:r>
        <w:rPr>
          <w:rFonts w:hint="eastAsia"/>
          <w:snapToGrid w:val="0"/>
          <w:kern w:val="0"/>
        </w:rPr>
        <w:t>3.4.2 预警发布</w:t>
      </w:r>
      <w:bookmarkEnd w:id="50"/>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根据气候变化情况，森林可燃物变化以及引发森林火灾的火源发生状态，预测森林火险预警等级，在森林防灭火期内，由区应急管理局在市广播电视台等媒体向社会发布。同时，各村、各有关单位根据森林火险等级高低和本应急预案要求，采取相应的预防措施，及时做好预防准备工作。</w:t>
      </w:r>
    </w:p>
    <w:p>
      <w:pPr>
        <w:pStyle w:val="5"/>
        <w:spacing w:before="0" w:after="0" w:line="600" w:lineRule="exact"/>
        <w:ind w:firstLine="643"/>
        <w:rPr>
          <w:snapToGrid w:val="0"/>
          <w:kern w:val="0"/>
        </w:rPr>
      </w:pPr>
      <w:bookmarkStart w:id="51" w:name="_Toc50347199"/>
      <w:bookmarkStart w:id="52" w:name="_Toc184133670"/>
      <w:r>
        <w:rPr>
          <w:rFonts w:hint="eastAsia"/>
          <w:snapToGrid w:val="0"/>
          <w:kern w:val="0"/>
        </w:rPr>
        <w:t>3.4.3 预警响应</w:t>
      </w:r>
      <w:bookmarkEnd w:id="51"/>
      <w:bookmarkEnd w:id="52"/>
    </w:p>
    <w:p>
      <w:pPr>
        <w:spacing w:line="600" w:lineRule="exact"/>
        <w:ind w:firstLine="642" w:firstLineChars="200"/>
        <w:rPr>
          <w:rFonts w:ascii="仿宋" w:hAnsi="仿宋" w:eastAsia="仿宋" w:cs="宋体"/>
          <w:b/>
        </w:rPr>
      </w:pPr>
      <w:r>
        <w:rPr>
          <w:rFonts w:hint="eastAsia" w:ascii="仿宋" w:hAnsi="仿宋" w:eastAsia="仿宋" w:cs="宋体"/>
          <w:b/>
        </w:rPr>
        <w:t>（1）黄色预警响应</w:t>
      </w:r>
    </w:p>
    <w:p>
      <w:pPr>
        <w:spacing w:line="600" w:lineRule="exact"/>
        <w:ind w:firstLine="645"/>
        <w:rPr>
          <w:rFonts w:ascii="仿宋" w:hAnsi="仿宋" w:eastAsia="仿宋" w:cs="宋体"/>
        </w:rPr>
      </w:pPr>
      <w:r>
        <w:rPr>
          <w:rFonts w:hint="eastAsia" w:ascii="仿宋" w:hAnsi="仿宋" w:eastAsia="仿宋" w:cs="宋体"/>
        </w:rPr>
        <w:t>各地按照防灭火期森林防灭火工作安排做好预防工作。坚持领导带班，昼夜安排人员值班，24小时保持通讯联络畅通。各林业站护林员、瞭望人员上岗到位，制止违规、违章用火行为。各村（居）委会扑火队进入备战状态，接到扑火命令，迅速出动扑火。</w:t>
      </w:r>
    </w:p>
    <w:p>
      <w:pPr>
        <w:spacing w:line="600" w:lineRule="exact"/>
        <w:ind w:firstLine="645"/>
        <w:rPr>
          <w:rFonts w:ascii="仿宋" w:hAnsi="仿宋" w:eastAsia="仿宋" w:cs="宋体"/>
          <w:b/>
        </w:rPr>
      </w:pPr>
      <w:r>
        <w:rPr>
          <w:rFonts w:hint="eastAsia" w:ascii="仿宋" w:hAnsi="仿宋" w:eastAsia="仿宋" w:cs="宋体"/>
          <w:b/>
        </w:rPr>
        <w:t>（2）橙色预警响应</w:t>
      </w:r>
    </w:p>
    <w:p>
      <w:pPr>
        <w:spacing w:line="600" w:lineRule="exact"/>
        <w:ind w:firstLine="645"/>
        <w:rPr>
          <w:rFonts w:ascii="仿宋" w:hAnsi="仿宋" w:eastAsia="仿宋" w:cs="宋体"/>
        </w:rPr>
      </w:pPr>
      <w:r>
        <w:rPr>
          <w:rFonts w:hint="eastAsia" w:ascii="仿宋" w:hAnsi="仿宋" w:eastAsia="仿宋" w:cs="宋体"/>
        </w:rPr>
        <w:t>各村（居）委会各有关单位密切注意森林火情动态，带班领导要随时掌握情况，值班人员及时将森林火险橙色预警信息通知行政村和有关人员。各林业站护林员、巡查瞭望人员严密监视林区各种火情，要安排、增派人员在入山路口和重点部位设岗设卡，严禁林区一切野外用火。区消防救援大队、各村（居）委会应急分队接到扑火命令后，迅速集结出动扑火。</w:t>
      </w:r>
    </w:p>
    <w:p>
      <w:pPr>
        <w:spacing w:line="600" w:lineRule="exact"/>
        <w:ind w:firstLine="645"/>
        <w:rPr>
          <w:rFonts w:ascii="仿宋" w:hAnsi="仿宋" w:eastAsia="仿宋" w:cs="宋体"/>
          <w:b/>
        </w:rPr>
      </w:pPr>
      <w:r>
        <w:rPr>
          <w:rFonts w:hint="eastAsia" w:ascii="仿宋" w:hAnsi="仿宋" w:eastAsia="仿宋" w:cs="宋体"/>
          <w:b/>
        </w:rPr>
        <w:t>（3）红色预警响应</w:t>
      </w:r>
    </w:p>
    <w:p>
      <w:pPr>
        <w:spacing w:line="600" w:lineRule="exact"/>
        <w:ind w:firstLine="640" w:firstLineChars="200"/>
        <w:rPr>
          <w:rFonts w:ascii="仿宋" w:hAnsi="仿宋" w:eastAsia="仿宋" w:cs="宋体"/>
        </w:rPr>
      </w:pPr>
      <w:r>
        <w:rPr>
          <w:rFonts w:hint="eastAsia" w:ascii="仿宋" w:hAnsi="仿宋" w:eastAsia="仿宋" w:cs="宋体"/>
        </w:rPr>
        <w:t>各村（居）委会及有关单位要高度重视森林火情动态，带班领导主动了解掌握情况，值班人员将森林火险红色预警信息通知行政村(基层单位)，同时，区森防办将森林火险红色预警信息通知区有关扑救应急响应联动部门。村（居）委会及有关单位对所辖区森林、森林公园和风景区实施森林防灭火戒严，区政府适时向全区发布森林防灭火戒严令。各有关单位组织村、组干部、护林人员严密监控林区火情，林缘200米内禁止一切野外用火。主要入山路口、重点部门设岗设卡严防死守，严禁非居住人员进山入林。</w:t>
      </w:r>
      <w:r>
        <w:rPr>
          <w:rFonts w:hint="eastAsia" w:ascii="仿宋" w:hAnsi="仿宋" w:eastAsia="仿宋" w:cs="宋体"/>
          <w:snapToGrid w:val="0"/>
          <w:kern w:val="0"/>
        </w:rPr>
        <w:t>区人民武装部组织调配民兵</w:t>
      </w:r>
      <w:r>
        <w:rPr>
          <w:rFonts w:hint="eastAsia" w:ascii="仿宋" w:hAnsi="仿宋" w:eastAsia="仿宋" w:cs="宋体"/>
        </w:rPr>
        <w:t>、区消防救援大队参加；各村（居）委会应急分队接到扑火命令后，迅速集结出动扑火。</w:t>
      </w:r>
    </w:p>
    <w:p>
      <w:pPr>
        <w:pStyle w:val="5"/>
        <w:spacing w:before="0" w:after="0" w:line="600" w:lineRule="exact"/>
        <w:ind w:firstLine="643"/>
        <w:rPr>
          <w:snapToGrid w:val="0"/>
          <w:kern w:val="0"/>
        </w:rPr>
      </w:pPr>
      <w:bookmarkStart w:id="53" w:name="_Toc184133671"/>
      <w:r>
        <w:rPr>
          <w:rFonts w:hint="eastAsia"/>
          <w:snapToGrid w:val="0"/>
          <w:kern w:val="0"/>
        </w:rPr>
        <w:t>3.4.4 预警升级和解除</w:t>
      </w:r>
      <w:bookmarkEnd w:id="53"/>
    </w:p>
    <w:p>
      <w:pPr>
        <w:spacing w:line="600" w:lineRule="exact"/>
        <w:ind w:firstLine="640" w:firstLineChars="200"/>
        <w:rPr>
          <w:rFonts w:ascii="仿宋" w:hAnsi="仿宋" w:eastAsia="仿宋" w:cs="宋体"/>
        </w:rPr>
      </w:pPr>
      <w:r>
        <w:rPr>
          <w:rFonts w:hint="eastAsia" w:ascii="仿宋" w:hAnsi="仿宋" w:eastAsia="仿宋" w:cs="宋体"/>
        </w:rPr>
        <w:t>区森林防灭火指挥部根据森林火灾发生在敏感地区、敏感时间、受害森林资源损失程度、经济和社会影响程度，由低到高依次用蓝色、黄色、橙色和红色表示启动或解除市森林火灾预警级别。</w:t>
      </w:r>
    </w:p>
    <w:p>
      <w:pPr>
        <w:pStyle w:val="4"/>
        <w:spacing w:before="0" w:beforeAutospacing="0" w:after="0" w:afterAutospacing="0" w:line="600" w:lineRule="exact"/>
        <w:ind w:firstLine="643"/>
        <w:rPr>
          <w:rFonts w:hint="default" w:asciiTheme="minorEastAsia" w:hAnsiTheme="minorEastAsia" w:eastAsiaTheme="minorEastAsia"/>
        </w:rPr>
      </w:pPr>
      <w:bookmarkStart w:id="54" w:name="_Toc50347196"/>
      <w:bookmarkStart w:id="55" w:name="_Toc184133672"/>
      <w:r>
        <w:rPr>
          <w:rFonts w:hint="default" w:asciiTheme="minorEastAsia" w:hAnsiTheme="minorEastAsia" w:eastAsiaTheme="minorEastAsia"/>
        </w:rPr>
        <w:t>3</w:t>
      </w:r>
      <w:r>
        <w:rPr>
          <w:rFonts w:asciiTheme="minorEastAsia" w:hAnsiTheme="minorEastAsia" w:eastAsiaTheme="minorEastAsia"/>
        </w:rPr>
        <w:t>.</w:t>
      </w:r>
      <w:r>
        <w:rPr>
          <w:rFonts w:hint="default" w:asciiTheme="minorEastAsia" w:hAnsiTheme="minorEastAsia" w:eastAsiaTheme="minorEastAsia"/>
        </w:rPr>
        <w:t xml:space="preserve">5 </w:t>
      </w:r>
      <w:r>
        <w:rPr>
          <w:rFonts w:asciiTheme="minorEastAsia" w:hAnsiTheme="minorEastAsia" w:eastAsiaTheme="minorEastAsia"/>
        </w:rPr>
        <w:t>信息报告</w:t>
      </w:r>
      <w:bookmarkEnd w:id="54"/>
      <w:bookmarkEnd w:id="55"/>
    </w:p>
    <w:p>
      <w:pPr>
        <w:pStyle w:val="5"/>
        <w:spacing w:before="0" w:after="0" w:line="600" w:lineRule="exact"/>
        <w:ind w:firstLine="643"/>
        <w:rPr>
          <w:snapToGrid w:val="0"/>
          <w:kern w:val="0"/>
        </w:rPr>
      </w:pPr>
      <w:bookmarkStart w:id="56" w:name="_Toc184133673"/>
      <w:r>
        <w:rPr>
          <w:rFonts w:hint="eastAsia"/>
          <w:snapToGrid w:val="0"/>
          <w:kern w:val="0"/>
        </w:rPr>
        <w:t>3.5.1 火情报告</w:t>
      </w:r>
      <w:bookmarkEnd w:id="56"/>
    </w:p>
    <w:p>
      <w:pPr>
        <w:spacing w:line="600" w:lineRule="exact"/>
        <w:ind w:firstLine="640" w:firstLineChars="200"/>
        <w:rPr>
          <w:rFonts w:ascii="仿宋" w:hAnsi="仿宋" w:eastAsia="仿宋" w:cs="宋体"/>
        </w:rPr>
      </w:pPr>
      <w:r>
        <w:rPr>
          <w:rFonts w:hint="eastAsia" w:ascii="仿宋" w:hAnsi="仿宋" w:eastAsia="仿宋" w:cs="宋体"/>
        </w:rPr>
        <w:t>护林员、任何公民和组织一旦发现森林火灾隐患或火情，均可以通过电话、传真、手机短信等渠道向区森林防灭火指挥机构、林业部门、应急管理部门报告。火情比较严重的可直接向市森林防灭火指挥部办公室或市应急管理局报告。</w:t>
      </w:r>
    </w:p>
    <w:p>
      <w:pPr>
        <w:spacing w:line="600" w:lineRule="exact"/>
        <w:ind w:firstLine="640" w:firstLineChars="200"/>
        <w:rPr>
          <w:rFonts w:ascii="仿宋" w:hAnsi="仿宋" w:eastAsia="仿宋" w:cs="宋体"/>
        </w:rPr>
      </w:pPr>
      <w:r>
        <w:rPr>
          <w:rFonts w:hint="eastAsia" w:ascii="仿宋" w:hAnsi="仿宋" w:eastAsia="仿宋" w:cs="宋体"/>
        </w:rPr>
        <w:t>实行高森林火险期森林火灾日报告制度。村（居）委机构每日17:00前向区森林防灭火指挥部办公室报告当日本地森林火情。</w:t>
      </w:r>
    </w:p>
    <w:p>
      <w:pPr>
        <w:pStyle w:val="5"/>
        <w:spacing w:before="0" w:after="0" w:line="600" w:lineRule="exact"/>
        <w:ind w:firstLine="643"/>
        <w:rPr>
          <w:snapToGrid w:val="0"/>
          <w:kern w:val="0"/>
        </w:rPr>
      </w:pPr>
      <w:bookmarkStart w:id="57" w:name="_Toc184133674"/>
      <w:r>
        <w:rPr>
          <w:rFonts w:hint="eastAsia"/>
          <w:snapToGrid w:val="0"/>
          <w:kern w:val="0"/>
        </w:rPr>
        <w:t>3.5.2 火灾报告</w:t>
      </w:r>
      <w:bookmarkEnd w:id="57"/>
    </w:p>
    <w:p>
      <w:pPr>
        <w:spacing w:line="600" w:lineRule="exact"/>
        <w:ind w:firstLine="640" w:firstLineChars="200"/>
        <w:rPr>
          <w:rFonts w:ascii="仿宋" w:hAnsi="仿宋" w:eastAsia="仿宋" w:cs="宋体"/>
        </w:rPr>
      </w:pPr>
      <w:r>
        <w:rPr>
          <w:rFonts w:hint="eastAsia" w:ascii="仿宋" w:hAnsi="仿宋" w:eastAsia="仿宋" w:cs="宋体"/>
        </w:rPr>
        <w:t>按照《森林防火条例》的规定，森林火灾报告实行归口管理。森林火灾报告实行归口管理：发生森林火灾后区森防办应立即通知、组织森林火灾发生地村（居）委实施应急扑救，并派人赶赴现场，同时通过电话向区政府总值班室和市森防办报告森林火灾简要情况，并持续跟踪，随时续报详细情况；初判森林火灾过火面积在1公顷以上，区森防办必须立即通过电话向区政府总值班室和区森防办报告森林火灾简要情况，并持续跟踪，随时续报详细情况。</w:t>
      </w:r>
    </w:p>
    <w:p>
      <w:pPr>
        <w:spacing w:line="600" w:lineRule="exact"/>
        <w:ind w:firstLine="640" w:firstLineChars="200"/>
        <w:rPr>
          <w:rFonts w:ascii="仿宋" w:hAnsi="仿宋" w:eastAsia="仿宋" w:cs="宋体"/>
        </w:rPr>
      </w:pPr>
      <w:r>
        <w:rPr>
          <w:rFonts w:hint="eastAsia" w:ascii="仿宋" w:hAnsi="仿宋" w:eastAsia="仿宋" w:cs="宋体"/>
        </w:rPr>
        <w:t>报告内容：</w:t>
      </w:r>
    </w:p>
    <w:p>
      <w:pPr>
        <w:spacing w:line="600" w:lineRule="exact"/>
        <w:ind w:firstLine="640" w:firstLineChars="200"/>
        <w:rPr>
          <w:rFonts w:ascii="仿宋" w:hAnsi="仿宋" w:eastAsia="仿宋" w:cs="宋体"/>
        </w:rPr>
      </w:pPr>
      <w:r>
        <w:rPr>
          <w:rFonts w:hint="eastAsia" w:ascii="仿宋" w:hAnsi="仿宋" w:eastAsia="仿宋" w:cs="宋体"/>
        </w:rPr>
        <w:t>（一）起火地点：社区、村 、组和地名；</w:t>
      </w:r>
    </w:p>
    <w:p>
      <w:pPr>
        <w:spacing w:line="600" w:lineRule="exact"/>
        <w:ind w:firstLine="640" w:firstLineChars="200"/>
        <w:rPr>
          <w:rFonts w:ascii="仿宋" w:hAnsi="仿宋" w:eastAsia="仿宋" w:cs="宋体"/>
        </w:rPr>
      </w:pPr>
      <w:r>
        <w:rPr>
          <w:rFonts w:hint="eastAsia" w:ascii="仿宋" w:hAnsi="仿宋" w:eastAsia="仿宋" w:cs="宋体"/>
        </w:rPr>
        <w:t>（二）起火时间、火情动态；</w:t>
      </w:r>
    </w:p>
    <w:p>
      <w:pPr>
        <w:spacing w:line="600" w:lineRule="exact"/>
        <w:ind w:firstLine="640" w:firstLineChars="200"/>
        <w:rPr>
          <w:rFonts w:ascii="仿宋" w:hAnsi="仿宋" w:eastAsia="仿宋" w:cs="宋体"/>
        </w:rPr>
      </w:pPr>
      <w:r>
        <w:rPr>
          <w:rFonts w:hint="eastAsia" w:ascii="仿宋" w:hAnsi="仿宋" w:eastAsia="仿宋" w:cs="宋体"/>
        </w:rPr>
        <w:t>（三）火场指挥、组织扑救情况；</w:t>
      </w:r>
    </w:p>
    <w:p>
      <w:pPr>
        <w:spacing w:line="600" w:lineRule="exact"/>
        <w:ind w:firstLine="640" w:firstLineChars="200"/>
        <w:rPr>
          <w:rFonts w:ascii="仿宋" w:hAnsi="仿宋" w:eastAsia="仿宋" w:cs="宋体"/>
        </w:rPr>
      </w:pPr>
      <w:r>
        <w:rPr>
          <w:rFonts w:hint="eastAsia" w:ascii="仿宋" w:hAnsi="仿宋" w:eastAsia="仿宋" w:cs="宋体"/>
        </w:rPr>
        <w:t>（四）道路交通走向；</w:t>
      </w:r>
    </w:p>
    <w:p>
      <w:pPr>
        <w:spacing w:line="600" w:lineRule="exact"/>
        <w:ind w:firstLine="640" w:firstLineChars="200"/>
        <w:rPr>
          <w:rFonts w:ascii="仿宋" w:hAnsi="仿宋" w:eastAsia="仿宋" w:cs="宋体"/>
        </w:rPr>
      </w:pPr>
      <w:r>
        <w:rPr>
          <w:rFonts w:hint="eastAsia" w:ascii="仿宋" w:hAnsi="仿宋" w:eastAsia="仿宋" w:cs="宋体"/>
        </w:rPr>
        <w:t>（五）人员伤亡情况；</w:t>
      </w:r>
    </w:p>
    <w:p>
      <w:pPr>
        <w:spacing w:line="600" w:lineRule="exact"/>
        <w:ind w:firstLine="640" w:firstLineChars="200"/>
        <w:rPr>
          <w:rFonts w:ascii="仿宋" w:hAnsi="仿宋" w:eastAsia="仿宋" w:cs="宋体"/>
        </w:rPr>
      </w:pPr>
      <w:r>
        <w:rPr>
          <w:rFonts w:hint="eastAsia" w:ascii="仿宋" w:hAnsi="仿宋" w:eastAsia="仿宋" w:cs="宋体"/>
        </w:rPr>
        <w:t>（六）威胁居民区和重要设施情况；</w:t>
      </w:r>
    </w:p>
    <w:p>
      <w:pPr>
        <w:spacing w:line="600" w:lineRule="exact"/>
        <w:ind w:firstLine="640" w:firstLineChars="200"/>
        <w:rPr>
          <w:rFonts w:ascii="仿宋" w:hAnsi="仿宋" w:eastAsia="仿宋" w:cs="宋体"/>
        </w:rPr>
      </w:pPr>
      <w:r>
        <w:rPr>
          <w:rFonts w:hint="eastAsia" w:ascii="仿宋" w:hAnsi="仿宋" w:eastAsia="仿宋" w:cs="宋体"/>
        </w:rPr>
        <w:t>（七）是否需要区森林扑火队或附近镇森林扑火队支援；</w:t>
      </w:r>
    </w:p>
    <w:p>
      <w:pPr>
        <w:spacing w:line="600" w:lineRule="exact"/>
        <w:ind w:firstLine="640" w:firstLineChars="200"/>
        <w:rPr>
          <w:rFonts w:ascii="仿宋" w:hAnsi="仿宋" w:eastAsia="仿宋" w:cs="宋体"/>
        </w:rPr>
      </w:pPr>
      <w:r>
        <w:rPr>
          <w:rFonts w:hint="eastAsia" w:ascii="仿宋" w:hAnsi="仿宋" w:eastAsia="仿宋" w:cs="宋体"/>
        </w:rPr>
        <w:t>火警电话（119）</w:t>
      </w:r>
    </w:p>
    <w:p>
      <w:pPr>
        <w:spacing w:line="600" w:lineRule="exact"/>
        <w:ind w:firstLine="640" w:firstLineChars="200"/>
        <w:rPr>
          <w:rFonts w:ascii="仿宋" w:hAnsi="仿宋" w:eastAsia="仿宋" w:cs="宋体"/>
        </w:rPr>
      </w:pPr>
      <w:r>
        <w:rPr>
          <w:rFonts w:hint="eastAsia" w:ascii="仿宋" w:hAnsi="仿宋" w:eastAsia="仿宋" w:cs="宋体"/>
        </w:rPr>
        <w:t>区森防办电话：38888133</w:t>
      </w:r>
    </w:p>
    <w:p>
      <w:pPr>
        <w:pStyle w:val="3"/>
        <w:spacing w:before="0" w:after="0" w:line="600" w:lineRule="exact"/>
        <w:ind w:firstLine="720" w:firstLineChars="200"/>
        <w:rPr>
          <w:rFonts w:ascii="黑体" w:hAnsi="黑体"/>
          <w:b w:val="0"/>
          <w:bCs w:val="0"/>
          <w:sz w:val="36"/>
          <w:szCs w:val="36"/>
        </w:rPr>
      </w:pPr>
      <w:bookmarkStart w:id="58" w:name="_Toc184133675"/>
      <w:bookmarkStart w:id="59" w:name="_Toc50347200"/>
      <w:r>
        <w:rPr>
          <w:rFonts w:hint="eastAsia" w:ascii="黑体" w:hAnsi="黑体"/>
          <w:b w:val="0"/>
          <w:bCs w:val="0"/>
          <w:sz w:val="36"/>
          <w:szCs w:val="36"/>
        </w:rPr>
        <w:t>4 应急响应</w:t>
      </w:r>
      <w:bookmarkEnd w:id="58"/>
      <w:bookmarkEnd w:id="59"/>
    </w:p>
    <w:p>
      <w:pPr>
        <w:pStyle w:val="4"/>
        <w:spacing w:before="0" w:beforeAutospacing="0" w:after="0" w:afterAutospacing="0" w:line="600" w:lineRule="exact"/>
        <w:ind w:firstLine="643"/>
        <w:rPr>
          <w:rFonts w:hint="default" w:asciiTheme="minorEastAsia" w:hAnsiTheme="minorEastAsia" w:eastAsiaTheme="minorEastAsia"/>
        </w:rPr>
      </w:pPr>
      <w:bookmarkStart w:id="60" w:name="_Toc50347201"/>
      <w:bookmarkStart w:id="61" w:name="_Toc184133676"/>
      <w:r>
        <w:rPr>
          <w:rFonts w:hint="default" w:asciiTheme="minorEastAsia" w:hAnsiTheme="minorEastAsia" w:eastAsiaTheme="minorEastAsia"/>
        </w:rPr>
        <w:t>4</w:t>
      </w:r>
      <w:r>
        <w:rPr>
          <w:rFonts w:asciiTheme="minorEastAsia" w:hAnsiTheme="minorEastAsia" w:eastAsiaTheme="minorEastAsia"/>
        </w:rPr>
        <w:t>.1</w:t>
      </w:r>
      <w:bookmarkEnd w:id="60"/>
      <w:r>
        <w:rPr>
          <w:rFonts w:hint="default" w:asciiTheme="minorEastAsia" w:hAnsiTheme="minorEastAsia" w:eastAsiaTheme="minorEastAsia"/>
        </w:rPr>
        <w:t xml:space="preserve"> </w:t>
      </w:r>
      <w:r>
        <w:rPr>
          <w:rFonts w:asciiTheme="minorEastAsia" w:hAnsiTheme="minorEastAsia" w:eastAsiaTheme="minorEastAsia"/>
        </w:rPr>
        <w:t>响应分级</w:t>
      </w:r>
      <w:bookmarkEnd w:id="61"/>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根据森林火灾影响范围、危害程度、火场发展态势和当地灭火情况等，森林火灾应急响应分为Ⅳ级、Ⅲ级、Ⅱ级、Ⅰ级4个等级。按照分级响应的原则，及时调整扑火组织机构和力量。火灾发生后，村（居）委、责任单位、巡护人员和林业生态护林员要第一时间采取措施，做到“打早、打小、打了”。</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初判达到Ⅳ级响应森林火灾，由区森林防灭火指挥部负责指挥；初判达到Ⅲ级响应森林火灾，由市、区森林防灭火指挥部负责指挥；初判达到Ⅱ级响应森林火灾由市级森防指负责指挥；初判达到Ⅰ级响应森林火灾，由省级森防指负责指挥。必要时可提级指挥。</w:t>
      </w:r>
    </w:p>
    <w:p>
      <w:pPr>
        <w:pStyle w:val="5"/>
        <w:spacing w:before="0" w:after="0" w:line="600" w:lineRule="exact"/>
        <w:ind w:firstLine="643"/>
        <w:rPr>
          <w:snapToGrid w:val="0"/>
          <w:kern w:val="0"/>
        </w:rPr>
      </w:pPr>
      <w:bookmarkStart w:id="62" w:name="_Toc184133677"/>
      <w:r>
        <w:rPr>
          <w:rFonts w:hint="eastAsia"/>
          <w:snapToGrid w:val="0"/>
          <w:kern w:val="0"/>
        </w:rPr>
        <w:t>4.1.1 Ⅳ级响应</w:t>
      </w:r>
      <w:bookmarkEnd w:id="62"/>
      <w:bookmarkStart w:id="63" w:name="_Toc50347204"/>
    </w:p>
    <w:p>
      <w:pPr>
        <w:tabs>
          <w:tab w:val="left" w:pos="540"/>
          <w:tab w:val="left" w:pos="720"/>
          <w:tab w:val="left" w:pos="1260"/>
          <w:tab w:val="left" w:pos="1440"/>
        </w:tabs>
        <w:spacing w:line="600" w:lineRule="exact"/>
        <w:ind w:firstLine="492" w:firstLineChars="154"/>
        <w:rPr>
          <w:rFonts w:ascii="仿宋" w:hAnsi="仿宋" w:eastAsia="仿宋" w:cs="宋体"/>
          <w:snapToGrid w:val="0"/>
          <w:kern w:val="0"/>
        </w:rPr>
      </w:pPr>
      <w:r>
        <w:rPr>
          <w:rFonts w:hint="eastAsia" w:ascii="仿宋" w:hAnsi="仿宋" w:eastAsia="仿宋" w:cs="宋体"/>
          <w:snapToGrid w:val="0"/>
          <w:kern w:val="0"/>
        </w:rPr>
        <w:t>启动条件：</w:t>
      </w:r>
    </w:p>
    <w:p>
      <w:pPr>
        <w:tabs>
          <w:tab w:val="left" w:pos="540"/>
          <w:tab w:val="left" w:pos="720"/>
          <w:tab w:val="left" w:pos="1260"/>
          <w:tab w:val="left" w:pos="1440"/>
        </w:tabs>
        <w:spacing w:line="600" w:lineRule="exact"/>
        <w:ind w:firstLine="492" w:firstLineChars="154"/>
        <w:rPr>
          <w:rFonts w:ascii="仿宋" w:hAnsi="仿宋" w:eastAsia="仿宋" w:cs="宋体"/>
          <w:snapToGrid w:val="0"/>
          <w:kern w:val="0"/>
        </w:rPr>
      </w:pPr>
      <w:r>
        <w:rPr>
          <w:rFonts w:hint="eastAsia" w:ascii="仿宋" w:hAnsi="仿宋" w:eastAsia="仿宋" w:cs="宋体"/>
          <w:snapToGrid w:val="0"/>
          <w:kern w:val="0"/>
        </w:rPr>
        <w:t>①森林火灾过火面积达到1公顷以内;</w:t>
      </w:r>
    </w:p>
    <w:p>
      <w:pPr>
        <w:tabs>
          <w:tab w:val="left" w:pos="540"/>
          <w:tab w:val="left" w:pos="720"/>
          <w:tab w:val="left" w:pos="1260"/>
          <w:tab w:val="left" w:pos="1440"/>
        </w:tabs>
        <w:spacing w:line="600" w:lineRule="exact"/>
        <w:ind w:firstLine="492" w:firstLineChars="154"/>
        <w:rPr>
          <w:rFonts w:ascii="仿宋" w:hAnsi="仿宋" w:eastAsia="仿宋" w:cs="宋体"/>
          <w:snapToGrid w:val="0"/>
          <w:kern w:val="0"/>
        </w:rPr>
      </w:pPr>
      <w:r>
        <w:rPr>
          <w:rFonts w:hint="eastAsia" w:ascii="仿宋" w:hAnsi="仿宋" w:eastAsia="仿宋" w:cs="宋体"/>
          <w:snapToGrid w:val="0"/>
          <w:kern w:val="0"/>
        </w:rPr>
        <w:t>②发生森林火灾，持续燃烧时间1小时内无法控制的。</w:t>
      </w:r>
    </w:p>
    <w:bookmarkEnd w:id="63"/>
    <w:p>
      <w:pPr>
        <w:tabs>
          <w:tab w:val="left" w:pos="540"/>
          <w:tab w:val="left" w:pos="720"/>
          <w:tab w:val="left" w:pos="1260"/>
          <w:tab w:val="left" w:pos="1440"/>
        </w:tabs>
        <w:spacing w:line="600" w:lineRule="exact"/>
        <w:ind w:firstLine="492" w:firstLineChars="154"/>
        <w:rPr>
          <w:rFonts w:ascii="仿宋" w:hAnsi="仿宋" w:eastAsia="仿宋" w:cs="宋体"/>
          <w:snapToGrid w:val="0"/>
          <w:kern w:val="0"/>
        </w:rPr>
      </w:pPr>
      <w:r>
        <w:rPr>
          <w:rFonts w:hint="eastAsia" w:ascii="仿宋" w:hAnsi="仿宋" w:eastAsia="仿宋" w:cs="宋体"/>
          <w:snapToGrid w:val="0"/>
          <w:kern w:val="0"/>
        </w:rPr>
        <w:t>符合上述条件之一时，区森防办启动Ⅳ级响应。</w:t>
      </w:r>
    </w:p>
    <w:p>
      <w:pPr>
        <w:pStyle w:val="5"/>
        <w:spacing w:before="0" w:after="0" w:line="600" w:lineRule="exact"/>
        <w:ind w:firstLine="643"/>
        <w:rPr>
          <w:snapToGrid w:val="0"/>
          <w:kern w:val="0"/>
        </w:rPr>
      </w:pPr>
      <w:bookmarkStart w:id="64" w:name="_Toc184133678"/>
      <w:r>
        <w:rPr>
          <w:rFonts w:hint="eastAsia"/>
          <w:snapToGrid w:val="0"/>
          <w:kern w:val="0"/>
        </w:rPr>
        <w:t>4.1.2 Ⅲ级响应</w:t>
      </w:r>
      <w:bookmarkEnd w:id="64"/>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启动条件：</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①森林火灾过火面积达到1公顷以上的；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②火场持续3小时仍未得到有效控制的；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③发生2人重伤，仍未得到有效控制的；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④可能威胁村庄、居民区和重要设施的；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⑤威胁自然保护地、国有林场、重点林区危险性大的；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⑥发生跨区级行政区域危险性大的；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⑦需要市森林防灭火指挥部办公室协调支援的。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 xml:space="preserve">符合上述条件之一时，区森防指总指挥或授权副总指挥启动Ⅲ级响应。  </w:t>
      </w:r>
    </w:p>
    <w:p>
      <w:pPr>
        <w:pStyle w:val="5"/>
        <w:spacing w:before="0" w:after="0" w:line="600" w:lineRule="exact"/>
        <w:ind w:firstLine="643"/>
        <w:rPr>
          <w:snapToGrid w:val="0"/>
          <w:kern w:val="0"/>
        </w:rPr>
      </w:pPr>
      <w:bookmarkStart w:id="65" w:name="_Toc184133679"/>
      <w:r>
        <w:rPr>
          <w:rFonts w:hint="eastAsia"/>
          <w:snapToGrid w:val="0"/>
          <w:kern w:val="0"/>
        </w:rPr>
        <w:t>4.1.3 Ⅱ级响应</w:t>
      </w:r>
      <w:bookmarkEnd w:id="65"/>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启动条件：</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①森林火灾过火面积达到3公顷以上的；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②火场持续6小时仍未得到有效控制的；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③发生1人以上3人以下死亡或3人以上10人以下重伤，仍未得到有效控制的；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④威胁或烧毁村庄、居民区和重要设施的；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⑤自然保护地、国有林场、重点林区发生较大以上森林火灾；</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⑥在邻市周边发生危险性大的；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⑦国土安全和社会稳定可能受到威胁，经济和有关行业可能遭受损失的；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⑧需要省森林防灭火指挥部办公室协调支援的。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符合上述条件之一时，</w:t>
      </w:r>
      <w:r>
        <w:rPr>
          <w:rFonts w:hint="eastAsia" w:ascii="仿宋" w:hAnsi="仿宋" w:eastAsia="仿宋" w:cs="仿宋"/>
          <w:snapToGrid w:val="0"/>
          <w:kern w:val="0"/>
        </w:rPr>
        <w:t>区森防指在做好先期处置工作同时，启动Ⅱ级响应，并向市森防办报告请求增援。Ⅱ级响应依照三亚市相关应急预案的组织指挥程序执行</w:t>
      </w:r>
      <w:r>
        <w:rPr>
          <w:rFonts w:hint="eastAsia" w:ascii="仿宋" w:hAnsi="仿宋" w:eastAsia="仿宋" w:cs="宋体"/>
          <w:snapToGrid w:val="0"/>
          <w:kern w:val="0"/>
        </w:rPr>
        <w:t>。</w:t>
      </w:r>
    </w:p>
    <w:p>
      <w:pPr>
        <w:pStyle w:val="5"/>
        <w:spacing w:before="0" w:after="0" w:line="600" w:lineRule="exact"/>
        <w:ind w:firstLine="643"/>
        <w:rPr>
          <w:snapToGrid w:val="0"/>
          <w:kern w:val="0"/>
        </w:rPr>
      </w:pPr>
      <w:bookmarkStart w:id="66" w:name="_Toc184133680"/>
      <w:r>
        <w:rPr>
          <w:rFonts w:hint="eastAsia"/>
          <w:snapToGrid w:val="0"/>
          <w:kern w:val="0"/>
        </w:rPr>
        <w:t>4.1.4 Ⅰ级响应</w:t>
      </w:r>
      <w:bookmarkEnd w:id="66"/>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启动条件：</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①森林火灾过火面积达到100公顷以上的；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②火场持续12小时仍未得到有效控制的；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③发生3人以上死亡或10人以上重伤，仍未得到有效控制的；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④严重威胁村庄、居民区和重要设施的；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⑤森林火灾初判达到重大火灾的；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⑥国土安全和社会稳定受到威胁，经济和有关行业遭受较大损失的；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⑦需要省政府协调支援的。</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符合上述条件之一时，</w:t>
      </w:r>
      <w:bookmarkStart w:id="67" w:name="_Toc50347206"/>
      <w:r>
        <w:rPr>
          <w:rFonts w:hint="eastAsia" w:ascii="仿宋" w:hAnsi="仿宋" w:eastAsia="仿宋" w:cs="宋体"/>
          <w:snapToGrid w:val="0"/>
          <w:kern w:val="0"/>
        </w:rPr>
        <w:t>区森防指启动Ⅰ级响应，应同时向市森防办和省森防办报告请求增援，积极做好火灾先期处置工作，由上级统一指挥灭火工作。</w:t>
      </w:r>
    </w:p>
    <w:p>
      <w:pPr>
        <w:pStyle w:val="4"/>
        <w:spacing w:before="0" w:beforeAutospacing="0" w:after="0" w:afterAutospacing="0" w:line="600" w:lineRule="exact"/>
        <w:ind w:firstLine="643"/>
        <w:rPr>
          <w:rFonts w:hint="default" w:asciiTheme="minorEastAsia" w:hAnsiTheme="minorEastAsia" w:eastAsiaTheme="minorEastAsia"/>
        </w:rPr>
      </w:pPr>
      <w:bookmarkStart w:id="68" w:name="_Toc184133681"/>
      <w:r>
        <w:rPr>
          <w:rFonts w:hint="default" w:asciiTheme="minorEastAsia" w:hAnsiTheme="minorEastAsia" w:eastAsiaTheme="minorEastAsia"/>
        </w:rPr>
        <w:t>4</w:t>
      </w:r>
      <w:r>
        <w:rPr>
          <w:rFonts w:asciiTheme="minorEastAsia" w:hAnsiTheme="minorEastAsia" w:eastAsiaTheme="minorEastAsia"/>
        </w:rPr>
        <w:t>.2 响应措施</w:t>
      </w:r>
      <w:bookmarkEnd w:id="68"/>
    </w:p>
    <w:p>
      <w:pPr>
        <w:pStyle w:val="5"/>
        <w:spacing w:before="0" w:after="0" w:line="600" w:lineRule="exact"/>
        <w:ind w:firstLine="643"/>
        <w:rPr>
          <w:snapToGrid w:val="0"/>
          <w:kern w:val="0"/>
        </w:rPr>
      </w:pPr>
      <w:bookmarkStart w:id="69" w:name="_Toc184133682"/>
      <w:r>
        <w:rPr>
          <w:rFonts w:hint="eastAsia"/>
          <w:snapToGrid w:val="0"/>
          <w:kern w:val="0"/>
        </w:rPr>
        <w:t>4.2.1 Ⅳ级响应措施</w:t>
      </w:r>
      <w:bookmarkEnd w:id="69"/>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森林火灾发生后，森林火灾发生地村（居）委作为第一响应责任单位，应立即启动以本辖区各方面力量为主体的先期处置机制。组织本辖区综合应急救援队伍、林业站、消防救援站等立即赶赴现场开展警戒、疏散安置群众、控制现场、救护、抢险、收集现场动态信息、初步判定灾害级别等基础处置工作。先期处置过程中，村（居）委应按规定向上级报告灾情动态和处置情况。</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 xml:space="preserve">区森防办及时向区政府和市森防办报告火灾情况，制定扑救方案，调动扑火力量，下达扑救任务，视情组织队伍赶赴火场，协调、指导火灾扑救工作。 </w:t>
      </w:r>
    </w:p>
    <w:p>
      <w:pPr>
        <w:pStyle w:val="5"/>
        <w:spacing w:before="0" w:after="0" w:line="600" w:lineRule="exact"/>
        <w:ind w:firstLine="643"/>
        <w:rPr>
          <w:snapToGrid w:val="0"/>
          <w:kern w:val="0"/>
        </w:rPr>
      </w:pPr>
      <w:bookmarkStart w:id="70" w:name="_Toc184133683"/>
      <w:r>
        <w:rPr>
          <w:rFonts w:hint="eastAsia"/>
          <w:snapToGrid w:val="0"/>
          <w:kern w:val="0"/>
        </w:rPr>
        <w:t>4.2.2 Ⅲ级响应措施</w:t>
      </w:r>
      <w:bookmarkEnd w:id="70"/>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森林火灾发生后，区森防指立即进入应急状态，区森防办及时向市森防办报告火灾情况，全区森林防灭火指挥机构和各扑救力量在区森防指统一指挥下开展森林火灾扑救工作。</w:t>
      </w:r>
    </w:p>
    <w:p>
      <w:pPr>
        <w:pStyle w:val="5"/>
        <w:spacing w:before="0" w:after="0" w:line="600" w:lineRule="exact"/>
        <w:ind w:firstLine="643"/>
        <w:rPr>
          <w:snapToGrid w:val="0"/>
          <w:kern w:val="0"/>
        </w:rPr>
      </w:pPr>
      <w:bookmarkStart w:id="71" w:name="_Toc184133684"/>
      <w:r>
        <w:rPr>
          <w:rFonts w:hint="eastAsia"/>
          <w:snapToGrid w:val="0"/>
          <w:kern w:val="0"/>
        </w:rPr>
        <w:t>4.2.3 Ⅱ级响应措施</w:t>
      </w:r>
      <w:bookmarkEnd w:id="71"/>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全区森林防灭火指挥机构和各扑救力量在市森防指统一指挥下开展森林火灾扑救工作。</w:t>
      </w:r>
    </w:p>
    <w:p>
      <w:pPr>
        <w:pStyle w:val="5"/>
        <w:spacing w:before="0" w:after="0" w:line="600" w:lineRule="exact"/>
        <w:ind w:firstLine="643"/>
        <w:rPr>
          <w:snapToGrid w:val="0"/>
          <w:kern w:val="0"/>
        </w:rPr>
      </w:pPr>
      <w:bookmarkStart w:id="72" w:name="_Toc184133685"/>
      <w:r>
        <w:rPr>
          <w:rFonts w:hint="eastAsia"/>
          <w:snapToGrid w:val="0"/>
          <w:kern w:val="0"/>
        </w:rPr>
        <w:t>4.2.4 Ⅰ级响应措施</w:t>
      </w:r>
      <w:bookmarkEnd w:id="72"/>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全区森林防灭火指挥机构和各扑救力量在省、市森防指统一指挥下开展森林火灾扑救工作。</w:t>
      </w:r>
    </w:p>
    <w:p>
      <w:pPr>
        <w:pStyle w:val="4"/>
        <w:spacing w:before="0" w:beforeAutospacing="0" w:after="0" w:afterAutospacing="0" w:line="600" w:lineRule="exact"/>
        <w:ind w:firstLine="643"/>
        <w:rPr>
          <w:rFonts w:hint="default" w:asciiTheme="minorEastAsia" w:hAnsiTheme="minorEastAsia" w:eastAsiaTheme="minorEastAsia"/>
        </w:rPr>
      </w:pPr>
      <w:bookmarkStart w:id="73" w:name="_Toc184133686"/>
      <w:r>
        <w:rPr>
          <w:rFonts w:asciiTheme="minorEastAsia" w:hAnsiTheme="minorEastAsia" w:eastAsiaTheme="minorEastAsia"/>
        </w:rPr>
        <w:t>4.3</w:t>
      </w:r>
      <w:r>
        <w:rPr>
          <w:rFonts w:hint="default" w:asciiTheme="minorEastAsia" w:hAnsiTheme="minorEastAsia" w:eastAsiaTheme="minorEastAsia"/>
        </w:rPr>
        <w:t xml:space="preserve"> </w:t>
      </w:r>
      <w:r>
        <w:rPr>
          <w:rFonts w:asciiTheme="minorEastAsia" w:hAnsiTheme="minorEastAsia" w:eastAsiaTheme="minorEastAsia"/>
        </w:rPr>
        <w:t>应急处置</w:t>
      </w:r>
      <w:bookmarkEnd w:id="73"/>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森林火灾现场应急处置，由森林防灭火指挥机构统一组织，实行现场指挥官负责制，各成员单位按照职责参与应急处置工作。</w:t>
      </w:r>
    </w:p>
    <w:p>
      <w:pPr>
        <w:pStyle w:val="5"/>
        <w:spacing w:before="0" w:after="0" w:line="600" w:lineRule="exact"/>
        <w:ind w:firstLine="643"/>
        <w:rPr>
          <w:snapToGrid w:val="0"/>
          <w:kern w:val="0"/>
        </w:rPr>
      </w:pPr>
      <w:bookmarkStart w:id="74" w:name="_Toc184133687"/>
      <w:r>
        <w:rPr>
          <w:rFonts w:hint="eastAsia"/>
          <w:snapToGrid w:val="0"/>
          <w:kern w:val="0"/>
        </w:rPr>
        <w:t>4.3.1 处置原则</w:t>
      </w:r>
      <w:bookmarkEnd w:id="74"/>
    </w:p>
    <w:p>
      <w:pPr>
        <w:tabs>
          <w:tab w:val="left" w:pos="540"/>
          <w:tab w:val="left" w:pos="720"/>
        </w:tabs>
        <w:spacing w:line="600" w:lineRule="exact"/>
        <w:ind w:firstLine="614" w:firstLineChars="192"/>
        <w:rPr>
          <w:rFonts w:ascii="仿宋" w:hAnsi="仿宋" w:eastAsia="仿宋" w:cs="宋体"/>
          <w:snapToGrid w:val="0"/>
          <w:kern w:val="0"/>
        </w:rPr>
      </w:pPr>
      <w:r>
        <w:rPr>
          <w:rFonts w:hint="eastAsia" w:ascii="仿宋" w:hAnsi="仿宋" w:eastAsia="仿宋" w:cs="宋体"/>
          <w:snapToGrid w:val="0"/>
          <w:kern w:val="0"/>
        </w:rPr>
        <w:t>1.在扑火过程中，首先要保护人民生命财产、扑火人员、居民点和重要设施的安全。</w:t>
      </w:r>
    </w:p>
    <w:p>
      <w:pPr>
        <w:tabs>
          <w:tab w:val="left" w:pos="540"/>
          <w:tab w:val="left" w:pos="72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2.在扑火战略上，尊重自然规律，采取“阻、打、清”相结合，做到快速出击、科学扑火，集中优势兵力打歼灭战。</w:t>
      </w:r>
    </w:p>
    <w:p>
      <w:pPr>
        <w:tabs>
          <w:tab w:val="left" w:pos="540"/>
          <w:tab w:val="left" w:pos="72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3.在扑火战术上，要采取整体围控，各个歼灭；重兵扑救，彻底清除；阻隔为主，正面扑救为辅等多种方式和手段进行扑救，减少森林资源损失。</w:t>
      </w:r>
    </w:p>
    <w:p>
      <w:pPr>
        <w:tabs>
          <w:tab w:val="left" w:pos="540"/>
        </w:tabs>
        <w:spacing w:line="600" w:lineRule="exact"/>
        <w:ind w:firstLine="614" w:firstLineChars="192"/>
        <w:rPr>
          <w:rFonts w:ascii="仿宋" w:hAnsi="仿宋" w:eastAsia="仿宋" w:cs="宋体"/>
          <w:snapToGrid w:val="0"/>
          <w:kern w:val="0"/>
        </w:rPr>
      </w:pPr>
      <w:r>
        <w:rPr>
          <w:rFonts w:hint="eastAsia" w:ascii="仿宋" w:hAnsi="仿宋" w:eastAsia="仿宋" w:cs="宋体"/>
          <w:snapToGrid w:val="0"/>
          <w:kern w:val="0"/>
        </w:rPr>
        <w:t>4.在扑火力量使用上，坚持以专业森林扑火队为主，其他经过训练的或有组织的半专业队和非专业力量为辅的原则。</w:t>
      </w:r>
    </w:p>
    <w:p>
      <w:pPr>
        <w:tabs>
          <w:tab w:val="left" w:pos="540"/>
          <w:tab w:val="left" w:pos="72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5.在落实责任制上，采取分段包干、划区包片的办法，建立扑火、清理和看守火场的责任制。</w:t>
      </w:r>
    </w:p>
    <w:p>
      <w:pPr>
        <w:pStyle w:val="5"/>
        <w:spacing w:before="0" w:after="0" w:line="600" w:lineRule="exact"/>
        <w:ind w:firstLine="643"/>
        <w:rPr>
          <w:snapToGrid w:val="0"/>
          <w:kern w:val="0"/>
        </w:rPr>
      </w:pPr>
      <w:bookmarkStart w:id="75" w:name="_Toc184133688"/>
      <w:r>
        <w:rPr>
          <w:rFonts w:hint="eastAsia"/>
          <w:snapToGrid w:val="0"/>
          <w:kern w:val="0"/>
        </w:rPr>
        <w:t>4.3.2 先期处置</w:t>
      </w:r>
      <w:bookmarkEnd w:id="75"/>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森林火灾发生后,发生地区人民政府应立即启动应急预案进行先期处置，疏散森林火灾现场周边无关人员，对现场情况进行研判，采取有效措施控制事态发展，组织开展先期处置工作，并立即向市人民政府、市应急管理局及有关部门进行报告。</w:t>
      </w:r>
    </w:p>
    <w:p>
      <w:pPr>
        <w:pStyle w:val="5"/>
        <w:spacing w:before="0" w:after="0" w:line="600" w:lineRule="exact"/>
        <w:ind w:firstLine="643"/>
        <w:rPr>
          <w:snapToGrid w:val="0"/>
          <w:kern w:val="0"/>
        </w:rPr>
      </w:pPr>
      <w:bookmarkStart w:id="76" w:name="_Toc184133689"/>
      <w:r>
        <w:rPr>
          <w:rFonts w:hint="eastAsia"/>
          <w:snapToGrid w:val="0"/>
          <w:kern w:val="0"/>
        </w:rPr>
        <w:t>4.3.3 处置措施</w:t>
      </w:r>
      <w:bookmarkEnd w:id="76"/>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一般以下森林火灾扑救工作程序</w:t>
      </w:r>
    </w:p>
    <w:p>
      <w:pPr>
        <w:tabs>
          <w:tab w:val="left" w:pos="540"/>
          <w:tab w:val="left" w:pos="72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当出现森林受害面积不足一公顷或者其他林地起火的，事发地社区、村民委员会、村民小组、公安局派出所做好以下工作：</w:t>
      </w:r>
    </w:p>
    <w:p>
      <w:pPr>
        <w:tabs>
          <w:tab w:val="left" w:pos="540"/>
          <w:tab w:val="left" w:pos="720"/>
        </w:tabs>
        <w:spacing w:line="600" w:lineRule="exact"/>
        <w:rPr>
          <w:rFonts w:ascii="仿宋" w:hAnsi="仿宋" w:eastAsia="仿宋" w:cs="宋体"/>
          <w:snapToGrid w:val="0"/>
          <w:kern w:val="0"/>
        </w:rPr>
      </w:pPr>
      <w:r>
        <w:rPr>
          <w:rFonts w:hint="eastAsia" w:ascii="仿宋" w:hAnsi="仿宋" w:eastAsia="仿宋" w:cs="宋体"/>
          <w:snapToGrid w:val="0"/>
          <w:kern w:val="0"/>
        </w:rPr>
        <w:t xml:space="preserve">    （1）进入紧张状态，组织扑救队伍赶往火场开展扑救，主管领导要立即亲临一线指挥，并负责做好收集、处理研究火灾火情信息，根据火情蔓延的程度和影响范围作出判断，及时将火场的最新动态向区森防办报告。</w:t>
      </w:r>
    </w:p>
    <w:p>
      <w:pPr>
        <w:tabs>
          <w:tab w:val="left" w:pos="540"/>
          <w:tab w:val="left" w:pos="72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（2）区森防办接到报告，应根据火情调动森林扑火队前往支援。</w:t>
      </w:r>
    </w:p>
    <w:p>
      <w:pPr>
        <w:spacing w:line="600" w:lineRule="exact"/>
        <w:ind w:firstLine="640" w:firstLineChars="200"/>
        <w:rPr>
          <w:rFonts w:ascii="仿宋" w:hAnsi="仿宋" w:eastAsia="仿宋" w:cs="宋体"/>
          <w:snapToGrid w:val="0"/>
          <w:kern w:val="0"/>
        </w:rPr>
      </w:pPr>
      <w:bookmarkStart w:id="77" w:name="_Toc50347215"/>
      <w:r>
        <w:rPr>
          <w:rFonts w:hint="eastAsia" w:ascii="仿宋" w:hAnsi="仿宋" w:eastAsia="仿宋" w:cs="宋体"/>
          <w:snapToGrid w:val="0"/>
          <w:kern w:val="0"/>
        </w:rPr>
        <w:t>8.1.2</w:t>
      </w:r>
      <w:r>
        <w:rPr>
          <w:rFonts w:ascii="仿宋" w:hAnsi="仿宋" w:eastAsia="仿宋" w:cs="宋体"/>
          <w:snapToGrid w:val="0"/>
          <w:kern w:val="0"/>
        </w:rPr>
        <w:t xml:space="preserve"> </w:t>
      </w:r>
      <w:r>
        <w:rPr>
          <w:rFonts w:hint="eastAsia" w:ascii="仿宋" w:hAnsi="仿宋" w:eastAsia="仿宋" w:cs="宋体"/>
          <w:snapToGrid w:val="0"/>
          <w:kern w:val="0"/>
        </w:rPr>
        <w:t>一般以上森林火灾扑救工作程序</w:t>
      </w:r>
      <w:bookmarkEnd w:id="77"/>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 xml:space="preserve"> 当出现森林火灾受害面积在一公顷以上的火情时，各相关单位做好以下工作：</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1）发生一般以上森林火灾，事发地村（居）委会要立即进入紧张工作状态；要迅速行动，加强领导，主管领导要立即亲临一线，指挥扑火救灾工作。发生较大森林火灾时，区森防指总指挥、副总指挥要亲临一线。</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2）村（居）委会相关部门负责做好收集、处理研究火灾火情信息，根据火情蔓延的程度和影响范围作出判断，及时将火场的最新动态上报区森防办。区森防办立即将火情上报区森防指及有关部门，组织人员扑救、下达扑救任务，严格按照火情信息报告程序逐级上报，同时安排人员加强值班制度。</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（3）驻守事发地的森林扑火队立即赶赴现场进行扑火。</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（4）区森林扑火队赶赴火场支援。</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（5）发生较大森林火灾时，区森防指办公室调动区消防救援大队支援。</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（6）事发地村（居）委会技术员、护林员立即派技术调查员赶赴现场，配合扑火队伍寻找水源；为火灾的扑救、火情发展态势等给予技术指导。</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 xml:space="preserve">（7）前线指挥部研究、协调解决扑救火灾中遇到的重大问题，指挥调动扑火队伍。  </w:t>
      </w:r>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（8）区森防指所有成员单位及区直相关部门全力以赴参与和支持扑火救灾工作。</w:t>
      </w:r>
    </w:p>
    <w:p>
      <w:pPr>
        <w:pStyle w:val="4"/>
        <w:spacing w:before="0" w:beforeAutospacing="0" w:after="0" w:afterAutospacing="0" w:line="600" w:lineRule="exact"/>
        <w:ind w:firstLine="643"/>
        <w:rPr>
          <w:rFonts w:hint="default" w:asciiTheme="minorEastAsia" w:hAnsiTheme="minorEastAsia" w:eastAsiaTheme="minorEastAsia"/>
        </w:rPr>
      </w:pPr>
      <w:bookmarkStart w:id="78" w:name="_Toc184133690"/>
      <w:r>
        <w:rPr>
          <w:rFonts w:hint="default" w:asciiTheme="minorEastAsia" w:hAnsiTheme="minorEastAsia" w:eastAsiaTheme="minorEastAsia"/>
        </w:rPr>
        <w:t>4</w:t>
      </w:r>
      <w:r>
        <w:rPr>
          <w:rFonts w:asciiTheme="minorEastAsia" w:hAnsiTheme="minorEastAsia" w:eastAsiaTheme="minorEastAsia"/>
        </w:rPr>
        <w:t>.4 应急结束</w:t>
      </w:r>
      <w:bookmarkEnd w:id="78"/>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森林火灾应急结束由区森防指视情况决定发布。森林火灾切实得到有效控制后，根据实际情况，由区森防指适时宣布结束应急期的工作，恢复正常森林防火的工作秩序。</w:t>
      </w:r>
    </w:p>
    <w:bookmarkEnd w:id="67"/>
    <w:p>
      <w:pPr>
        <w:pStyle w:val="3"/>
        <w:spacing w:before="0" w:after="0" w:line="600" w:lineRule="exact"/>
        <w:ind w:firstLine="720" w:firstLineChars="200"/>
        <w:rPr>
          <w:rFonts w:ascii="黑体" w:hAnsi="黑体"/>
          <w:b w:val="0"/>
          <w:bCs w:val="0"/>
          <w:sz w:val="36"/>
          <w:szCs w:val="36"/>
        </w:rPr>
      </w:pPr>
      <w:bookmarkStart w:id="79" w:name="_Toc184133691"/>
      <w:r>
        <w:rPr>
          <w:rFonts w:hint="eastAsia" w:ascii="黑体" w:hAnsi="黑体"/>
          <w:b w:val="0"/>
          <w:bCs w:val="0"/>
          <w:sz w:val="36"/>
          <w:szCs w:val="36"/>
        </w:rPr>
        <w:t>5后期处置</w:t>
      </w:r>
      <w:bookmarkEnd w:id="79"/>
    </w:p>
    <w:p>
      <w:pPr>
        <w:pStyle w:val="4"/>
        <w:spacing w:before="0" w:beforeAutospacing="0" w:after="0" w:afterAutospacing="0" w:line="600" w:lineRule="exact"/>
        <w:ind w:firstLine="643"/>
        <w:rPr>
          <w:rFonts w:hint="default" w:asciiTheme="minorEastAsia" w:hAnsiTheme="minorEastAsia" w:eastAsiaTheme="minorEastAsia"/>
        </w:rPr>
      </w:pPr>
      <w:bookmarkStart w:id="80" w:name="_Toc184133692"/>
      <w:r>
        <w:rPr>
          <w:rFonts w:hint="default" w:asciiTheme="minorEastAsia" w:hAnsiTheme="minorEastAsia" w:eastAsiaTheme="minorEastAsia"/>
        </w:rPr>
        <w:t>5.1 善后处理</w:t>
      </w:r>
      <w:bookmarkEnd w:id="80"/>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森林火灾应急处置结束后,各级森林防灭火指挥机构根据各自职责，依法开展灾害救助、伤员救治、灾民安置、火场清理、灾后评估、灾区恢复重建等工作。</w:t>
      </w:r>
    </w:p>
    <w:p>
      <w:pPr>
        <w:pStyle w:val="4"/>
        <w:spacing w:before="0" w:beforeAutospacing="0" w:after="0" w:afterAutospacing="0" w:line="600" w:lineRule="exact"/>
        <w:ind w:firstLine="643"/>
        <w:rPr>
          <w:rFonts w:hint="default" w:asciiTheme="minorEastAsia" w:hAnsiTheme="minorEastAsia" w:eastAsiaTheme="minorEastAsia"/>
        </w:rPr>
      </w:pPr>
      <w:bookmarkStart w:id="81" w:name="_Toc184133693"/>
      <w:r>
        <w:rPr>
          <w:rFonts w:hint="default" w:asciiTheme="minorEastAsia" w:hAnsiTheme="minorEastAsia" w:eastAsiaTheme="minorEastAsia"/>
        </w:rPr>
        <w:t>5.2 调查评估</w:t>
      </w:r>
      <w:bookmarkEnd w:id="81"/>
    </w:p>
    <w:p>
      <w:pPr>
        <w:tabs>
          <w:tab w:val="left" w:pos="540"/>
          <w:tab w:val="left" w:pos="720"/>
          <w:tab w:val="left" w:pos="2340"/>
        </w:tabs>
        <w:spacing w:line="600" w:lineRule="exact"/>
        <w:ind w:firstLine="570"/>
        <w:rPr>
          <w:rFonts w:ascii="仿宋" w:hAnsi="仿宋" w:eastAsia="仿宋" w:cs="宋体"/>
          <w:snapToGrid w:val="0"/>
          <w:kern w:val="0"/>
        </w:rPr>
      </w:pPr>
      <w:r>
        <w:rPr>
          <w:rFonts w:hint="eastAsia" w:ascii="仿宋" w:hAnsi="仿宋" w:eastAsia="仿宋" w:cs="宋体"/>
          <w:snapToGrid w:val="0"/>
          <w:kern w:val="0"/>
        </w:rPr>
        <w:t>森林火灾扑灭后，由区</w:t>
      </w:r>
      <w:r>
        <w:rPr>
          <w:rFonts w:hint="eastAsia" w:ascii="仿宋" w:hAnsi="仿宋" w:eastAsia="仿宋" w:cs="宋体"/>
          <w:snapToGrid w:val="0"/>
          <w:kern w:val="0"/>
          <w:lang w:val="en-US" w:eastAsia="zh-CN"/>
        </w:rPr>
        <w:t>水务林业局</w:t>
      </w:r>
      <w:r>
        <w:rPr>
          <w:rFonts w:hint="eastAsia" w:ascii="仿宋" w:hAnsi="仿宋" w:eastAsia="仿宋" w:cs="宋体"/>
          <w:snapToGrid w:val="0"/>
          <w:kern w:val="0"/>
        </w:rPr>
        <w:t>牵头，事发地村（居）委会、区水务林业局、区应急管理局、三亚市生态环境局海棠分局联合组织人员及时进行现场过火面积、受害面积和损失情况核查，要求在火灾扑灭后立即书面上报区森防指，上报的数据和情况必须真实、准确，不得瞒报、虚报。必要时可由区森防办实地核查，建立专门火灾档案。</w:t>
      </w:r>
    </w:p>
    <w:p>
      <w:pPr>
        <w:pStyle w:val="4"/>
        <w:spacing w:before="0" w:beforeAutospacing="0" w:after="0" w:afterAutospacing="0" w:line="600" w:lineRule="exact"/>
        <w:ind w:firstLine="643"/>
        <w:rPr>
          <w:rFonts w:hint="default" w:asciiTheme="minorEastAsia" w:hAnsiTheme="minorEastAsia" w:eastAsiaTheme="minorEastAsia"/>
        </w:rPr>
      </w:pPr>
      <w:bookmarkStart w:id="82" w:name="_Toc184133694"/>
      <w:r>
        <w:rPr>
          <w:rFonts w:hint="default" w:asciiTheme="minorEastAsia" w:hAnsiTheme="minorEastAsia" w:eastAsiaTheme="minorEastAsia"/>
        </w:rPr>
        <w:t>5.3 火灾案件查处</w:t>
      </w:r>
      <w:bookmarkEnd w:id="82"/>
    </w:p>
    <w:p>
      <w:pPr>
        <w:tabs>
          <w:tab w:val="left" w:pos="540"/>
          <w:tab w:val="left" w:pos="720"/>
          <w:tab w:val="left" w:pos="2340"/>
        </w:tabs>
        <w:spacing w:line="600" w:lineRule="exact"/>
        <w:ind w:firstLine="678" w:firstLineChars="212"/>
        <w:rPr>
          <w:rFonts w:ascii="仿宋" w:hAnsi="仿宋" w:eastAsia="仿宋" w:cs="宋体"/>
          <w:snapToGrid w:val="0"/>
          <w:kern w:val="0"/>
        </w:rPr>
      </w:pPr>
      <w:r>
        <w:rPr>
          <w:rFonts w:hint="eastAsia" w:ascii="仿宋" w:hAnsi="仿宋" w:eastAsia="仿宋" w:cs="宋体"/>
          <w:snapToGrid w:val="0"/>
          <w:kern w:val="0"/>
        </w:rPr>
        <w:t>对森林火灾案件，受害森林面积达到刑事立案标准的，由市公安局海棠分局及时组织警力查明火因、并立案侦查；受害森林面积未达到刑事立案标准的由应急管理局依法查处。</w:t>
      </w:r>
    </w:p>
    <w:p>
      <w:pPr>
        <w:pStyle w:val="4"/>
        <w:spacing w:before="0" w:beforeAutospacing="0" w:after="0" w:afterAutospacing="0" w:line="600" w:lineRule="exact"/>
        <w:ind w:firstLine="643"/>
        <w:rPr>
          <w:rFonts w:hint="default" w:asciiTheme="minorEastAsia" w:hAnsiTheme="minorEastAsia" w:eastAsiaTheme="minorEastAsia"/>
        </w:rPr>
      </w:pPr>
      <w:bookmarkStart w:id="83" w:name="_Toc184133695"/>
      <w:r>
        <w:rPr>
          <w:rFonts w:hint="default" w:asciiTheme="minorEastAsia" w:hAnsiTheme="minorEastAsia" w:eastAsiaTheme="minorEastAsia"/>
        </w:rPr>
        <w:t>5.4 工作总结</w:t>
      </w:r>
      <w:bookmarkEnd w:id="83"/>
    </w:p>
    <w:p>
      <w:pPr>
        <w:tabs>
          <w:tab w:val="left" w:pos="540"/>
          <w:tab w:val="left" w:pos="720"/>
          <w:tab w:val="left" w:pos="2340"/>
        </w:tabs>
        <w:spacing w:line="600" w:lineRule="exact"/>
        <w:ind w:firstLine="570"/>
        <w:rPr>
          <w:rFonts w:ascii="仿宋" w:hAnsi="仿宋" w:eastAsia="仿宋" w:cs="宋体"/>
          <w:snapToGrid w:val="0"/>
          <w:kern w:val="0"/>
        </w:rPr>
      </w:pPr>
      <w:r>
        <w:rPr>
          <w:rFonts w:hint="eastAsia" w:ascii="仿宋" w:hAnsi="仿宋" w:eastAsia="仿宋" w:cs="宋体"/>
          <w:snapToGrid w:val="0"/>
          <w:kern w:val="0"/>
        </w:rPr>
        <w:t>扑火工作结束后，区森防办及时进行全面工作总结，重点分析火灾发生的原因和应吸取的经验教训，提出改进措施，并将工作总结上报区政府和应急管理局备案。</w:t>
      </w:r>
    </w:p>
    <w:p>
      <w:pPr>
        <w:pStyle w:val="4"/>
        <w:spacing w:before="0" w:beforeAutospacing="0" w:after="0" w:afterAutospacing="0" w:line="600" w:lineRule="exact"/>
        <w:ind w:firstLine="643"/>
        <w:rPr>
          <w:rFonts w:hint="default" w:asciiTheme="minorEastAsia" w:hAnsiTheme="minorEastAsia" w:eastAsiaTheme="minorEastAsia"/>
        </w:rPr>
      </w:pPr>
      <w:bookmarkStart w:id="84" w:name="_Toc184133696"/>
      <w:r>
        <w:rPr>
          <w:rFonts w:hint="default" w:asciiTheme="minorEastAsia" w:hAnsiTheme="minorEastAsia" w:eastAsiaTheme="minorEastAsia"/>
        </w:rPr>
        <w:t>5.5 责任与奖惩</w:t>
      </w:r>
      <w:bookmarkEnd w:id="84"/>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对在森林防灭火工作中做出突出贡献的单位和个人，要给予表彰和奖励。对玩忽职守、失职、渎职的有关责任人，要依据有关规定严肃追究责任，构成犯罪的，依法追究刑事责任。对扑火工作中牺牲人员符合评定烈士条件的，按有关规定办理。</w:t>
      </w:r>
    </w:p>
    <w:p>
      <w:pPr>
        <w:pStyle w:val="4"/>
        <w:spacing w:before="0" w:beforeAutospacing="0" w:after="0" w:afterAutospacing="0" w:line="600" w:lineRule="exact"/>
        <w:ind w:firstLine="643"/>
        <w:rPr>
          <w:rFonts w:hint="default" w:asciiTheme="minorEastAsia" w:hAnsiTheme="minorEastAsia" w:eastAsiaTheme="minorEastAsia"/>
        </w:rPr>
      </w:pPr>
      <w:bookmarkStart w:id="85" w:name="_Toc184133697"/>
      <w:bookmarkStart w:id="86" w:name="_Toc50347226"/>
      <w:r>
        <w:rPr>
          <w:rFonts w:hint="default" w:asciiTheme="minorEastAsia" w:hAnsiTheme="minorEastAsia" w:eastAsiaTheme="minorEastAsia"/>
        </w:rPr>
        <w:t>5.6 新闻报道</w:t>
      </w:r>
      <w:bookmarkEnd w:id="85"/>
      <w:bookmarkEnd w:id="86"/>
    </w:p>
    <w:p>
      <w:pPr>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按照森林火灾报道的有关规定，一般森林火灾原则上不予报道，地方报纸、广播、电视等新闻单位自行采访有关森林火灾的报道，必须经同级指挥部办公室审核签署意见，报同级政府主管领导审定后，才能报道。新闻媒体要求现场采访报道的，必须由区委宣传部统一组织，归口管理。对较大以上森林火灾的新闻稿件（包括电视新闻），必须经过区委宣传部的核实，由区领导签署意见后报市委宣传部统一发布。火情报道要真实准确，注重实效。</w:t>
      </w:r>
    </w:p>
    <w:p>
      <w:pPr>
        <w:pStyle w:val="3"/>
        <w:spacing w:before="0" w:after="0" w:line="600" w:lineRule="exact"/>
        <w:ind w:firstLine="720" w:firstLineChars="200"/>
        <w:rPr>
          <w:rFonts w:ascii="黑体" w:hAnsi="黑体"/>
          <w:b w:val="0"/>
          <w:bCs w:val="0"/>
          <w:sz w:val="36"/>
          <w:szCs w:val="36"/>
        </w:rPr>
      </w:pPr>
      <w:bookmarkStart w:id="87" w:name="_Toc184133698"/>
      <w:r>
        <w:rPr>
          <w:rFonts w:hint="eastAsia" w:ascii="黑体" w:hAnsi="黑体"/>
          <w:b w:val="0"/>
          <w:bCs w:val="0"/>
          <w:sz w:val="36"/>
          <w:szCs w:val="36"/>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-43180</wp:posOffset>
                </wp:positionV>
                <wp:extent cx="635" cy="0"/>
                <wp:effectExtent l="0" t="0" r="37465" b="19050"/>
                <wp:wrapNone/>
                <wp:docPr id="2" name="Line 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2" o:spid="_x0000_s1026" o:spt="20" style="position:absolute;left:0pt;margin-left:207pt;margin-top:-3.4pt;height:0pt;width:0.05pt;z-index:251659264;mso-width-relative:page;mso-height-relative:page;" filled="f" stroked="t" coordsize="21600,21600" o:gfxdata="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&#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KTtWSzVAAAACQEAAA8AAAAAAAAAAQAgAAAAOAAAAGRy&#10;cy9kb3ducmV2LnhtbFBLAQIUABQAAAAIAIdO4kBKY8P1uQEAAIoDAAAOAAAAAAAAAAEAIAAAADoB&#10;AABkcnMvZTJvRG9jLnhtbFBLBQYAAAAABgAGAFkBAABlBQAAAAA=&#10;">
                <v:fill on="f" focussize="0,0"/>
                <v:stroke color="#000000" joinstyle="round"/>
                <v:imagedata o:title=""/>
                <o:lock v:ext="edit" aspectratio="f"/>
              </v:line>
            </w:pict>
          </mc:Fallback>
        </mc:AlternateContent>
      </w:r>
      <w:bookmarkStart w:id="88" w:name="_Toc50347218"/>
      <w:r>
        <w:rPr>
          <w:rFonts w:hint="eastAsia" w:ascii="黑体" w:hAnsi="黑体"/>
          <w:b w:val="0"/>
          <w:bCs w:val="0"/>
          <w:sz w:val="36"/>
          <w:szCs w:val="36"/>
        </w:rPr>
        <w:t>6 应急保障</w:t>
      </w:r>
      <w:bookmarkEnd w:id="87"/>
      <w:bookmarkEnd w:id="88"/>
    </w:p>
    <w:p>
      <w:pPr>
        <w:pStyle w:val="4"/>
        <w:spacing w:before="0" w:beforeAutospacing="0" w:after="0" w:afterAutospacing="0" w:line="600" w:lineRule="exact"/>
        <w:ind w:firstLine="643"/>
        <w:rPr>
          <w:rFonts w:hint="default" w:asciiTheme="minorEastAsia" w:hAnsiTheme="minorEastAsia" w:eastAsiaTheme="minorEastAsia"/>
        </w:rPr>
      </w:pPr>
      <w:bookmarkStart w:id="89" w:name="_Toc184133699"/>
      <w:bookmarkStart w:id="90" w:name="_Toc50347219"/>
      <w:r>
        <w:rPr>
          <w:rFonts w:hint="default" w:asciiTheme="minorEastAsia" w:hAnsiTheme="minorEastAsia" w:eastAsiaTheme="minorEastAsia"/>
        </w:rPr>
        <w:t>6.1 通信与信息保障</w:t>
      </w:r>
      <w:bookmarkEnd w:id="89"/>
      <w:bookmarkEnd w:id="90"/>
    </w:p>
    <w:p>
      <w:pPr>
        <w:tabs>
          <w:tab w:val="left" w:pos="540"/>
          <w:tab w:val="left" w:pos="720"/>
          <w:tab w:val="left" w:pos="2340"/>
        </w:tabs>
        <w:spacing w:line="600" w:lineRule="exact"/>
        <w:ind w:firstLine="630" w:firstLineChars="197"/>
        <w:rPr>
          <w:rFonts w:ascii="仿宋" w:hAnsi="仿宋" w:eastAsia="仿宋" w:cs="宋体"/>
          <w:snapToGrid w:val="0"/>
          <w:kern w:val="0"/>
        </w:rPr>
      </w:pPr>
      <w:r>
        <w:rPr>
          <w:rFonts w:hint="eastAsia" w:ascii="仿宋" w:hAnsi="仿宋" w:eastAsia="仿宋" w:cs="宋体"/>
          <w:snapToGrid w:val="0"/>
          <w:kern w:val="0"/>
        </w:rPr>
        <w:t>区森防指与前线指挥部联系主要以有线电话为主；火场内部、火场与前线指挥部以及区森防指联系主要以手机、无线电、对讲机、车载台和卫星电话为主；驻区各电信运营商负责保障区森防指与前线指挥部以及各工作组通信畅通。</w:t>
      </w:r>
    </w:p>
    <w:p>
      <w:pPr>
        <w:tabs>
          <w:tab w:val="left" w:pos="540"/>
          <w:tab w:val="left" w:pos="720"/>
          <w:tab w:val="left" w:pos="2340"/>
        </w:tabs>
        <w:spacing w:line="600" w:lineRule="exact"/>
        <w:ind w:firstLine="630" w:firstLineChars="197"/>
        <w:rPr>
          <w:rFonts w:ascii="仿宋" w:hAnsi="仿宋" w:eastAsia="仿宋" w:cs="宋体"/>
          <w:snapToGrid w:val="0"/>
          <w:kern w:val="0"/>
        </w:rPr>
      </w:pPr>
      <w:r>
        <w:rPr>
          <w:rFonts w:hint="eastAsia" w:ascii="仿宋" w:hAnsi="仿宋" w:eastAsia="仿宋" w:cs="宋体"/>
          <w:snapToGrid w:val="0"/>
          <w:kern w:val="0"/>
        </w:rPr>
        <w:t>区</w:t>
      </w:r>
      <w:r>
        <w:rPr>
          <w:rFonts w:hint="eastAsia" w:ascii="仿宋" w:hAnsi="仿宋" w:eastAsia="仿宋" w:cs="宋体"/>
          <w:snapToGrid w:val="0"/>
          <w:kern w:val="0"/>
          <w:lang w:val="en-US" w:eastAsia="zh-CN"/>
        </w:rPr>
        <w:t>发改委</w:t>
      </w:r>
      <w:r>
        <w:rPr>
          <w:rFonts w:hint="eastAsia" w:ascii="仿宋" w:hAnsi="仿宋" w:eastAsia="仿宋" w:cs="宋体"/>
          <w:snapToGrid w:val="0"/>
          <w:kern w:val="0"/>
        </w:rPr>
        <w:t>负责信息网络保障。</w:t>
      </w:r>
    </w:p>
    <w:p>
      <w:pPr>
        <w:pStyle w:val="4"/>
        <w:spacing w:before="0" w:beforeAutospacing="0" w:after="0" w:afterAutospacing="0" w:line="600" w:lineRule="exact"/>
        <w:ind w:firstLine="643"/>
        <w:rPr>
          <w:rFonts w:hint="default" w:asciiTheme="minorEastAsia" w:hAnsiTheme="minorEastAsia" w:eastAsiaTheme="minorEastAsia"/>
        </w:rPr>
      </w:pPr>
      <w:bookmarkStart w:id="91" w:name="_Toc50347220"/>
      <w:bookmarkStart w:id="92" w:name="_Toc184133700"/>
      <w:r>
        <w:rPr>
          <w:rFonts w:hint="default" w:asciiTheme="minorEastAsia" w:hAnsiTheme="minorEastAsia" w:eastAsiaTheme="minorEastAsia"/>
        </w:rPr>
        <w:t>6.2 后备力量保障</w:t>
      </w:r>
      <w:bookmarkEnd w:id="91"/>
      <w:bookmarkEnd w:id="92"/>
    </w:p>
    <w:p>
      <w:pPr>
        <w:tabs>
          <w:tab w:val="left" w:pos="540"/>
          <w:tab w:val="left" w:pos="720"/>
          <w:tab w:val="left" w:pos="2340"/>
        </w:tabs>
        <w:spacing w:line="600" w:lineRule="exact"/>
        <w:ind w:firstLine="645"/>
        <w:rPr>
          <w:rFonts w:ascii="仿宋" w:hAnsi="仿宋" w:eastAsia="仿宋" w:cs="宋体"/>
          <w:snapToGrid w:val="0"/>
          <w:kern w:val="0"/>
        </w:rPr>
      </w:pPr>
      <w:r>
        <w:rPr>
          <w:rFonts w:hint="eastAsia" w:ascii="仿宋" w:hAnsi="仿宋" w:eastAsia="仿宋" w:cs="宋体"/>
          <w:snapToGrid w:val="0"/>
          <w:kern w:val="0"/>
        </w:rPr>
        <w:t>区森防指要加强森林扑火队伍建设，在坚持重点武装专业扑火力量的同时，也要重视后备扑火力量的准备，保证有足够的扑火队伍。各种扑火力量要在区森防指的统一组织指挥下，互相支援、积极配合、协同作战。</w:t>
      </w:r>
    </w:p>
    <w:p>
      <w:pPr>
        <w:pStyle w:val="4"/>
        <w:spacing w:before="0" w:beforeAutospacing="0" w:after="0" w:afterAutospacing="0" w:line="600" w:lineRule="exact"/>
        <w:ind w:firstLine="643"/>
        <w:rPr>
          <w:rFonts w:hint="default" w:asciiTheme="minorEastAsia" w:hAnsiTheme="minorEastAsia" w:eastAsiaTheme="minorEastAsia"/>
        </w:rPr>
      </w:pPr>
      <w:bookmarkStart w:id="93" w:name="_Toc184133701"/>
      <w:bookmarkStart w:id="94" w:name="_Toc50347221"/>
      <w:r>
        <w:rPr>
          <w:rFonts w:hint="default" w:asciiTheme="minorEastAsia" w:hAnsiTheme="minorEastAsia" w:eastAsiaTheme="minorEastAsia"/>
        </w:rPr>
        <w:t>6.3 物资保障</w:t>
      </w:r>
      <w:bookmarkEnd w:id="93"/>
      <w:bookmarkEnd w:id="94"/>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区森防指要根据所辖林区的森林防灭火任务，建立相应的森林防灭火物资储备库，储备所需的扑火机具和扑火装备，并按规定进行维护和保养。</w:t>
      </w:r>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区卫生健康委员会负责药品的储存和供应。</w:t>
      </w:r>
    </w:p>
    <w:p>
      <w:pPr>
        <w:pStyle w:val="4"/>
        <w:spacing w:before="0" w:beforeAutospacing="0" w:after="0" w:afterAutospacing="0" w:line="600" w:lineRule="exact"/>
        <w:ind w:firstLine="643"/>
        <w:rPr>
          <w:rFonts w:hint="default" w:asciiTheme="minorEastAsia" w:hAnsiTheme="minorEastAsia" w:eastAsiaTheme="minorEastAsia"/>
        </w:rPr>
      </w:pPr>
      <w:bookmarkStart w:id="95" w:name="_Toc50347222"/>
      <w:bookmarkStart w:id="96" w:name="_Toc184133702"/>
      <w:r>
        <w:rPr>
          <w:rFonts w:hint="default" w:asciiTheme="minorEastAsia" w:hAnsiTheme="minorEastAsia" w:eastAsiaTheme="minorEastAsia"/>
        </w:rPr>
        <w:t>6.4 资金保障</w:t>
      </w:r>
      <w:bookmarkEnd w:id="95"/>
      <w:bookmarkEnd w:id="96"/>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财政局应保障森林防灭火突发事件应急基础设施项目建设经费，按规定落实对森林防灭火突发事件的应急处理经费。突发事件发生后的医疗救治、预防控制等补助经费和参加森林扑火工作一线的专业技术人员补助经费，按照中央、省、市、区的规定，由区财政落实资金来源。</w:t>
      </w:r>
    </w:p>
    <w:p>
      <w:pPr>
        <w:pStyle w:val="4"/>
        <w:spacing w:before="0" w:beforeAutospacing="0" w:after="0" w:afterAutospacing="0" w:line="600" w:lineRule="exact"/>
        <w:ind w:firstLine="643"/>
        <w:rPr>
          <w:rFonts w:hint="default" w:asciiTheme="minorEastAsia" w:hAnsiTheme="minorEastAsia" w:eastAsiaTheme="minorEastAsia"/>
        </w:rPr>
      </w:pPr>
      <w:bookmarkStart w:id="97" w:name="_Toc184133703"/>
      <w:bookmarkStart w:id="98" w:name="_Toc50347223"/>
      <w:r>
        <w:rPr>
          <w:rFonts w:hint="default" w:asciiTheme="minorEastAsia" w:hAnsiTheme="minorEastAsia" w:eastAsiaTheme="minorEastAsia"/>
        </w:rPr>
        <w:t>6.5 交通运输保障</w:t>
      </w:r>
      <w:bookmarkEnd w:id="97"/>
      <w:bookmarkEnd w:id="98"/>
    </w:p>
    <w:p>
      <w:pPr>
        <w:rPr>
          <w:rFonts w:ascii="仿宋" w:hAnsi="仿宋" w:eastAsia="仿宋" w:cs="宋体"/>
          <w:snapToGrid w:val="0"/>
          <w:kern w:val="0"/>
        </w:rPr>
      </w:pPr>
      <w:r>
        <w:rPr>
          <w:rFonts w:hint="eastAsia" w:ascii="仿宋" w:hAnsi="仿宋" w:eastAsia="仿宋" w:cs="宋体"/>
          <w:snapToGrid w:val="0"/>
          <w:kern w:val="0"/>
        </w:rPr>
        <w:t xml:space="preserve">    交通部门协调供应数量齐全、功能齐全的交通运输工具，交警部门建立健全交通管制措施。</w:t>
      </w:r>
    </w:p>
    <w:p>
      <w:pPr>
        <w:tabs>
          <w:tab w:val="left" w:pos="540"/>
          <w:tab w:val="left" w:pos="720"/>
          <w:tab w:val="left" w:pos="2340"/>
        </w:tabs>
        <w:spacing w:line="600" w:lineRule="exact"/>
        <w:rPr>
          <w:rFonts w:ascii="仿宋" w:hAnsi="仿宋" w:eastAsia="仿宋" w:cs="宋体"/>
          <w:snapToGrid w:val="0"/>
          <w:kern w:val="0"/>
        </w:rPr>
      </w:pPr>
      <w:r>
        <w:rPr>
          <w:rFonts w:hint="eastAsia" w:ascii="仿宋" w:hAnsi="仿宋" w:eastAsia="仿宋" w:cs="宋体"/>
          <w:snapToGrid w:val="0"/>
          <w:kern w:val="0"/>
        </w:rPr>
        <w:t xml:space="preserve">    各部门要服从区森防指的指令，优先做好防灭火救灾人员、物资的运送工作。</w:t>
      </w:r>
    </w:p>
    <w:p>
      <w:pPr>
        <w:pStyle w:val="4"/>
        <w:spacing w:before="0" w:beforeAutospacing="0" w:after="0" w:afterAutospacing="0" w:line="600" w:lineRule="exact"/>
        <w:ind w:firstLine="643"/>
        <w:rPr>
          <w:rFonts w:hint="default" w:asciiTheme="minorEastAsia" w:hAnsiTheme="minorEastAsia" w:eastAsiaTheme="minorEastAsia"/>
        </w:rPr>
      </w:pPr>
      <w:bookmarkStart w:id="99" w:name="_Toc184133704"/>
      <w:bookmarkStart w:id="100" w:name="_Toc50347224"/>
      <w:r>
        <w:rPr>
          <w:rFonts w:hint="default" w:asciiTheme="minorEastAsia" w:hAnsiTheme="minorEastAsia" w:eastAsiaTheme="minorEastAsia"/>
        </w:rPr>
        <w:t>6.6 医疗卫生保障</w:t>
      </w:r>
      <w:bookmarkEnd w:id="99"/>
      <w:bookmarkEnd w:id="100"/>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区卫生健康委员会要储备足够的医疗人员和医药物资，保障在扑救森林火灾时受伤的人员能够得到及时、有效的医治。</w:t>
      </w:r>
    </w:p>
    <w:p>
      <w:pPr>
        <w:pStyle w:val="4"/>
        <w:spacing w:before="0" w:beforeAutospacing="0" w:after="0" w:afterAutospacing="0" w:line="600" w:lineRule="exact"/>
        <w:ind w:firstLine="643"/>
        <w:rPr>
          <w:rFonts w:hint="default" w:asciiTheme="minorEastAsia" w:hAnsiTheme="minorEastAsia" w:eastAsiaTheme="minorEastAsia"/>
        </w:rPr>
      </w:pPr>
      <w:bookmarkStart w:id="101" w:name="_Toc50347225"/>
      <w:bookmarkStart w:id="102" w:name="_Toc184133705"/>
      <w:r>
        <w:rPr>
          <w:rFonts w:hint="default" w:asciiTheme="minorEastAsia" w:hAnsiTheme="minorEastAsia" w:eastAsiaTheme="minorEastAsia"/>
        </w:rPr>
        <w:t>6.7 技术保障</w:t>
      </w:r>
      <w:bookmarkEnd w:id="101"/>
      <w:bookmarkEnd w:id="102"/>
    </w:p>
    <w:p>
      <w:pPr>
        <w:tabs>
          <w:tab w:val="left" w:pos="540"/>
          <w:tab w:val="left" w:pos="720"/>
          <w:tab w:val="left" w:pos="2340"/>
        </w:tabs>
        <w:spacing w:line="600" w:lineRule="exact"/>
        <w:ind w:firstLine="678" w:firstLineChars="212"/>
        <w:rPr>
          <w:rFonts w:ascii="仿宋" w:hAnsi="仿宋" w:eastAsia="仿宋" w:cs="宋体"/>
          <w:snapToGrid w:val="0"/>
          <w:kern w:val="0"/>
        </w:rPr>
      </w:pPr>
      <w:r>
        <w:rPr>
          <w:rFonts w:hint="eastAsia" w:ascii="仿宋" w:hAnsi="仿宋" w:eastAsia="仿宋" w:cs="宋体"/>
          <w:snapToGrid w:val="0"/>
          <w:kern w:val="0"/>
        </w:rPr>
        <w:t>区应急管理局对接三亚市气象局为扑火工作提供火场气象服务，区水务林业局、区农业农村局、区森防办建立森林防灭火专家信息库，为扑火工作提供技术保障。</w:t>
      </w:r>
    </w:p>
    <w:p>
      <w:pPr>
        <w:pStyle w:val="3"/>
        <w:spacing w:before="0" w:after="0" w:line="600" w:lineRule="exact"/>
        <w:ind w:firstLine="720" w:firstLineChars="200"/>
        <w:rPr>
          <w:rFonts w:ascii="黑体" w:hAnsi="黑体"/>
          <w:b w:val="0"/>
          <w:bCs w:val="0"/>
          <w:sz w:val="36"/>
          <w:szCs w:val="36"/>
        </w:rPr>
      </w:pPr>
      <w:bookmarkStart w:id="103" w:name="_Toc184133706"/>
      <w:r>
        <w:rPr>
          <w:rFonts w:hint="eastAsia" w:ascii="黑体" w:hAnsi="黑体"/>
          <w:b w:val="0"/>
          <w:bCs w:val="0"/>
          <w:sz w:val="36"/>
          <w:szCs w:val="36"/>
        </w:rPr>
        <w:t>7 附则</w:t>
      </w:r>
      <w:bookmarkEnd w:id="103"/>
    </w:p>
    <w:p>
      <w:pPr>
        <w:pStyle w:val="4"/>
        <w:spacing w:before="0" w:beforeAutospacing="0" w:after="0" w:afterAutospacing="0" w:line="600" w:lineRule="exact"/>
        <w:ind w:firstLine="643"/>
        <w:rPr>
          <w:rFonts w:hint="default" w:asciiTheme="minorEastAsia" w:hAnsiTheme="minorEastAsia" w:eastAsiaTheme="minorEastAsia"/>
        </w:rPr>
      </w:pPr>
      <w:bookmarkStart w:id="104" w:name="_Toc184133707"/>
      <w:r>
        <w:rPr>
          <w:rFonts w:hint="default" w:asciiTheme="minorEastAsia" w:hAnsiTheme="minorEastAsia" w:eastAsiaTheme="minorEastAsia"/>
        </w:rPr>
        <w:t>7.1 预案管理</w:t>
      </w:r>
      <w:bookmarkEnd w:id="104"/>
    </w:p>
    <w:p>
      <w:pPr>
        <w:tabs>
          <w:tab w:val="left" w:pos="540"/>
          <w:tab w:val="left" w:pos="720"/>
          <w:tab w:val="left" w:pos="2340"/>
        </w:tabs>
        <w:spacing w:line="600" w:lineRule="exact"/>
        <w:ind w:firstLine="678" w:firstLineChars="212"/>
        <w:rPr>
          <w:rFonts w:ascii="仿宋" w:hAnsi="仿宋" w:eastAsia="仿宋" w:cs="宋体"/>
          <w:snapToGrid w:val="0"/>
          <w:kern w:val="0"/>
        </w:rPr>
      </w:pPr>
      <w:r>
        <w:rPr>
          <w:rFonts w:hint="eastAsia" w:ascii="仿宋" w:hAnsi="仿宋" w:eastAsia="仿宋" w:cs="宋体"/>
          <w:snapToGrid w:val="0"/>
          <w:kern w:val="0"/>
        </w:rPr>
        <w:t>本预案由区森防办负责解释和组织实施。预案文本将印发到区森防指各成员单位、社区、村（居）委会、农林场，并报市森林防灭火指挥部办公室备案。区森防指各成员单位和各社区、村（居）委员会应根据本预案制定相应的部门预案和实施方案，确保本预案的有效衔接和顺利实施。</w:t>
      </w:r>
    </w:p>
    <w:p>
      <w:pPr>
        <w:tabs>
          <w:tab w:val="left" w:pos="540"/>
          <w:tab w:val="left" w:pos="720"/>
          <w:tab w:val="left" w:pos="2340"/>
        </w:tabs>
        <w:spacing w:line="600" w:lineRule="exact"/>
        <w:ind w:firstLine="678" w:firstLineChars="212"/>
        <w:rPr>
          <w:rFonts w:ascii="仿宋" w:hAnsi="仿宋" w:eastAsia="仿宋" w:cs="宋体"/>
          <w:snapToGrid w:val="0"/>
          <w:kern w:val="0"/>
        </w:rPr>
      </w:pPr>
      <w:r>
        <w:rPr>
          <w:rFonts w:hint="eastAsia" w:ascii="仿宋" w:hAnsi="仿宋" w:eastAsia="仿宋" w:cs="宋体"/>
          <w:snapToGrid w:val="0"/>
          <w:kern w:val="0"/>
        </w:rPr>
        <w:t>预案实施后，区森防办会同有关部门组织预案宣传、培训和演练，并根据实际情况的变化，适时组织评估和修订。另外，本预案中附件所列的相关单位工作人员如因职务调整、工作调动等原因发生变动时，</w:t>
      </w:r>
      <w:r>
        <w:rPr>
          <w:rFonts w:ascii="仿宋" w:hAnsi="仿宋" w:eastAsia="仿宋" w:cs="宋体"/>
          <w:snapToGrid w:val="0"/>
          <w:kern w:val="0"/>
        </w:rPr>
        <w:t>由继任者继续履行其职责</w:t>
      </w:r>
      <w:r>
        <w:rPr>
          <w:rFonts w:hint="eastAsia" w:ascii="仿宋" w:hAnsi="仿宋" w:eastAsia="仿宋" w:cs="宋体"/>
          <w:snapToGrid w:val="0"/>
          <w:kern w:val="0"/>
        </w:rPr>
        <w:t>。</w:t>
      </w:r>
    </w:p>
    <w:p>
      <w:pPr>
        <w:pStyle w:val="4"/>
        <w:spacing w:before="0" w:beforeAutospacing="0" w:after="0" w:afterAutospacing="0" w:line="600" w:lineRule="exact"/>
        <w:ind w:firstLine="643"/>
        <w:rPr>
          <w:rFonts w:hint="default" w:asciiTheme="minorEastAsia" w:hAnsiTheme="minorEastAsia" w:eastAsiaTheme="minorEastAsia"/>
        </w:rPr>
      </w:pPr>
      <w:bookmarkStart w:id="105" w:name="_Toc184133708"/>
      <w:r>
        <w:rPr>
          <w:rFonts w:hint="default" w:asciiTheme="minorEastAsia" w:hAnsiTheme="minorEastAsia" w:eastAsiaTheme="minorEastAsia"/>
        </w:rPr>
        <w:t>7.2 宣教培训</w:t>
      </w:r>
      <w:bookmarkEnd w:id="105"/>
    </w:p>
    <w:p>
      <w:pPr>
        <w:tabs>
          <w:tab w:val="left" w:pos="540"/>
          <w:tab w:val="left" w:pos="720"/>
          <w:tab w:val="left" w:pos="2340"/>
        </w:tabs>
        <w:spacing w:line="600" w:lineRule="exact"/>
        <w:ind w:firstLine="640" w:firstLineChars="200"/>
        <w:rPr>
          <w:rFonts w:ascii="仿宋" w:hAnsi="仿宋" w:eastAsia="仿宋" w:cs="宋体"/>
          <w:snapToGrid w:val="0"/>
          <w:kern w:val="0"/>
        </w:rPr>
      </w:pPr>
      <w:bookmarkStart w:id="106" w:name="_Toc50347233"/>
      <w:bookmarkStart w:id="107" w:name="_Toc50347236"/>
      <w:r>
        <w:rPr>
          <w:rFonts w:ascii="仿宋" w:hAnsi="仿宋" w:eastAsia="仿宋" w:cs="宋体"/>
          <w:snapToGrid w:val="0"/>
          <w:kern w:val="0"/>
        </w:rPr>
        <w:t>1 公众宣传教育</w:t>
      </w:r>
      <w:bookmarkEnd w:id="106"/>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(1)区森防办和区委宣传部组织协调区新闻媒体等单位通过广播、电视、报刊等方式，加大对森林防灭火应急工作的宣传教育。</w:t>
      </w:r>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(2)区森防办利用每年的3月森林防灭火宣传月。将森林火灾的危害性、预防和扑救林火的基本知识以及森林防灭火各项规章制度等宣传单张、宣传手册，向公众发放，进行防灭火知识的宣传。</w:t>
      </w:r>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(3)各村（居）委会在交通要道和重点林区设立森林防灭火宣传牌、匾、碑等。</w:t>
      </w:r>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(4)进入森林防灭火紧要期，悬挂森林火险等级旗和防灭火警示旗，对入山人员宣传护林防灭火知识。</w:t>
      </w:r>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(5)定期在村（居）委会举办森林防灭火知识讲座，提高村民的防灭火意识。</w:t>
      </w:r>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(6)有关防灭火宣传教育知识可登陆中国森林防灭火相关网站或到区森防办咨询。</w:t>
      </w:r>
    </w:p>
    <w:p>
      <w:pPr>
        <w:tabs>
          <w:tab w:val="left" w:pos="540"/>
          <w:tab w:val="left" w:pos="720"/>
          <w:tab w:val="left" w:pos="2340"/>
        </w:tabs>
        <w:spacing w:line="600" w:lineRule="exact"/>
        <w:ind w:firstLine="640" w:firstLineChars="200"/>
        <w:rPr>
          <w:rFonts w:ascii="仿宋" w:hAnsi="仿宋" w:eastAsia="仿宋" w:cs="宋体"/>
          <w:snapToGrid w:val="0"/>
          <w:kern w:val="0"/>
        </w:rPr>
      </w:pPr>
      <w:bookmarkStart w:id="108" w:name="_Toc50347234"/>
      <w:r>
        <w:rPr>
          <w:rFonts w:ascii="仿宋" w:hAnsi="仿宋" w:eastAsia="仿宋" w:cs="宋体"/>
          <w:snapToGrid w:val="0"/>
          <w:kern w:val="0"/>
        </w:rPr>
        <w:t>2 学校防灭火教育</w:t>
      </w:r>
      <w:bookmarkEnd w:id="108"/>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学校将护林防灭火知识在中小学自然课程中进行宣传教育。</w:t>
      </w:r>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ascii="仿宋" w:hAnsi="仿宋" w:eastAsia="仿宋" w:cs="宋体"/>
          <w:snapToGrid w:val="0"/>
          <w:kern w:val="0"/>
        </w:rPr>
        <w:t>3 森林防灭火应急救援队伍人员的培训</w:t>
      </w:r>
      <w:bookmarkEnd w:id="107"/>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区森防办要有计划地对区森林扑火队进行培训，提高其专业技能。各村（居）委会要结合本单位的工作，积极开展扑救火灾技能培训和演练，并依据本应急预案进行训练。</w:t>
      </w:r>
    </w:p>
    <w:p>
      <w:pPr>
        <w:tabs>
          <w:tab w:val="left" w:pos="540"/>
          <w:tab w:val="left" w:pos="720"/>
          <w:tab w:val="left" w:pos="2340"/>
        </w:tabs>
        <w:spacing w:line="600" w:lineRule="exact"/>
        <w:ind w:firstLine="640" w:firstLineChars="200"/>
        <w:rPr>
          <w:rFonts w:ascii="仿宋" w:hAnsi="仿宋" w:eastAsia="仿宋" w:cs="宋体"/>
          <w:snapToGrid w:val="0"/>
          <w:kern w:val="0"/>
        </w:rPr>
      </w:pPr>
      <w:bookmarkStart w:id="109" w:name="_Toc50347237"/>
      <w:r>
        <w:rPr>
          <w:rFonts w:ascii="仿宋" w:hAnsi="仿宋" w:eastAsia="仿宋" w:cs="宋体"/>
          <w:snapToGrid w:val="0"/>
          <w:kern w:val="0"/>
        </w:rPr>
        <w:t>4 应急组各工作人员的培训</w:t>
      </w:r>
      <w:bookmarkEnd w:id="109"/>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区应急管理局对本预案的各组成员进行培训，提高其森林防灭火应急指挥、综合协调能力。</w:t>
      </w:r>
    </w:p>
    <w:p>
      <w:pPr>
        <w:tabs>
          <w:tab w:val="left" w:pos="540"/>
          <w:tab w:val="left" w:pos="720"/>
          <w:tab w:val="left" w:pos="2340"/>
        </w:tabs>
        <w:spacing w:line="600" w:lineRule="exact"/>
        <w:ind w:firstLine="640" w:firstLineChars="200"/>
        <w:rPr>
          <w:rFonts w:ascii="仿宋" w:hAnsi="仿宋" w:eastAsia="仿宋" w:cs="宋体"/>
          <w:snapToGrid w:val="0"/>
          <w:kern w:val="0"/>
        </w:rPr>
      </w:pPr>
      <w:bookmarkStart w:id="110" w:name="_Toc50347238"/>
      <w:r>
        <w:rPr>
          <w:rFonts w:ascii="仿宋" w:hAnsi="仿宋" w:eastAsia="仿宋" w:cs="宋体"/>
          <w:snapToGrid w:val="0"/>
          <w:kern w:val="0"/>
        </w:rPr>
        <w:t>5 公众的培训</w:t>
      </w:r>
      <w:bookmarkEnd w:id="110"/>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区属各单位利用现有的设施有组织、有计划地为公众提供应对森林火灾预防和应急、自救和互救知识和技能的培训。</w:t>
      </w:r>
    </w:p>
    <w:p>
      <w:pPr>
        <w:pStyle w:val="4"/>
        <w:spacing w:before="0" w:beforeAutospacing="0" w:after="0" w:afterAutospacing="0" w:line="600" w:lineRule="exact"/>
        <w:ind w:firstLine="643"/>
        <w:rPr>
          <w:rFonts w:hint="default" w:asciiTheme="minorEastAsia" w:hAnsiTheme="minorEastAsia" w:eastAsiaTheme="minorEastAsia"/>
        </w:rPr>
      </w:pPr>
      <w:bookmarkStart w:id="111" w:name="_Toc184133709"/>
      <w:r>
        <w:rPr>
          <w:rFonts w:hint="default" w:asciiTheme="minorEastAsia" w:hAnsiTheme="minorEastAsia" w:eastAsiaTheme="minorEastAsia"/>
        </w:rPr>
        <w:t>7.3 预案演练</w:t>
      </w:r>
      <w:bookmarkEnd w:id="111"/>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区森防指有计划地开展扑火指挥员、区森林消防扑火队、村（居）委会广大干部职工、群众的扑火指挥、扑火技术和安全实战训练和扑火演习，提高扑火队伍的综合素质和扑火作战能力，对群众普及避火安全常识。</w:t>
      </w:r>
    </w:p>
    <w:p>
      <w:pPr>
        <w:pStyle w:val="4"/>
        <w:spacing w:before="0" w:beforeAutospacing="0" w:after="0" w:afterAutospacing="0" w:line="600" w:lineRule="exact"/>
        <w:ind w:firstLine="643"/>
        <w:rPr>
          <w:rFonts w:hint="default" w:asciiTheme="minorEastAsia" w:hAnsiTheme="minorEastAsia" w:eastAsiaTheme="minorEastAsia"/>
        </w:rPr>
      </w:pPr>
      <w:bookmarkStart w:id="112" w:name="_Toc184133710"/>
      <w:r>
        <w:rPr>
          <w:rFonts w:hint="default" w:asciiTheme="minorEastAsia" w:hAnsiTheme="minorEastAsia" w:eastAsiaTheme="minorEastAsia"/>
        </w:rPr>
        <w:t>7.4 制定解释</w:t>
      </w:r>
      <w:bookmarkEnd w:id="112"/>
    </w:p>
    <w:p>
      <w:pPr>
        <w:tabs>
          <w:tab w:val="left" w:pos="540"/>
          <w:tab w:val="left" w:pos="720"/>
          <w:tab w:val="left" w:pos="2340"/>
        </w:tabs>
        <w:spacing w:line="600" w:lineRule="exact"/>
        <w:ind w:firstLine="640" w:firstLineChars="200"/>
        <w:rPr>
          <w:rFonts w:ascii="仿宋" w:hAnsi="仿宋" w:eastAsia="仿宋" w:cs="宋体"/>
          <w:snapToGrid w:val="0"/>
          <w:kern w:val="0"/>
        </w:rPr>
      </w:pPr>
      <w:r>
        <w:rPr>
          <w:rFonts w:hint="eastAsia" w:ascii="仿宋" w:hAnsi="仿宋" w:eastAsia="仿宋" w:cs="宋体"/>
          <w:snapToGrid w:val="0"/>
          <w:kern w:val="0"/>
        </w:rPr>
        <w:t>本预案由</w:t>
      </w:r>
      <w:r>
        <w:rPr>
          <w:rFonts w:hint="eastAsia" w:ascii="仿宋" w:hAnsi="仿宋" w:eastAsia="仿宋" w:cs="宋体"/>
          <w:snapToGrid w:val="0"/>
          <w:kern w:val="0"/>
          <w:lang w:val="en-US" w:eastAsia="zh-CN"/>
        </w:rPr>
        <w:t>区</w:t>
      </w:r>
      <w:r>
        <w:rPr>
          <w:rFonts w:hint="eastAsia" w:ascii="仿宋" w:hAnsi="仿宋" w:eastAsia="仿宋" w:cs="宋体"/>
          <w:snapToGrid w:val="0"/>
          <w:kern w:val="0"/>
        </w:rPr>
        <w:t>应急管理局负责制定,</w:t>
      </w:r>
      <w:r>
        <w:rPr>
          <w:rFonts w:hint="eastAsia" w:ascii="仿宋" w:hAnsi="仿宋" w:eastAsia="仿宋" w:cs="宋体"/>
          <w:snapToGrid w:val="0"/>
          <w:kern w:val="0"/>
          <w:lang w:val="en-US" w:eastAsia="zh-CN"/>
        </w:rPr>
        <w:t>区</w:t>
      </w:r>
      <w:r>
        <w:rPr>
          <w:rFonts w:hint="eastAsia" w:ascii="仿宋" w:hAnsi="仿宋" w:eastAsia="仿宋" w:cs="宋体"/>
          <w:snapToGrid w:val="0"/>
          <w:kern w:val="0"/>
        </w:rPr>
        <w:t>森林防灭火指挥部负责解释。</w:t>
      </w:r>
    </w:p>
    <w:p>
      <w:pPr>
        <w:pStyle w:val="4"/>
        <w:spacing w:before="0" w:beforeAutospacing="0" w:after="0" w:afterAutospacing="0" w:line="600" w:lineRule="exact"/>
        <w:ind w:firstLine="643"/>
        <w:rPr>
          <w:rFonts w:hint="default" w:asciiTheme="minorEastAsia" w:hAnsiTheme="minorEastAsia" w:eastAsiaTheme="minorEastAsia"/>
        </w:rPr>
      </w:pPr>
      <w:bookmarkStart w:id="113" w:name="_Toc184133711"/>
      <w:r>
        <w:rPr>
          <w:rFonts w:hint="default" w:asciiTheme="minorEastAsia" w:hAnsiTheme="minorEastAsia" w:eastAsiaTheme="minorEastAsia"/>
        </w:rPr>
        <w:t>7.5 预案实施</w:t>
      </w:r>
      <w:bookmarkEnd w:id="113"/>
    </w:p>
    <w:p>
      <w:pPr>
        <w:tabs>
          <w:tab w:val="left" w:pos="540"/>
          <w:tab w:val="left" w:pos="720"/>
          <w:tab w:val="left" w:pos="2340"/>
        </w:tabs>
        <w:spacing w:line="600" w:lineRule="exact"/>
        <w:ind w:firstLine="642"/>
        <w:rPr>
          <w:rFonts w:ascii="宋体" w:hAnsi="宋体" w:eastAsia="宋体" w:cs="宋体"/>
          <w:snapToGrid w:val="0"/>
          <w:kern w:val="0"/>
        </w:rPr>
      </w:pPr>
      <w:bookmarkStart w:id="114" w:name="_Toc30285"/>
      <w:r>
        <w:rPr>
          <w:rFonts w:hint="eastAsia" w:ascii="仿宋" w:hAnsi="仿宋" w:eastAsia="仿宋" w:cs="宋体"/>
          <w:snapToGrid w:val="0"/>
          <w:kern w:val="0"/>
        </w:rPr>
        <w:t>本预案自发布之日起施行</w:t>
      </w:r>
      <w:r>
        <w:rPr>
          <w:rFonts w:hint="eastAsia" w:ascii="宋体" w:hAnsi="宋体" w:eastAsia="宋体" w:cs="宋体"/>
          <w:snapToGrid w:val="0"/>
          <w:kern w:val="0"/>
        </w:rPr>
        <w:t>。</w:t>
      </w:r>
      <w:bookmarkEnd w:id="114"/>
    </w:p>
    <w:p>
      <w:pPr>
        <w:pStyle w:val="3"/>
        <w:spacing w:before="0" w:after="0" w:line="600" w:lineRule="exact"/>
        <w:ind w:firstLine="720" w:firstLineChars="200"/>
        <w:rPr>
          <w:rFonts w:ascii="黑体" w:hAnsi="黑体"/>
          <w:b w:val="0"/>
          <w:bCs w:val="0"/>
          <w:sz w:val="36"/>
          <w:szCs w:val="36"/>
        </w:rPr>
      </w:pPr>
      <w:bookmarkStart w:id="115" w:name="_Toc184133712"/>
      <w:r>
        <w:rPr>
          <w:rFonts w:hint="eastAsia" w:ascii="黑体" w:hAnsi="黑体"/>
          <w:b w:val="0"/>
          <w:bCs w:val="0"/>
          <w:sz w:val="36"/>
          <w:szCs w:val="36"/>
        </w:rPr>
        <w:t>8 附件</w:t>
      </w:r>
      <w:bookmarkEnd w:id="115"/>
    </w:p>
    <w:p>
      <w:pPr>
        <w:tabs>
          <w:tab w:val="left" w:pos="540"/>
          <w:tab w:val="left" w:pos="720"/>
          <w:tab w:val="left" w:pos="2340"/>
        </w:tabs>
        <w:spacing w:line="600" w:lineRule="exact"/>
        <w:ind w:left="640" w:leftChars="200"/>
        <w:rPr>
          <w:rFonts w:ascii="仿宋" w:hAnsi="仿宋" w:eastAsia="仿宋" w:cs="宋体"/>
          <w:snapToGrid w:val="0"/>
          <w:kern w:val="0"/>
        </w:rPr>
      </w:pPr>
      <w:r>
        <w:rPr>
          <w:rFonts w:hint="eastAsia" w:ascii="仿宋" w:hAnsi="仿宋" w:eastAsia="仿宋" w:cs="宋体"/>
          <w:snapToGrid w:val="0"/>
          <w:kern w:val="0"/>
        </w:rPr>
        <w:t>附件1 森林消防专业应急救援队伍装备一览表</w:t>
      </w:r>
      <w:r>
        <w:rPr>
          <w:rFonts w:hint="eastAsia" w:ascii="仿宋" w:hAnsi="仿宋" w:eastAsia="仿宋" w:cs="宋体"/>
          <w:snapToGrid w:val="0"/>
          <w:kern w:val="0"/>
        </w:rPr>
        <w:cr/>
      </w:r>
      <w:r>
        <w:rPr>
          <w:rFonts w:hint="eastAsia" w:ascii="仿宋" w:hAnsi="仿宋" w:eastAsia="仿宋" w:cs="宋体"/>
          <w:snapToGrid w:val="0"/>
          <w:kern w:val="0"/>
        </w:rPr>
        <w:t>附件2 海棠区各部门(单位)主要负责人通讯录</w:t>
      </w:r>
      <w:r>
        <w:rPr>
          <w:rFonts w:hint="eastAsia" w:ascii="仿宋" w:hAnsi="仿宋" w:eastAsia="仿宋" w:cs="宋体"/>
          <w:snapToGrid w:val="0"/>
          <w:kern w:val="0"/>
        </w:rPr>
        <w:cr/>
      </w:r>
      <w:r>
        <w:rPr>
          <w:rFonts w:hint="eastAsia" w:ascii="仿宋" w:hAnsi="仿宋" w:eastAsia="仿宋" w:cs="宋体"/>
          <w:snapToGrid w:val="0"/>
          <w:kern w:val="0"/>
        </w:rPr>
        <w:t>附件3 海棠区各村（居）委会应急工作人员通讯录</w:t>
      </w:r>
      <w:r>
        <w:rPr>
          <w:rFonts w:ascii="仿宋" w:hAnsi="仿宋" w:eastAsia="仿宋" w:cs="宋体"/>
          <w:snapToGrid w:val="0"/>
          <w:kern w:val="0"/>
        </w:rPr>
        <w:cr/>
      </w:r>
    </w:p>
    <w:p>
      <w:pPr>
        <w:tabs>
          <w:tab w:val="left" w:pos="540"/>
          <w:tab w:val="left" w:pos="720"/>
          <w:tab w:val="left" w:pos="2340"/>
        </w:tabs>
        <w:spacing w:line="600" w:lineRule="exact"/>
        <w:ind w:firstLine="640" w:firstLineChars="200"/>
        <w:rPr>
          <w:rFonts w:ascii="仿宋" w:hAnsi="仿宋" w:eastAsia="仿宋" w:cs="宋体"/>
          <w:snapToGrid w:val="0"/>
          <w:kern w:val="0"/>
        </w:rPr>
      </w:pPr>
    </w:p>
    <w:p>
      <w:pPr>
        <w:pStyle w:val="2"/>
      </w:pPr>
    </w:p>
    <w:p>
      <w:pPr>
        <w:widowControl/>
        <w:jc w:val="left"/>
        <w:rPr>
          <w:rFonts w:ascii="Times New Roman"/>
        </w:rPr>
      </w:pPr>
      <w:r>
        <w:br w:type="page"/>
      </w:r>
    </w:p>
    <w:p>
      <w:pPr>
        <w:pStyle w:val="4"/>
        <w:spacing w:before="0" w:beforeAutospacing="0" w:after="0" w:afterAutospacing="0"/>
        <w:ind w:firstLine="199" w:firstLineChars="62"/>
        <w:rPr>
          <w:rFonts w:hint="default" w:asciiTheme="majorEastAsia" w:hAnsiTheme="majorEastAsia"/>
        </w:rPr>
      </w:pPr>
      <w:bookmarkStart w:id="116" w:name="_Toc184133713"/>
      <w:bookmarkStart w:id="117" w:name="_Toc50347244"/>
      <w:r>
        <w:rPr>
          <w:rFonts w:asciiTheme="majorEastAsia" w:hAnsiTheme="majorEastAsia"/>
        </w:rPr>
        <w:t>附件1 森林消防专业应急救援队伍装备一览表</w:t>
      </w:r>
      <w:bookmarkEnd w:id="116"/>
      <w:bookmarkEnd w:id="117"/>
    </w:p>
    <w:tbl>
      <w:tblPr>
        <w:tblStyle w:val="16"/>
        <w:tblW w:w="9840" w:type="dxa"/>
        <w:tblInd w:w="-239" w:type="dxa"/>
        <w:tblLayout w:type="fixed"/>
        <w:tblCellMar>
          <w:top w:w="0" w:type="dxa"/>
          <w:left w:w="108" w:type="dxa"/>
          <w:bottom w:w="0" w:type="dxa"/>
          <w:right w:w="108" w:type="dxa"/>
        </w:tblCellMar>
      </w:tblPr>
      <w:tblGrid>
        <w:gridCol w:w="1082"/>
        <w:gridCol w:w="850"/>
        <w:gridCol w:w="851"/>
        <w:gridCol w:w="992"/>
        <w:gridCol w:w="905"/>
        <w:gridCol w:w="735"/>
        <w:gridCol w:w="990"/>
        <w:gridCol w:w="1560"/>
        <w:gridCol w:w="1875"/>
      </w:tblGrid>
      <w:tr>
        <w:tblPrEx>
          <w:tblCellMar>
            <w:top w:w="0" w:type="dxa"/>
            <w:left w:w="108" w:type="dxa"/>
            <w:bottom w:w="0" w:type="dxa"/>
            <w:right w:w="108" w:type="dxa"/>
          </w:tblCellMar>
        </w:tblPrEx>
        <w:trPr>
          <w:trHeight w:val="1418" w:hRule="atLeast"/>
        </w:trPr>
        <w:tc>
          <w:tcPr>
            <w:tcW w:w="1082" w:type="dxa"/>
            <w:tcBorders>
              <w:top w:val="single" w:color="auto" w:sz="6" w:space="0"/>
              <w:left w:val="single" w:color="auto" w:sz="6" w:space="0"/>
              <w:bottom w:val="single" w:color="auto" w:sz="6" w:space="0"/>
              <w:right w:val="single" w:color="auto" w:sz="6" w:space="0"/>
              <w:tl2br w:val="nil"/>
              <w:tr2bl w:val="nil"/>
            </w:tcBorders>
            <w:vAlign w:val="center"/>
          </w:tcPr>
          <w:p>
            <w:pPr>
              <w:spacing w:line="600" w:lineRule="exact"/>
              <w:jc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队伍</w:t>
            </w:r>
          </w:p>
          <w:p>
            <w:pPr>
              <w:spacing w:line="600" w:lineRule="exact"/>
              <w:jc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名称</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spacing w:line="600" w:lineRule="exact"/>
              <w:jc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主管部门</w:t>
            </w:r>
          </w:p>
        </w:tc>
        <w:tc>
          <w:tcPr>
            <w:tcW w:w="851" w:type="dxa"/>
            <w:tcBorders>
              <w:top w:val="single" w:color="auto" w:sz="6" w:space="0"/>
              <w:left w:val="single" w:color="auto" w:sz="6" w:space="0"/>
              <w:bottom w:val="single" w:color="auto" w:sz="6" w:space="0"/>
              <w:right w:val="single" w:color="auto" w:sz="6" w:space="0"/>
              <w:tl2br w:val="nil"/>
              <w:tr2bl w:val="nil"/>
            </w:tcBorders>
            <w:vAlign w:val="center"/>
          </w:tcPr>
          <w:p>
            <w:pPr>
              <w:spacing w:line="600" w:lineRule="exact"/>
              <w:jc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建队时间</w:t>
            </w:r>
          </w:p>
        </w:tc>
        <w:tc>
          <w:tcPr>
            <w:tcW w:w="992" w:type="dxa"/>
            <w:tcBorders>
              <w:top w:val="single" w:color="auto" w:sz="6" w:space="0"/>
              <w:left w:val="single" w:color="auto" w:sz="6" w:space="0"/>
              <w:bottom w:val="single" w:color="auto" w:sz="6" w:space="0"/>
              <w:right w:val="single" w:color="auto" w:sz="6" w:space="0"/>
              <w:tl2br w:val="nil"/>
              <w:tr2bl w:val="nil"/>
            </w:tcBorders>
            <w:vAlign w:val="center"/>
          </w:tcPr>
          <w:p>
            <w:pPr>
              <w:spacing w:line="600" w:lineRule="exact"/>
              <w:jc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队伍性质（经费来源）</w:t>
            </w:r>
          </w:p>
        </w:tc>
        <w:tc>
          <w:tcPr>
            <w:tcW w:w="905" w:type="dxa"/>
            <w:tcBorders>
              <w:top w:val="single" w:color="auto" w:sz="6" w:space="0"/>
              <w:left w:val="single" w:color="auto" w:sz="6" w:space="0"/>
              <w:bottom w:val="single" w:color="auto" w:sz="6" w:space="0"/>
              <w:right w:val="single" w:color="auto" w:sz="6" w:space="0"/>
              <w:tl2br w:val="nil"/>
              <w:tr2bl w:val="nil"/>
            </w:tcBorders>
            <w:vAlign w:val="center"/>
          </w:tcPr>
          <w:p>
            <w:pPr>
              <w:spacing w:line="600" w:lineRule="exact"/>
              <w:jc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所在地点</w:t>
            </w:r>
          </w:p>
        </w:tc>
        <w:tc>
          <w:tcPr>
            <w:tcW w:w="735" w:type="dxa"/>
            <w:tcBorders>
              <w:top w:val="single" w:color="auto" w:sz="6" w:space="0"/>
              <w:left w:val="single" w:color="auto" w:sz="6" w:space="0"/>
              <w:bottom w:val="single" w:color="auto" w:sz="6" w:space="0"/>
              <w:right w:val="single" w:color="auto" w:sz="6" w:space="0"/>
              <w:tl2br w:val="nil"/>
              <w:tr2bl w:val="nil"/>
            </w:tcBorders>
            <w:vAlign w:val="center"/>
          </w:tcPr>
          <w:p>
            <w:pPr>
              <w:spacing w:line="600" w:lineRule="exact"/>
              <w:jc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队伍人数</w:t>
            </w:r>
          </w:p>
        </w:tc>
        <w:tc>
          <w:tcPr>
            <w:tcW w:w="990" w:type="dxa"/>
            <w:tcBorders>
              <w:top w:val="single" w:color="auto" w:sz="6" w:space="0"/>
              <w:left w:val="single" w:color="auto" w:sz="6" w:space="0"/>
              <w:bottom w:val="single" w:color="auto" w:sz="6" w:space="0"/>
              <w:right w:val="single" w:color="auto" w:sz="6" w:space="0"/>
              <w:tl2br w:val="nil"/>
              <w:tr2bl w:val="nil"/>
            </w:tcBorders>
            <w:vAlign w:val="center"/>
          </w:tcPr>
          <w:p>
            <w:pPr>
              <w:spacing w:line="600" w:lineRule="exact"/>
              <w:jc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负责人</w:t>
            </w:r>
          </w:p>
        </w:tc>
        <w:tc>
          <w:tcPr>
            <w:tcW w:w="1560" w:type="dxa"/>
            <w:tcBorders>
              <w:top w:val="single" w:color="auto" w:sz="6" w:space="0"/>
              <w:left w:val="single" w:color="auto" w:sz="6" w:space="0"/>
              <w:bottom w:val="single" w:color="auto" w:sz="6" w:space="0"/>
              <w:right w:val="single" w:color="auto" w:sz="6" w:space="0"/>
              <w:tl2br w:val="nil"/>
              <w:tr2bl w:val="nil"/>
            </w:tcBorders>
            <w:vAlign w:val="center"/>
          </w:tcPr>
          <w:p>
            <w:pPr>
              <w:spacing w:line="600" w:lineRule="exact"/>
              <w:jc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联系方式</w:t>
            </w:r>
          </w:p>
        </w:tc>
        <w:tc>
          <w:tcPr>
            <w:tcW w:w="1875" w:type="dxa"/>
            <w:tcBorders>
              <w:top w:val="single" w:color="auto" w:sz="6" w:space="0"/>
              <w:left w:val="single" w:color="auto" w:sz="6" w:space="0"/>
              <w:bottom w:val="single" w:color="auto" w:sz="6" w:space="0"/>
              <w:right w:val="single" w:color="auto" w:sz="6" w:space="0"/>
              <w:tl2br w:val="nil"/>
              <w:tr2bl w:val="nil"/>
            </w:tcBorders>
            <w:vAlign w:val="center"/>
          </w:tcPr>
          <w:p>
            <w:pPr>
              <w:spacing w:line="600" w:lineRule="exact"/>
              <w:jc w:val="center"/>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核心装备及数量</w:t>
            </w:r>
          </w:p>
        </w:tc>
      </w:tr>
      <w:tr>
        <w:tblPrEx>
          <w:tblCellMar>
            <w:top w:w="0" w:type="dxa"/>
            <w:left w:w="108" w:type="dxa"/>
            <w:bottom w:w="0" w:type="dxa"/>
            <w:right w:w="108" w:type="dxa"/>
          </w:tblCellMar>
        </w:tblPrEx>
        <w:trPr>
          <w:trHeight w:val="1418" w:hRule="atLeast"/>
        </w:trPr>
        <w:tc>
          <w:tcPr>
            <w:tcW w:w="1082"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海棠湾消防救援站</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区消防救援大队</w:t>
            </w:r>
          </w:p>
        </w:tc>
        <w:tc>
          <w:tcPr>
            <w:tcW w:w="851"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2011年</w:t>
            </w:r>
          </w:p>
        </w:tc>
        <w:tc>
          <w:tcPr>
            <w:tcW w:w="992"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政府财政拨款</w:t>
            </w:r>
          </w:p>
        </w:tc>
        <w:tc>
          <w:tcPr>
            <w:tcW w:w="905"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区消防救援大队</w:t>
            </w:r>
          </w:p>
        </w:tc>
        <w:tc>
          <w:tcPr>
            <w:tcW w:w="735"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35</w:t>
            </w:r>
          </w:p>
        </w:tc>
        <w:tc>
          <w:tcPr>
            <w:tcW w:w="990" w:type="dxa"/>
            <w:vMerge w:val="restart"/>
            <w:tcBorders>
              <w:top w:val="single" w:color="auto" w:sz="6" w:space="0"/>
              <w:left w:val="single" w:color="auto" w:sz="6" w:space="0"/>
              <w:right w:val="single" w:color="auto" w:sz="6" w:space="0"/>
              <w:tl2br w:val="nil"/>
              <w:tr2bl w:val="nil"/>
            </w:tcBorders>
            <w:vAlign w:val="center"/>
          </w:tcPr>
          <w:p>
            <w:pPr>
              <w:spacing w:line="400" w:lineRule="exact"/>
              <w:ind w:firstLine="120" w:firstLineChars="5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江帅</w:t>
            </w:r>
          </w:p>
        </w:tc>
        <w:tc>
          <w:tcPr>
            <w:tcW w:w="1560" w:type="dxa"/>
            <w:vMerge w:val="restart"/>
            <w:tcBorders>
              <w:top w:val="single" w:color="auto" w:sz="6" w:space="0"/>
              <w:left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13518029644</w:t>
            </w:r>
          </w:p>
        </w:tc>
        <w:tc>
          <w:tcPr>
            <w:tcW w:w="1875"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消防车、云梯消防车共6台</w:t>
            </w:r>
          </w:p>
          <w:p>
            <w:pPr>
              <w:spacing w:line="4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消防艇1膄、 橡皮艇1艘、冲锋舟1艘</w:t>
            </w:r>
          </w:p>
        </w:tc>
      </w:tr>
      <w:tr>
        <w:tblPrEx>
          <w:tblCellMar>
            <w:top w:w="0" w:type="dxa"/>
            <w:left w:w="108" w:type="dxa"/>
            <w:bottom w:w="0" w:type="dxa"/>
            <w:right w:w="108" w:type="dxa"/>
          </w:tblCellMar>
        </w:tblPrEx>
        <w:trPr>
          <w:trHeight w:val="1418" w:hRule="atLeast"/>
        </w:trPr>
        <w:tc>
          <w:tcPr>
            <w:tcW w:w="1082"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青田政府专职消防站</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851"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992"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905"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735"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990" w:type="dxa"/>
            <w:vMerge w:val="continue"/>
            <w:tcBorders>
              <w:left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1560" w:type="dxa"/>
            <w:vMerge w:val="continue"/>
            <w:tcBorders>
              <w:left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1875"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r>
      <w:tr>
        <w:tblPrEx>
          <w:tblCellMar>
            <w:top w:w="0" w:type="dxa"/>
            <w:left w:w="108" w:type="dxa"/>
            <w:bottom w:w="0" w:type="dxa"/>
            <w:right w:w="108" w:type="dxa"/>
          </w:tblCellMar>
        </w:tblPrEx>
        <w:trPr>
          <w:trHeight w:val="992" w:hRule="atLeast"/>
        </w:trPr>
        <w:tc>
          <w:tcPr>
            <w:tcW w:w="1082"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851"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992"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905"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735"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990" w:type="dxa"/>
            <w:vMerge w:val="continue"/>
            <w:tcBorders>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1560" w:type="dxa"/>
            <w:vMerge w:val="continue"/>
            <w:tcBorders>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c>
          <w:tcPr>
            <w:tcW w:w="1875" w:type="dxa"/>
            <w:tcBorders>
              <w:top w:val="single" w:color="auto" w:sz="6" w:space="0"/>
              <w:left w:val="single" w:color="auto" w:sz="6" w:space="0"/>
              <w:bottom w:val="single" w:color="auto" w:sz="6" w:space="0"/>
              <w:right w:val="single" w:color="auto" w:sz="6" w:space="0"/>
              <w:tl2br w:val="nil"/>
              <w:tr2bl w:val="nil"/>
            </w:tcBorders>
            <w:vAlign w:val="center"/>
          </w:tcPr>
          <w:p>
            <w:pPr>
              <w:spacing w:line="400" w:lineRule="exact"/>
              <w:jc w:val="center"/>
              <w:rPr>
                <w:rFonts w:asciiTheme="minorEastAsia" w:hAnsiTheme="minorEastAsia" w:eastAsiaTheme="minorEastAsia" w:cstheme="minorEastAsia"/>
                <w:color w:val="000000"/>
                <w:sz w:val="24"/>
                <w:szCs w:val="24"/>
              </w:rPr>
            </w:pPr>
          </w:p>
        </w:tc>
      </w:tr>
    </w:tbl>
    <w:p>
      <w:pPr>
        <w:spacing w:line="600" w:lineRule="exact"/>
        <w:rPr>
          <w:rFonts w:ascii="宋体" w:hAnsi="宋体" w:eastAsia="宋体"/>
          <w:sz w:val="18"/>
          <w:szCs w:val="18"/>
        </w:rPr>
      </w:pPr>
    </w:p>
    <w:p>
      <w:pPr>
        <w:spacing w:line="600" w:lineRule="exact"/>
        <w:rPr>
          <w:rFonts w:ascii="宋体" w:hAnsi="宋体" w:eastAsia="宋体"/>
          <w:sz w:val="18"/>
          <w:szCs w:val="18"/>
        </w:rPr>
      </w:pPr>
    </w:p>
    <w:p>
      <w:pPr>
        <w:spacing w:line="600" w:lineRule="exact"/>
        <w:rPr>
          <w:rFonts w:ascii="宋体" w:hAnsi="宋体" w:eastAsia="宋体"/>
          <w:sz w:val="18"/>
          <w:szCs w:val="18"/>
        </w:rPr>
      </w:pPr>
    </w:p>
    <w:p>
      <w:pPr>
        <w:spacing w:line="600" w:lineRule="exact"/>
        <w:rPr>
          <w:rFonts w:ascii="宋体" w:hAnsi="宋体" w:eastAsia="宋体"/>
          <w:sz w:val="18"/>
          <w:szCs w:val="18"/>
        </w:rPr>
      </w:pPr>
    </w:p>
    <w:p>
      <w:pPr>
        <w:spacing w:line="600" w:lineRule="exact"/>
        <w:rPr>
          <w:rFonts w:ascii="宋体" w:hAnsi="宋体" w:eastAsia="宋体"/>
          <w:sz w:val="18"/>
          <w:szCs w:val="18"/>
        </w:rPr>
      </w:pPr>
    </w:p>
    <w:p>
      <w:pPr>
        <w:spacing w:line="600" w:lineRule="exact"/>
        <w:rPr>
          <w:rFonts w:ascii="宋体" w:hAnsi="宋体" w:eastAsia="宋体"/>
          <w:sz w:val="18"/>
          <w:szCs w:val="18"/>
        </w:rPr>
      </w:pPr>
    </w:p>
    <w:p>
      <w:pPr>
        <w:spacing w:line="600" w:lineRule="exact"/>
        <w:rPr>
          <w:rFonts w:ascii="宋体" w:hAnsi="宋体" w:eastAsia="宋体"/>
          <w:sz w:val="18"/>
          <w:szCs w:val="18"/>
        </w:rPr>
      </w:pPr>
    </w:p>
    <w:p>
      <w:pPr>
        <w:spacing w:line="600" w:lineRule="exact"/>
        <w:rPr>
          <w:rFonts w:ascii="宋体" w:hAnsi="宋体" w:eastAsia="宋体"/>
          <w:sz w:val="18"/>
          <w:szCs w:val="18"/>
        </w:rPr>
      </w:pPr>
    </w:p>
    <w:p>
      <w:pPr>
        <w:pStyle w:val="2"/>
      </w:pPr>
    </w:p>
    <w:p>
      <w:pPr>
        <w:pStyle w:val="4"/>
        <w:spacing w:before="0" w:beforeAutospacing="0" w:after="0" w:afterAutospacing="0"/>
        <w:ind w:firstLine="199" w:firstLineChars="62"/>
        <w:rPr>
          <w:rFonts w:hint="default" w:asciiTheme="majorEastAsia" w:hAnsiTheme="majorEastAsia"/>
        </w:rPr>
      </w:pPr>
      <w:bookmarkStart w:id="118" w:name="_Toc18581"/>
      <w:bookmarkStart w:id="119" w:name="_Toc26519"/>
      <w:bookmarkStart w:id="120" w:name="_Toc22432"/>
      <w:bookmarkStart w:id="121" w:name="_Toc180936890"/>
      <w:bookmarkStart w:id="122" w:name="_Toc184133714"/>
      <w:bookmarkStart w:id="123" w:name="bookmark46"/>
      <w:bookmarkStart w:id="124" w:name="bookmark47"/>
      <w:bookmarkStart w:id="125" w:name="_Toc27328_WPSOffice_Level1"/>
      <w:bookmarkStart w:id="126" w:name="bookmark48"/>
      <w:r>
        <w:rPr>
          <w:rFonts w:asciiTheme="majorEastAsia" w:hAnsiTheme="majorEastAsia"/>
        </w:rPr>
        <w:t>附件</w:t>
      </w:r>
      <w:bookmarkEnd w:id="118"/>
      <w:bookmarkEnd w:id="119"/>
      <w:bookmarkEnd w:id="120"/>
      <w:bookmarkStart w:id="127" w:name="_Toc26283"/>
      <w:bookmarkStart w:id="128" w:name="_Toc3935"/>
      <w:bookmarkStart w:id="129" w:name="_Toc8021"/>
      <w:r>
        <w:rPr>
          <w:rFonts w:hint="default" w:asciiTheme="majorEastAsia" w:hAnsiTheme="majorEastAsia"/>
        </w:rPr>
        <w:t>2</w:t>
      </w:r>
      <w:r>
        <w:rPr>
          <w:rFonts w:asciiTheme="majorEastAsia" w:hAnsiTheme="majorEastAsia"/>
        </w:rPr>
        <w:t xml:space="preserve"> 海棠区</w:t>
      </w:r>
      <w:bookmarkEnd w:id="127"/>
      <w:bookmarkEnd w:id="128"/>
      <w:bookmarkEnd w:id="129"/>
      <w:r>
        <w:rPr>
          <w:rFonts w:asciiTheme="majorEastAsia" w:hAnsiTheme="majorEastAsia"/>
        </w:rPr>
        <w:t>各部门(单位)主要负责人通讯录</w:t>
      </w:r>
      <w:bookmarkEnd w:id="121"/>
      <w:bookmarkEnd w:id="122"/>
    </w:p>
    <w:bookmarkEnd w:id="123"/>
    <w:bookmarkEnd w:id="124"/>
    <w:bookmarkEnd w:id="125"/>
    <w:bookmarkEnd w:id="126"/>
    <w:tbl>
      <w:tblPr>
        <w:tblStyle w:val="16"/>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3056"/>
        <w:gridCol w:w="1560"/>
        <w:gridCol w:w="2046"/>
        <w:gridCol w:w="1545"/>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6" w:hRule="atLeast"/>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4"/>
                <w:szCs w:val="28"/>
              </w:rPr>
              <w:t>单位</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4"/>
                <w:szCs w:val="28"/>
              </w:rPr>
              <w:t>姓名</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4"/>
                <w:szCs w:val="28"/>
              </w:rPr>
              <w:t>职务</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4"/>
                <w:szCs w:val="28"/>
              </w:rPr>
              <w:t>手机</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4"/>
                <w:szCs w:val="28"/>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  长</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石廷伟</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区委副书记、区长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13876866565</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邹红波</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区委常委、副区长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15995868401</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黄启鸣</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13976795868</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王洪明</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13976198676</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吴永恺</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13876664706</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符小恺</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15808910973</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张东升</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13876791846</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区应急管理局</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蔡亦广</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13637540701</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区组织部</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蔡晓晶</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部长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15120803633</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88810619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区委统战部</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黄泽纬</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部长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13976844800</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88811341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区委宣传部</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李丽英</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部长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16525876688</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88812566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区委政法委</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卢家强</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政法委书记</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13876226555</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88818991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区政府办公室</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李峻昭</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主任</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18976414289</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区住房和城乡建设局</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代传军</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13138963261</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38888115</w:t>
            </w:r>
          </w:p>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区交通运输局</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简元升</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13976119837</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38232249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top"/>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w:t>
            </w:r>
            <w:r>
              <w:rPr>
                <w:rFonts w:hint="eastAsia" w:asciiTheme="minorEastAsia" w:hAnsiTheme="minorEastAsia" w:eastAsiaTheme="minorEastAsia" w:cstheme="minorEastAsia"/>
                <w:sz w:val="24"/>
                <w:szCs w:val="28"/>
                <w:lang w:val="en-US" w:eastAsia="zh-CN"/>
              </w:rPr>
              <w:t>人民武</w:t>
            </w:r>
            <w:r>
              <w:rPr>
                <w:rFonts w:hint="eastAsia" w:asciiTheme="minorEastAsia" w:hAnsiTheme="minorEastAsia" w:eastAsiaTheme="minorEastAsia" w:cstheme="minorEastAsia"/>
                <w:sz w:val="24"/>
                <w:szCs w:val="28"/>
              </w:rPr>
              <w:t>装部</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杜有为</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参谋</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17340685603</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区财政局</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游宇清</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13876593836</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区司法局</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丁舰</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18608985601</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市综合行政执法局海棠分局</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王文正</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13976976969</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三亚市生态环境局海棠分局</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叶志军</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副局长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13876206584</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区医疗保障局</w:t>
            </w:r>
          </w:p>
        </w:tc>
        <w:tc>
          <w:tcPr>
            <w:tcW w:w="156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已并人社局</w:t>
            </w:r>
          </w:p>
        </w:tc>
        <w:tc>
          <w:tcPr>
            <w:tcW w:w="204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p>
        </w:tc>
        <w:tc>
          <w:tcPr>
            <w:tcW w:w="154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p>
        </w:tc>
        <w:tc>
          <w:tcPr>
            <w:tcW w:w="142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区农业农村局</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温永昌</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18976588335</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区发展和改革委员会</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黎晓菲</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主任</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13637606938</w:t>
            </w:r>
          </w:p>
        </w:tc>
        <w:tc>
          <w:tcPr>
            <w:tcW w:w="14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7" w:hRule="atLeast"/>
          <w:jc w:val="center"/>
        </w:trPr>
        <w:tc>
          <w:tcPr>
            <w:tcW w:w="305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区旅游和文化广电体育局</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杨静</w:t>
            </w:r>
          </w:p>
        </w:tc>
        <w:tc>
          <w:tcPr>
            <w:tcW w:w="204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18876082386</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38888046</w:t>
            </w:r>
          </w:p>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区教育局</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钟向能</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13876841106</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区人力资源和社会保障局</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余鑫</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13307682241</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88810267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区卫生健康委员会</w:t>
            </w:r>
            <w:bookmarkStart w:id="132" w:name="_GoBack"/>
            <w:bookmarkEnd w:id="132"/>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钟铭</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主任</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15091996140</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88812580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区民政局</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于建锐</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15338923828</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区水务林业局</w:t>
            </w:r>
          </w:p>
        </w:tc>
        <w:tc>
          <w:tcPr>
            <w:tcW w:w="15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刘少峙</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15607639025</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区总工会</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黄锐</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主席</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13876567127</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88755311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市自然资源和规划局海棠分局</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林平</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13086061381</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88200896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区商务局</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阮威</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15607623722</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38888211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区供电所</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周正威</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18789827466</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18976442016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市公安局</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海棠分局</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梁营</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副区长、公安局局长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13907609666</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38273013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区消防救援大队</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江帅</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队长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bidi="zh-TW"/>
              </w:rPr>
              <w:t>13518029644</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88755005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市交警支队</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海棠区大队</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毛向勤</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队长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13379993399</w:t>
            </w:r>
          </w:p>
        </w:tc>
        <w:tc>
          <w:tcPr>
            <w:tcW w:w="14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88813112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藤桥派出所</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贾博儒</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13379995992</w:t>
            </w:r>
          </w:p>
        </w:tc>
        <w:tc>
          <w:tcPr>
            <w:tcW w:w="14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88811889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林旺派出所</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胡俊凯</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15108985295</w:t>
            </w:r>
          </w:p>
        </w:tc>
        <w:tc>
          <w:tcPr>
            <w:tcW w:w="14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88819899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藤桥海岸派出所</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高伟</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18389747321</w:t>
            </w:r>
          </w:p>
        </w:tc>
        <w:tc>
          <w:tcPr>
            <w:tcW w:w="14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88811027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3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后海边防派出所</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吴育王</w:t>
            </w:r>
          </w:p>
        </w:tc>
        <w:tc>
          <w:tcPr>
            <w:tcW w:w="204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所长</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13807531931</w:t>
            </w:r>
          </w:p>
        </w:tc>
        <w:tc>
          <w:tcPr>
            <w:tcW w:w="14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rPr>
              <w:t>88751009</w:t>
            </w:r>
          </w:p>
        </w:tc>
      </w:tr>
    </w:tbl>
    <w:p>
      <w:pPr>
        <w:rPr>
          <w:rFonts w:ascii="宋体" w:hAnsi="宋体" w:eastAsia="宋体" w:cs="宋体"/>
        </w:rPr>
      </w:pPr>
    </w:p>
    <w:p>
      <w:pPr>
        <w:pStyle w:val="4"/>
        <w:spacing w:before="0" w:beforeAutospacing="0" w:after="0" w:afterAutospacing="0"/>
        <w:ind w:firstLine="199" w:firstLineChars="62"/>
        <w:rPr>
          <w:rFonts w:hint="default" w:asciiTheme="majorEastAsia" w:hAnsiTheme="majorEastAsia"/>
        </w:rPr>
      </w:pPr>
      <w:bookmarkStart w:id="130" w:name="_Toc180941459"/>
      <w:bookmarkStart w:id="131" w:name="_Toc184133715"/>
      <w:r>
        <w:rPr>
          <w:rFonts w:asciiTheme="majorEastAsia" w:hAnsiTheme="majorEastAsia"/>
        </w:rPr>
        <w:t>附件</w:t>
      </w:r>
      <w:r>
        <w:rPr>
          <w:rFonts w:hint="default" w:asciiTheme="majorEastAsia" w:hAnsiTheme="majorEastAsia"/>
        </w:rPr>
        <w:t>3</w:t>
      </w:r>
      <w:r>
        <w:rPr>
          <w:rFonts w:asciiTheme="majorEastAsia" w:hAnsiTheme="majorEastAsia"/>
        </w:rPr>
        <w:t xml:space="preserve"> 海棠区各村（居）委会应急通讯录</w:t>
      </w:r>
      <w:bookmarkEnd w:id="130"/>
      <w:bookmarkEnd w:id="131"/>
    </w:p>
    <w:tbl>
      <w:tblPr>
        <w:tblStyle w:val="1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1520"/>
        <w:gridCol w:w="192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sz w:val="24"/>
                <w:szCs w:val="28"/>
              </w:rPr>
              <w:t>单位名称</w:t>
            </w:r>
          </w:p>
        </w:tc>
        <w:tc>
          <w:tcPr>
            <w:tcW w:w="1520" w:type="dxa"/>
            <w:vAlign w:val="center"/>
          </w:tcPr>
          <w:p>
            <w:pPr>
              <w:spacing w:line="60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sz w:val="24"/>
                <w:szCs w:val="28"/>
              </w:rPr>
              <w:t>姓名</w:t>
            </w:r>
          </w:p>
        </w:tc>
        <w:tc>
          <w:tcPr>
            <w:tcW w:w="1920" w:type="dxa"/>
            <w:vAlign w:val="center"/>
          </w:tcPr>
          <w:p>
            <w:pPr>
              <w:spacing w:line="60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sz w:val="24"/>
                <w:szCs w:val="28"/>
              </w:rPr>
              <w:t>职位</w:t>
            </w:r>
          </w:p>
        </w:tc>
        <w:tc>
          <w:tcPr>
            <w:tcW w:w="1920" w:type="dxa"/>
            <w:vAlign w:val="center"/>
          </w:tcPr>
          <w:p>
            <w:pPr>
              <w:spacing w:line="60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sz w:val="24"/>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林旺</w:t>
            </w:r>
            <w:r>
              <w:rPr>
                <w:rFonts w:hint="eastAsia" w:asciiTheme="minorEastAsia" w:hAnsiTheme="minorEastAsia" w:eastAsiaTheme="minorEastAsia" w:cstheme="minorEastAsia"/>
                <w:sz w:val="24"/>
                <w:szCs w:val="28"/>
                <w:lang w:val="en-US" w:eastAsia="zh-CN"/>
              </w:rPr>
              <w:t>社区</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陈蔚</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13617586166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永宁</w:t>
            </w:r>
            <w:r>
              <w:rPr>
                <w:rFonts w:hint="eastAsia" w:asciiTheme="minorEastAsia" w:hAnsiTheme="minorEastAsia" w:eastAsiaTheme="minorEastAsia" w:cstheme="minorEastAsia"/>
                <w:sz w:val="24"/>
                <w:szCs w:val="28"/>
                <w:lang w:val="en-US" w:eastAsia="zh-CN"/>
              </w:rPr>
              <w:t>社区</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陈文矫</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13907503968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藤海</w:t>
            </w:r>
            <w:r>
              <w:rPr>
                <w:rFonts w:hint="eastAsia" w:asciiTheme="minorEastAsia" w:hAnsiTheme="minorEastAsia" w:eastAsiaTheme="minorEastAsia" w:cstheme="minorEastAsia"/>
                <w:sz w:val="24"/>
                <w:szCs w:val="28"/>
                <w:lang w:val="en-US" w:eastAsia="zh-CN"/>
              </w:rPr>
              <w:t>社区</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lang w:val="en-US" w:eastAsia="zh-CN"/>
              </w:rPr>
              <w:t>林明龙</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lang w:val="en-US" w:eastAsia="zh-CN"/>
              </w:rPr>
              <w:t>15108989879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升昌村委会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李美双</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15208911503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 xml:space="preserve">东溪村委会 </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林志命</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13876798138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龙楼村委会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梁平</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18976286181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营头村委会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陈泰文</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13034967701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海丰村委会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lang w:val="en-US" w:eastAsia="zh-CN"/>
              </w:rPr>
              <w:t>苏向荣</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lang w:val="en-US" w:eastAsia="zh-CN"/>
              </w:rPr>
              <w:t>13876595505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椰林村委会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刘衍洪</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13876203848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龙海村委会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翟宏维</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18876966664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藤桥村委会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全业旺</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13876918678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风塘村委会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陈帮文</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13876203100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洪李村委会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王康熙</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13518887799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北山村委会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苏玉花</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13198905731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龙江村委会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黎育江</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13178920020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林新村委会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徐翔</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13006077997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三灶村委会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欧能友</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15103696999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庄大村委会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杨亮</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18876792486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湾坡村委会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周其川</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18789968998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青田村委会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蒲忠源</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13876420006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铁炉村委会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lang w:val="en-US" w:eastAsia="zh-CN"/>
              </w:rPr>
              <w:t>周志忠</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lang w:val="en-US" w:eastAsia="zh-CN"/>
              </w:rPr>
              <w:t>18876927487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南田社区</w:t>
            </w:r>
          </w:p>
        </w:tc>
        <w:tc>
          <w:tcPr>
            <w:tcW w:w="15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符天德</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13907601608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长海社区</w:t>
            </w:r>
          </w:p>
        </w:tc>
        <w:tc>
          <w:tcPr>
            <w:tcW w:w="15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黎思思</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13976799715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红旗社区</w:t>
            </w:r>
          </w:p>
        </w:tc>
        <w:tc>
          <w:tcPr>
            <w:tcW w:w="15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谢明</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13876660418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青田村委会</w:t>
            </w:r>
          </w:p>
        </w:tc>
        <w:tc>
          <w:tcPr>
            <w:tcW w:w="1520" w:type="dxa"/>
            <w:vAlign w:val="center"/>
          </w:tcPr>
          <w:p>
            <w:pPr>
              <w:widowControl/>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蒲忠源</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书记</w:t>
            </w:r>
          </w:p>
        </w:tc>
        <w:tc>
          <w:tcPr>
            <w:tcW w:w="1920" w:type="dxa"/>
            <w:vAlign w:val="center"/>
          </w:tcPr>
          <w:p>
            <w:pPr>
              <w:spacing w:line="60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8"/>
              </w:rPr>
              <w:t>13876420006</w:t>
            </w:r>
          </w:p>
        </w:tc>
      </w:tr>
    </w:tbl>
    <w:p>
      <w:pPr>
        <w:spacing w:line="600" w:lineRule="exact"/>
        <w:rPr>
          <w:rFonts w:ascii="宋体" w:hAnsi="宋体" w:eastAsia="宋体"/>
          <w:sz w:val="18"/>
          <w:szCs w:val="18"/>
        </w:rPr>
      </w:pPr>
    </w:p>
    <w:sectPr>
      <w:footerReference r:id="rId6" w:type="default"/>
      <w:pgSz w:w="11906" w:h="16838"/>
      <w:pgMar w:top="1985" w:right="1418" w:bottom="1418" w:left="1418" w:header="1418" w:footer="1418" w:gutter="0"/>
      <w:cols w:space="720" w:num="1"/>
      <w:docGrid w:type="lines" w:linePitch="584"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swiss"/>
    <w:pitch w:val="default"/>
    <w:sig w:usb0="A00002FF" w:usb1="28CFFCFA" w:usb2="00000016" w:usb3="00000000" w:csb0="00100001"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909"/>
    </w:sdtPr>
    <w:sdtEndPr>
      <w:rPr>
        <w:rFonts w:hint="eastAsia" w:asciiTheme="minorEastAsia" w:hAnsiTheme="minorEastAsia" w:eastAsiaTheme="minorEastAsia" w:cstheme="minorEastAsia"/>
        <w:sz w:val="24"/>
        <w:szCs w:val="24"/>
      </w:rPr>
    </w:sdtEndPr>
    <w:sdtContent>
      <w:p>
        <w:pPr>
          <w:pStyle w:val="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PAGE   \* MERGEFORMAT</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zh-CN"/>
          </w:rPr>
          <w:t>5</w:t>
        </w:r>
        <w:r>
          <w:rPr>
            <w:rFonts w:hint="eastAsia" w:asciiTheme="minorEastAsia" w:hAnsiTheme="minorEastAsia" w:eastAsiaTheme="minorEastAsia" w:cstheme="minorEastAsia"/>
            <w:sz w:val="24"/>
            <w:szCs w:val="24"/>
          </w:rPr>
          <w:fldChar w:fldCharType="end"/>
        </w:r>
      </w:p>
    </w:sdtContent>
  </w:sdt>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485385"/>
    </w:sdtPr>
    <w:sdtEndPr>
      <w:rPr>
        <w:rFonts w:hint="eastAsia" w:asciiTheme="minorEastAsia" w:hAnsiTheme="minorEastAsia" w:eastAsiaTheme="minorEastAsia" w:cstheme="minorEastAsia"/>
        <w:sz w:val="24"/>
        <w:szCs w:val="24"/>
      </w:rPr>
    </w:sdtEndPr>
    <w:sdtContent>
      <w:p>
        <w:pPr>
          <w:pStyle w:val="10"/>
          <w:jc w:val="cente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PAGE   \* MERGEFORMAT</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zh-CN"/>
          </w:rPr>
          <w:t>42</w:t>
        </w:r>
        <w:r>
          <w:rPr>
            <w:rFonts w:hint="eastAsia" w:asciiTheme="minorEastAsia" w:hAnsiTheme="minorEastAsia" w:eastAsiaTheme="minorEastAsia" w:cstheme="minorEastAsia"/>
            <w:sz w:val="24"/>
            <w:szCs w:val="24"/>
          </w:rPr>
          <w:fldChar w:fldCharType="end"/>
        </w:r>
      </w:p>
    </w:sdtContent>
  </w:sdt>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2"/>
  <w:drawingGridVerticalSpacing w:val="292"/>
  <w:displayHorizontalDrawingGridEvery w:val="2"/>
  <w:displayVerticalDrawingGridEvery w:val="2"/>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E7"/>
    <w:rsid w:val="0000262C"/>
    <w:rsid w:val="00031B57"/>
    <w:rsid w:val="00043925"/>
    <w:rsid w:val="00055ACE"/>
    <w:rsid w:val="00055DF5"/>
    <w:rsid w:val="000906D5"/>
    <w:rsid w:val="000A6329"/>
    <w:rsid w:val="000B1423"/>
    <w:rsid w:val="000F5D33"/>
    <w:rsid w:val="00107F37"/>
    <w:rsid w:val="00117110"/>
    <w:rsid w:val="001308EF"/>
    <w:rsid w:val="001359B8"/>
    <w:rsid w:val="00142C78"/>
    <w:rsid w:val="001466AC"/>
    <w:rsid w:val="00156CFD"/>
    <w:rsid w:val="00172A27"/>
    <w:rsid w:val="00193F3E"/>
    <w:rsid w:val="001B0685"/>
    <w:rsid w:val="001B2665"/>
    <w:rsid w:val="001B690B"/>
    <w:rsid w:val="001C211F"/>
    <w:rsid w:val="001D4ED5"/>
    <w:rsid w:val="00204D9D"/>
    <w:rsid w:val="002177B9"/>
    <w:rsid w:val="00253753"/>
    <w:rsid w:val="00255D2D"/>
    <w:rsid w:val="0028250C"/>
    <w:rsid w:val="00290B35"/>
    <w:rsid w:val="00291CC3"/>
    <w:rsid w:val="002963B4"/>
    <w:rsid w:val="002A0A74"/>
    <w:rsid w:val="002A3184"/>
    <w:rsid w:val="002B3546"/>
    <w:rsid w:val="002D0946"/>
    <w:rsid w:val="002F422E"/>
    <w:rsid w:val="003002E8"/>
    <w:rsid w:val="0031062C"/>
    <w:rsid w:val="003220CF"/>
    <w:rsid w:val="00323896"/>
    <w:rsid w:val="00350306"/>
    <w:rsid w:val="00374793"/>
    <w:rsid w:val="003A2198"/>
    <w:rsid w:val="004053CD"/>
    <w:rsid w:val="004142CE"/>
    <w:rsid w:val="00434D16"/>
    <w:rsid w:val="00447ED3"/>
    <w:rsid w:val="0047078B"/>
    <w:rsid w:val="004771FA"/>
    <w:rsid w:val="00480A91"/>
    <w:rsid w:val="00482C8B"/>
    <w:rsid w:val="0049126E"/>
    <w:rsid w:val="00497E99"/>
    <w:rsid w:val="004C6F56"/>
    <w:rsid w:val="004C726F"/>
    <w:rsid w:val="004E0A50"/>
    <w:rsid w:val="005015DA"/>
    <w:rsid w:val="0050626C"/>
    <w:rsid w:val="00510E58"/>
    <w:rsid w:val="00515477"/>
    <w:rsid w:val="005709FB"/>
    <w:rsid w:val="0059207B"/>
    <w:rsid w:val="005A739D"/>
    <w:rsid w:val="005B4F0F"/>
    <w:rsid w:val="005C7EC1"/>
    <w:rsid w:val="005D133C"/>
    <w:rsid w:val="005D56A1"/>
    <w:rsid w:val="00617C09"/>
    <w:rsid w:val="00631924"/>
    <w:rsid w:val="00633021"/>
    <w:rsid w:val="0065677D"/>
    <w:rsid w:val="006A130C"/>
    <w:rsid w:val="006A3FF2"/>
    <w:rsid w:val="006A6B04"/>
    <w:rsid w:val="006B11B3"/>
    <w:rsid w:val="006D1E84"/>
    <w:rsid w:val="006D4E15"/>
    <w:rsid w:val="006D6A78"/>
    <w:rsid w:val="006E0ED0"/>
    <w:rsid w:val="006E17AA"/>
    <w:rsid w:val="006E3ADA"/>
    <w:rsid w:val="006E7E1E"/>
    <w:rsid w:val="007159A1"/>
    <w:rsid w:val="00735F2D"/>
    <w:rsid w:val="00745CC9"/>
    <w:rsid w:val="00746C13"/>
    <w:rsid w:val="00767AC1"/>
    <w:rsid w:val="00777636"/>
    <w:rsid w:val="007945C6"/>
    <w:rsid w:val="00795938"/>
    <w:rsid w:val="007A74D1"/>
    <w:rsid w:val="007B5247"/>
    <w:rsid w:val="007C482A"/>
    <w:rsid w:val="007D6F54"/>
    <w:rsid w:val="00800AF5"/>
    <w:rsid w:val="0081412F"/>
    <w:rsid w:val="00825076"/>
    <w:rsid w:val="00826298"/>
    <w:rsid w:val="0083665A"/>
    <w:rsid w:val="00844522"/>
    <w:rsid w:val="00853E43"/>
    <w:rsid w:val="0086247F"/>
    <w:rsid w:val="008725F0"/>
    <w:rsid w:val="00882752"/>
    <w:rsid w:val="00894A97"/>
    <w:rsid w:val="008B127A"/>
    <w:rsid w:val="008B25E4"/>
    <w:rsid w:val="008C5589"/>
    <w:rsid w:val="008F0A57"/>
    <w:rsid w:val="008F67BA"/>
    <w:rsid w:val="009251FB"/>
    <w:rsid w:val="0093553B"/>
    <w:rsid w:val="009405A4"/>
    <w:rsid w:val="00952A48"/>
    <w:rsid w:val="00960C0A"/>
    <w:rsid w:val="00982852"/>
    <w:rsid w:val="0098564D"/>
    <w:rsid w:val="00986435"/>
    <w:rsid w:val="009A1B3E"/>
    <w:rsid w:val="009D7D25"/>
    <w:rsid w:val="009E09C8"/>
    <w:rsid w:val="00A004D7"/>
    <w:rsid w:val="00A049BC"/>
    <w:rsid w:val="00A1024F"/>
    <w:rsid w:val="00A12109"/>
    <w:rsid w:val="00A3523B"/>
    <w:rsid w:val="00A46900"/>
    <w:rsid w:val="00AC2455"/>
    <w:rsid w:val="00AC4D32"/>
    <w:rsid w:val="00AD3F01"/>
    <w:rsid w:val="00AD4970"/>
    <w:rsid w:val="00AE6BB4"/>
    <w:rsid w:val="00B279B0"/>
    <w:rsid w:val="00B5503B"/>
    <w:rsid w:val="00B65AEF"/>
    <w:rsid w:val="00B7017B"/>
    <w:rsid w:val="00B83B53"/>
    <w:rsid w:val="00BA20DC"/>
    <w:rsid w:val="00BA45B4"/>
    <w:rsid w:val="00BA4D5A"/>
    <w:rsid w:val="00BB35C0"/>
    <w:rsid w:val="00BC547B"/>
    <w:rsid w:val="00C012F8"/>
    <w:rsid w:val="00C21F90"/>
    <w:rsid w:val="00C2276D"/>
    <w:rsid w:val="00C308D2"/>
    <w:rsid w:val="00C33B1F"/>
    <w:rsid w:val="00C34304"/>
    <w:rsid w:val="00C4594E"/>
    <w:rsid w:val="00C56397"/>
    <w:rsid w:val="00C736AA"/>
    <w:rsid w:val="00C923E7"/>
    <w:rsid w:val="00C93432"/>
    <w:rsid w:val="00CB0CF1"/>
    <w:rsid w:val="00CC0795"/>
    <w:rsid w:val="00CC525C"/>
    <w:rsid w:val="00CD0979"/>
    <w:rsid w:val="00D00D3C"/>
    <w:rsid w:val="00D0450A"/>
    <w:rsid w:val="00D2586B"/>
    <w:rsid w:val="00D33EAB"/>
    <w:rsid w:val="00D40B2F"/>
    <w:rsid w:val="00D44AD0"/>
    <w:rsid w:val="00D57B7E"/>
    <w:rsid w:val="00D8209A"/>
    <w:rsid w:val="00D92C26"/>
    <w:rsid w:val="00DB4286"/>
    <w:rsid w:val="00DE09C0"/>
    <w:rsid w:val="00DE14C7"/>
    <w:rsid w:val="00DF20D2"/>
    <w:rsid w:val="00DF20DF"/>
    <w:rsid w:val="00DF7F73"/>
    <w:rsid w:val="00E000A4"/>
    <w:rsid w:val="00E20E6E"/>
    <w:rsid w:val="00E33E43"/>
    <w:rsid w:val="00E50A0E"/>
    <w:rsid w:val="00E73BA5"/>
    <w:rsid w:val="00E966EF"/>
    <w:rsid w:val="00EA062D"/>
    <w:rsid w:val="00EB4491"/>
    <w:rsid w:val="00EE5A61"/>
    <w:rsid w:val="00EE7D6C"/>
    <w:rsid w:val="00F455DB"/>
    <w:rsid w:val="00F52C4D"/>
    <w:rsid w:val="00F52F6F"/>
    <w:rsid w:val="00F8193F"/>
    <w:rsid w:val="00FC2803"/>
    <w:rsid w:val="00FE47A1"/>
    <w:rsid w:val="01216BE4"/>
    <w:rsid w:val="018111B5"/>
    <w:rsid w:val="01AA45FD"/>
    <w:rsid w:val="01B36BD0"/>
    <w:rsid w:val="0302172E"/>
    <w:rsid w:val="03A57E95"/>
    <w:rsid w:val="06C20FE9"/>
    <w:rsid w:val="06ED0057"/>
    <w:rsid w:val="0721282E"/>
    <w:rsid w:val="075A7AEE"/>
    <w:rsid w:val="076D7821"/>
    <w:rsid w:val="086C5D2B"/>
    <w:rsid w:val="08BD6586"/>
    <w:rsid w:val="08D42EAD"/>
    <w:rsid w:val="0A1664B0"/>
    <w:rsid w:val="0B3B3853"/>
    <w:rsid w:val="0C5741DF"/>
    <w:rsid w:val="0DBC7E3A"/>
    <w:rsid w:val="0EC46B07"/>
    <w:rsid w:val="0ED939EE"/>
    <w:rsid w:val="0EFA4567"/>
    <w:rsid w:val="0F03227F"/>
    <w:rsid w:val="101F14B2"/>
    <w:rsid w:val="11260ED5"/>
    <w:rsid w:val="118626F1"/>
    <w:rsid w:val="12373CCC"/>
    <w:rsid w:val="12781532"/>
    <w:rsid w:val="131C3124"/>
    <w:rsid w:val="13365D2B"/>
    <w:rsid w:val="139B1DAF"/>
    <w:rsid w:val="14214433"/>
    <w:rsid w:val="14465190"/>
    <w:rsid w:val="147E5C32"/>
    <w:rsid w:val="166444E5"/>
    <w:rsid w:val="188449CB"/>
    <w:rsid w:val="18B31A34"/>
    <w:rsid w:val="1A08229D"/>
    <w:rsid w:val="1AE73424"/>
    <w:rsid w:val="1AEC4CF7"/>
    <w:rsid w:val="1B9C70F7"/>
    <w:rsid w:val="1BA24ADF"/>
    <w:rsid w:val="1C146DC7"/>
    <w:rsid w:val="1C430C91"/>
    <w:rsid w:val="1C560B1D"/>
    <w:rsid w:val="1CD06430"/>
    <w:rsid w:val="1CF6372A"/>
    <w:rsid w:val="1D43772D"/>
    <w:rsid w:val="1D547061"/>
    <w:rsid w:val="1DF05839"/>
    <w:rsid w:val="1E1957D9"/>
    <w:rsid w:val="1E1B695B"/>
    <w:rsid w:val="1F013AB2"/>
    <w:rsid w:val="1FF71F26"/>
    <w:rsid w:val="20753259"/>
    <w:rsid w:val="20810F6E"/>
    <w:rsid w:val="20900B41"/>
    <w:rsid w:val="213827F6"/>
    <w:rsid w:val="22D402FC"/>
    <w:rsid w:val="23A40AB8"/>
    <w:rsid w:val="23BF34BE"/>
    <w:rsid w:val="2415007B"/>
    <w:rsid w:val="243D60CF"/>
    <w:rsid w:val="2449302D"/>
    <w:rsid w:val="251B5C5F"/>
    <w:rsid w:val="256B319A"/>
    <w:rsid w:val="2584600A"/>
    <w:rsid w:val="269C3827"/>
    <w:rsid w:val="27C5352B"/>
    <w:rsid w:val="28AE779C"/>
    <w:rsid w:val="295F4E46"/>
    <w:rsid w:val="29AE52E5"/>
    <w:rsid w:val="2B0C0DC0"/>
    <w:rsid w:val="2BC36ED9"/>
    <w:rsid w:val="2C0361E6"/>
    <w:rsid w:val="2C556C60"/>
    <w:rsid w:val="2D87704C"/>
    <w:rsid w:val="2EE90A83"/>
    <w:rsid w:val="2F3802E6"/>
    <w:rsid w:val="2F3E3DF3"/>
    <w:rsid w:val="2F7A0D80"/>
    <w:rsid w:val="307B1FF8"/>
    <w:rsid w:val="31102E48"/>
    <w:rsid w:val="31AA1BA2"/>
    <w:rsid w:val="31E53674"/>
    <w:rsid w:val="32484038"/>
    <w:rsid w:val="32B506C8"/>
    <w:rsid w:val="33CD43BF"/>
    <w:rsid w:val="3415494D"/>
    <w:rsid w:val="34BF4D36"/>
    <w:rsid w:val="3562626B"/>
    <w:rsid w:val="35A139CD"/>
    <w:rsid w:val="35BE07A1"/>
    <w:rsid w:val="36E54877"/>
    <w:rsid w:val="36ED55B1"/>
    <w:rsid w:val="36F43D56"/>
    <w:rsid w:val="37305B0F"/>
    <w:rsid w:val="37EA6E29"/>
    <w:rsid w:val="386C79A6"/>
    <w:rsid w:val="38DB01DF"/>
    <w:rsid w:val="394E7984"/>
    <w:rsid w:val="395D0BF4"/>
    <w:rsid w:val="3B3D0CDD"/>
    <w:rsid w:val="3B814F95"/>
    <w:rsid w:val="3BD65FA8"/>
    <w:rsid w:val="3C1A2DCC"/>
    <w:rsid w:val="3C3F063F"/>
    <w:rsid w:val="3D22018A"/>
    <w:rsid w:val="3DAD6D23"/>
    <w:rsid w:val="3DB00568"/>
    <w:rsid w:val="3DB72FC9"/>
    <w:rsid w:val="3DCD6E49"/>
    <w:rsid w:val="3E2C22A0"/>
    <w:rsid w:val="3EC82FB3"/>
    <w:rsid w:val="3EE512A3"/>
    <w:rsid w:val="3F233BB9"/>
    <w:rsid w:val="3F977C07"/>
    <w:rsid w:val="3FAE5087"/>
    <w:rsid w:val="40354679"/>
    <w:rsid w:val="40AF7BC4"/>
    <w:rsid w:val="415D6B18"/>
    <w:rsid w:val="416A64DB"/>
    <w:rsid w:val="419709BF"/>
    <w:rsid w:val="41990C37"/>
    <w:rsid w:val="42B024D3"/>
    <w:rsid w:val="42C073CF"/>
    <w:rsid w:val="43CF6B92"/>
    <w:rsid w:val="444B69FC"/>
    <w:rsid w:val="44CC7E20"/>
    <w:rsid w:val="455A2477"/>
    <w:rsid w:val="45BD1E9D"/>
    <w:rsid w:val="45F01F9B"/>
    <w:rsid w:val="45F702EA"/>
    <w:rsid w:val="46B025C4"/>
    <w:rsid w:val="47423D5F"/>
    <w:rsid w:val="490966A2"/>
    <w:rsid w:val="49284D7B"/>
    <w:rsid w:val="49AE2DA6"/>
    <w:rsid w:val="49C26805"/>
    <w:rsid w:val="4AC0261B"/>
    <w:rsid w:val="4B53760A"/>
    <w:rsid w:val="4B8D35BB"/>
    <w:rsid w:val="4BF34AB1"/>
    <w:rsid w:val="4D3A507C"/>
    <w:rsid w:val="4D79174D"/>
    <w:rsid w:val="4E227C67"/>
    <w:rsid w:val="4F7A6597"/>
    <w:rsid w:val="4F990750"/>
    <w:rsid w:val="506B038B"/>
    <w:rsid w:val="50825753"/>
    <w:rsid w:val="50CD365D"/>
    <w:rsid w:val="5166417E"/>
    <w:rsid w:val="51E502DD"/>
    <w:rsid w:val="523B43FA"/>
    <w:rsid w:val="55320C1E"/>
    <w:rsid w:val="55AA6DD6"/>
    <w:rsid w:val="583E21CB"/>
    <w:rsid w:val="589D11CF"/>
    <w:rsid w:val="59746465"/>
    <w:rsid w:val="5C7B4C5A"/>
    <w:rsid w:val="5C891A56"/>
    <w:rsid w:val="5D810F94"/>
    <w:rsid w:val="5DE3130D"/>
    <w:rsid w:val="5E5E2B95"/>
    <w:rsid w:val="61232FB0"/>
    <w:rsid w:val="6186306D"/>
    <w:rsid w:val="62B47F50"/>
    <w:rsid w:val="63116AC0"/>
    <w:rsid w:val="634D08D9"/>
    <w:rsid w:val="6364032C"/>
    <w:rsid w:val="642A22F7"/>
    <w:rsid w:val="645A5F14"/>
    <w:rsid w:val="651D5558"/>
    <w:rsid w:val="65622C89"/>
    <w:rsid w:val="65C8205D"/>
    <w:rsid w:val="660B6FC9"/>
    <w:rsid w:val="6665068F"/>
    <w:rsid w:val="668E5A7F"/>
    <w:rsid w:val="66DC6B8B"/>
    <w:rsid w:val="673F6DFD"/>
    <w:rsid w:val="67D349DF"/>
    <w:rsid w:val="68D4688F"/>
    <w:rsid w:val="690319BC"/>
    <w:rsid w:val="69F947D7"/>
    <w:rsid w:val="6A647785"/>
    <w:rsid w:val="6AF71E61"/>
    <w:rsid w:val="6B36593B"/>
    <w:rsid w:val="6C550DA4"/>
    <w:rsid w:val="6C707D50"/>
    <w:rsid w:val="6CDF1E27"/>
    <w:rsid w:val="6D6682EE"/>
    <w:rsid w:val="6E6E1E5D"/>
    <w:rsid w:val="6FA57D2F"/>
    <w:rsid w:val="6FA83789"/>
    <w:rsid w:val="6FE44D14"/>
    <w:rsid w:val="6FFF5CA8"/>
    <w:rsid w:val="70A17445"/>
    <w:rsid w:val="72071122"/>
    <w:rsid w:val="72C9486C"/>
    <w:rsid w:val="745A0019"/>
    <w:rsid w:val="749C6C6D"/>
    <w:rsid w:val="75816DCA"/>
    <w:rsid w:val="75D80678"/>
    <w:rsid w:val="77E104EB"/>
    <w:rsid w:val="77E87BCD"/>
    <w:rsid w:val="780305DD"/>
    <w:rsid w:val="787B16D2"/>
    <w:rsid w:val="7A616029"/>
    <w:rsid w:val="7AD249A1"/>
    <w:rsid w:val="7ADA0B59"/>
    <w:rsid w:val="7B8256BC"/>
    <w:rsid w:val="7BAE260E"/>
    <w:rsid w:val="7C5447AC"/>
    <w:rsid w:val="7CAD6D69"/>
    <w:rsid w:val="7CE3278B"/>
    <w:rsid w:val="7D4F31CA"/>
    <w:rsid w:val="7E551467"/>
    <w:rsid w:val="7EF513B3"/>
    <w:rsid w:val="7FAF4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link w:val="70"/>
    <w:qFormat/>
    <w:uiPriority w:val="0"/>
    <w:pPr>
      <w:keepNext/>
      <w:keepLines/>
      <w:spacing w:before="340" w:after="330"/>
      <w:ind w:firstLine="150" w:firstLineChars="150"/>
      <w:outlineLvl w:val="0"/>
    </w:pPr>
    <w:rPr>
      <w:rFonts w:eastAsia="黑体"/>
      <w:b/>
      <w:bCs/>
      <w:kern w:val="44"/>
      <w:szCs w:val="44"/>
    </w:rPr>
  </w:style>
  <w:style w:type="paragraph" w:styleId="4">
    <w:name w:val="heading 2"/>
    <w:basedOn w:val="1"/>
    <w:next w:val="1"/>
    <w:unhideWhenUsed/>
    <w:qFormat/>
    <w:uiPriority w:val="0"/>
    <w:pPr>
      <w:spacing w:before="100" w:beforeAutospacing="1" w:after="100" w:afterAutospacing="1"/>
      <w:ind w:firstLine="200" w:firstLineChars="200"/>
      <w:jc w:val="left"/>
      <w:outlineLvl w:val="1"/>
    </w:pPr>
    <w:rPr>
      <w:rFonts w:hint="eastAsia" w:ascii="宋体" w:hAnsi="宋体" w:eastAsia="宋体"/>
      <w:b/>
      <w:kern w:val="0"/>
      <w:szCs w:val="36"/>
    </w:rPr>
  </w:style>
  <w:style w:type="paragraph" w:styleId="5">
    <w:name w:val="heading 3"/>
    <w:basedOn w:val="1"/>
    <w:next w:val="1"/>
    <w:link w:val="71"/>
    <w:unhideWhenUsed/>
    <w:qFormat/>
    <w:uiPriority w:val="0"/>
    <w:pPr>
      <w:keepNext/>
      <w:keepLines/>
      <w:spacing w:before="120" w:after="120"/>
      <w:ind w:firstLine="200" w:firstLineChars="200"/>
      <w:outlineLvl w:val="2"/>
    </w:pPr>
    <w:rPr>
      <w:rFonts w:eastAsiaTheme="minorEastAsia"/>
      <w:b/>
      <w:bCs/>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Times New Roman"/>
    </w:rPr>
  </w:style>
  <w:style w:type="paragraph" w:styleId="6">
    <w:name w:val="annotation text"/>
    <w:basedOn w:val="1"/>
    <w:link w:val="67"/>
    <w:qFormat/>
    <w:uiPriority w:val="0"/>
    <w:pPr>
      <w:jc w:val="left"/>
    </w:pPr>
  </w:style>
  <w:style w:type="paragraph" w:styleId="7">
    <w:name w:val="toc 3"/>
    <w:basedOn w:val="1"/>
    <w:next w:val="1"/>
    <w:qFormat/>
    <w:uiPriority w:val="39"/>
    <w:pPr>
      <w:spacing w:line="240" w:lineRule="exact"/>
      <w:ind w:left="400" w:leftChars="400"/>
    </w:pPr>
    <w:rPr>
      <w:rFonts w:eastAsiaTheme="minorEastAsia"/>
      <w:sz w:val="24"/>
    </w:rPr>
  </w:style>
  <w:style w:type="paragraph" w:styleId="8">
    <w:name w:val="Date"/>
    <w:basedOn w:val="1"/>
    <w:next w:val="1"/>
    <w:link w:val="69"/>
    <w:qFormat/>
    <w:uiPriority w:val="0"/>
    <w:pPr>
      <w:ind w:left="100" w:leftChars="2500"/>
    </w:pPr>
  </w:style>
  <w:style w:type="paragraph" w:styleId="9">
    <w:name w:val="Balloon Text"/>
    <w:basedOn w:val="1"/>
    <w:link w:val="66"/>
    <w:qFormat/>
    <w:uiPriority w:val="0"/>
    <w:rPr>
      <w:sz w:val="18"/>
      <w:szCs w:val="18"/>
    </w:rPr>
  </w:style>
  <w:style w:type="paragraph" w:styleId="10">
    <w:name w:val="footer"/>
    <w:basedOn w:val="1"/>
    <w:link w:val="72"/>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line="240" w:lineRule="exact"/>
    </w:pPr>
    <w:rPr>
      <w:rFonts w:eastAsia="黑体"/>
      <w:sz w:val="24"/>
    </w:rPr>
  </w:style>
  <w:style w:type="paragraph" w:styleId="13">
    <w:name w:val="toc 2"/>
    <w:basedOn w:val="1"/>
    <w:next w:val="1"/>
    <w:qFormat/>
    <w:uiPriority w:val="39"/>
    <w:pPr>
      <w:spacing w:line="240" w:lineRule="exact"/>
      <w:ind w:left="200" w:leftChars="200"/>
    </w:pPr>
    <w:rPr>
      <w:rFonts w:eastAsiaTheme="majorEastAsia"/>
      <w:sz w:val="24"/>
    </w:rPr>
  </w:style>
  <w:style w:type="paragraph" w:styleId="14">
    <w:name w:val="Normal (Web)"/>
    <w:basedOn w:val="1"/>
    <w:qFormat/>
    <w:uiPriority w:val="99"/>
    <w:pPr>
      <w:spacing w:beforeAutospacing="1" w:afterAutospacing="1"/>
      <w:jc w:val="left"/>
    </w:pPr>
    <w:rPr>
      <w:kern w:val="0"/>
      <w:sz w:val="24"/>
    </w:rPr>
  </w:style>
  <w:style w:type="paragraph" w:styleId="15">
    <w:name w:val="annotation subject"/>
    <w:basedOn w:val="6"/>
    <w:next w:val="6"/>
    <w:link w:val="68"/>
    <w:qFormat/>
    <w:uiPriority w:val="0"/>
    <w:rPr>
      <w:b/>
      <w:bCs/>
    </w:rPr>
  </w:style>
  <w:style w:type="character" w:styleId="18">
    <w:name w:val="page number"/>
    <w:basedOn w:val="17"/>
    <w:qFormat/>
    <w:uiPriority w:val="0"/>
  </w:style>
  <w:style w:type="character" w:styleId="19">
    <w:name w:val="FollowedHyperlink"/>
    <w:basedOn w:val="17"/>
    <w:qFormat/>
    <w:uiPriority w:val="0"/>
    <w:rPr>
      <w:color w:val="434343"/>
      <w:u w:val="none"/>
    </w:rPr>
  </w:style>
  <w:style w:type="character" w:styleId="20">
    <w:name w:val="Emphasis"/>
    <w:basedOn w:val="17"/>
    <w:qFormat/>
    <w:uiPriority w:val="0"/>
  </w:style>
  <w:style w:type="character" w:styleId="21">
    <w:name w:val="Hyperlink"/>
    <w:basedOn w:val="17"/>
    <w:qFormat/>
    <w:uiPriority w:val="99"/>
    <w:rPr>
      <w:color w:val="0000FF"/>
      <w:u w:val="single"/>
    </w:rPr>
  </w:style>
  <w:style w:type="character" w:styleId="22">
    <w:name w:val="annotation reference"/>
    <w:basedOn w:val="17"/>
    <w:qFormat/>
    <w:uiPriority w:val="0"/>
    <w:rPr>
      <w:sz w:val="21"/>
      <w:szCs w:val="21"/>
    </w:rPr>
  </w:style>
  <w:style w:type="paragraph" w:customStyle="1" w:styleId="23">
    <w:name w:val="Char"/>
    <w:basedOn w:val="1"/>
    <w:qFormat/>
    <w:uiPriority w:val="0"/>
    <w:pPr>
      <w:spacing w:beforeAutospacing="1" w:afterAutospacing="1"/>
    </w:pPr>
    <w:rPr>
      <w:b/>
    </w:rPr>
  </w:style>
  <w:style w:type="paragraph" w:customStyle="1" w:styleId="24">
    <w:name w:val="Body text|1"/>
    <w:basedOn w:val="1"/>
    <w:qFormat/>
    <w:uiPriority w:val="0"/>
    <w:pPr>
      <w:spacing w:line="430" w:lineRule="auto"/>
      <w:ind w:firstLine="400"/>
    </w:pPr>
    <w:rPr>
      <w:rFonts w:ascii="MingLiU" w:hAnsi="MingLiU" w:eastAsia="MingLiU" w:cs="MingLiU"/>
      <w:sz w:val="20"/>
      <w:szCs w:val="20"/>
      <w:lang w:val="zh-TW" w:eastAsia="zh-TW" w:bidi="zh-TW"/>
    </w:rPr>
  </w:style>
  <w:style w:type="paragraph" w:customStyle="1" w:styleId="25">
    <w:name w:val="Char1"/>
    <w:basedOn w:val="1"/>
    <w:qFormat/>
    <w:uiPriority w:val="0"/>
    <w:rPr>
      <w:rFonts w:ascii="Tahoma" w:hAnsi="Tahoma" w:eastAsia="宋体"/>
      <w:sz w:val="24"/>
      <w:szCs w:val="20"/>
    </w:rPr>
  </w:style>
  <w:style w:type="character" w:customStyle="1" w:styleId="26">
    <w:name w:val="font21"/>
    <w:basedOn w:val="17"/>
    <w:qFormat/>
    <w:uiPriority w:val="0"/>
    <w:rPr>
      <w:rFonts w:hint="eastAsia" w:ascii="宋体" w:hAnsi="宋体" w:eastAsia="宋体" w:cs="宋体"/>
      <w:color w:val="000000"/>
      <w:sz w:val="20"/>
      <w:szCs w:val="20"/>
      <w:u w:val="none"/>
    </w:rPr>
  </w:style>
  <w:style w:type="character" w:customStyle="1" w:styleId="27">
    <w:name w:val="font01"/>
    <w:basedOn w:val="17"/>
    <w:qFormat/>
    <w:uiPriority w:val="0"/>
    <w:rPr>
      <w:rFonts w:ascii="Arial" w:hAnsi="Arial" w:cs="Arial"/>
      <w:color w:val="000000"/>
      <w:sz w:val="20"/>
      <w:szCs w:val="20"/>
      <w:u w:val="none"/>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1">
    <w:name w:val="hover"/>
    <w:basedOn w:val="17"/>
    <w:qFormat/>
    <w:uiPriority w:val="0"/>
    <w:rPr>
      <w:shd w:val="clear" w:color="auto" w:fill="347BD7"/>
    </w:rPr>
  </w:style>
  <w:style w:type="character" w:customStyle="1" w:styleId="32">
    <w:name w:val="zx-xuan4"/>
    <w:basedOn w:val="17"/>
    <w:qFormat/>
    <w:uiPriority w:val="0"/>
    <w:rPr>
      <w:shd w:val="clear" w:color="auto" w:fill="FFFFFF"/>
    </w:rPr>
  </w:style>
  <w:style w:type="character" w:customStyle="1" w:styleId="33">
    <w:name w:val="hdjl-x-l-m-sp2"/>
    <w:basedOn w:val="17"/>
    <w:qFormat/>
    <w:uiPriority w:val="0"/>
  </w:style>
  <w:style w:type="character" w:customStyle="1" w:styleId="34">
    <w:name w:val="zx-xuan15"/>
    <w:basedOn w:val="17"/>
    <w:qFormat/>
    <w:uiPriority w:val="0"/>
    <w:rPr>
      <w:color w:val="FFFFFF"/>
    </w:rPr>
  </w:style>
  <w:style w:type="character" w:customStyle="1" w:styleId="35">
    <w:name w:val="zx-span5"/>
    <w:basedOn w:val="17"/>
    <w:qFormat/>
    <w:uiPriority w:val="0"/>
  </w:style>
  <w:style w:type="character" w:customStyle="1" w:styleId="36">
    <w:name w:val="zx-span51"/>
    <w:basedOn w:val="17"/>
    <w:qFormat/>
    <w:uiPriority w:val="0"/>
    <w:rPr>
      <w:color w:val="FFFFFF"/>
    </w:rPr>
  </w:style>
  <w:style w:type="character" w:customStyle="1" w:styleId="37">
    <w:name w:val="hdxdata"/>
    <w:basedOn w:val="17"/>
    <w:qFormat/>
    <w:uiPriority w:val="0"/>
  </w:style>
  <w:style w:type="character" w:customStyle="1" w:styleId="38">
    <w:name w:val="hdxdata1"/>
    <w:basedOn w:val="17"/>
    <w:qFormat/>
    <w:uiPriority w:val="0"/>
  </w:style>
  <w:style w:type="character" w:customStyle="1" w:styleId="39">
    <w:name w:val="bsfw-sp1"/>
    <w:basedOn w:val="17"/>
    <w:qFormat/>
    <w:uiPriority w:val="0"/>
  </w:style>
  <w:style w:type="character" w:customStyle="1" w:styleId="40">
    <w:name w:val="bsfw-sp11"/>
    <w:basedOn w:val="17"/>
    <w:qFormat/>
    <w:uiPriority w:val="0"/>
    <w:rPr>
      <w:color w:val="FFFFFF"/>
      <w:shd w:val="clear" w:color="auto" w:fill="347BD7"/>
    </w:rPr>
  </w:style>
  <w:style w:type="character" w:customStyle="1" w:styleId="41">
    <w:name w:val="zx-span2"/>
    <w:basedOn w:val="17"/>
    <w:qFormat/>
    <w:uiPriority w:val="0"/>
  </w:style>
  <w:style w:type="character" w:customStyle="1" w:styleId="42">
    <w:name w:val="zx-span21"/>
    <w:basedOn w:val="17"/>
    <w:qFormat/>
    <w:uiPriority w:val="0"/>
    <w:rPr>
      <w:color w:val="FFFFFF"/>
    </w:rPr>
  </w:style>
  <w:style w:type="character" w:customStyle="1" w:styleId="43">
    <w:name w:val="bsfw-sp2"/>
    <w:basedOn w:val="17"/>
    <w:qFormat/>
    <w:uiPriority w:val="0"/>
  </w:style>
  <w:style w:type="character" w:customStyle="1" w:styleId="44">
    <w:name w:val="bsfw-sp21"/>
    <w:basedOn w:val="17"/>
    <w:qFormat/>
    <w:uiPriority w:val="0"/>
    <w:rPr>
      <w:color w:val="FFFFFF"/>
      <w:shd w:val="clear" w:color="auto" w:fill="347BD7"/>
    </w:rPr>
  </w:style>
  <w:style w:type="character" w:customStyle="1" w:styleId="45">
    <w:name w:val="bsfw-sp3"/>
    <w:basedOn w:val="17"/>
    <w:qFormat/>
    <w:uiPriority w:val="0"/>
  </w:style>
  <w:style w:type="character" w:customStyle="1" w:styleId="46">
    <w:name w:val="bsfw-sp31"/>
    <w:basedOn w:val="17"/>
    <w:qFormat/>
    <w:uiPriority w:val="0"/>
    <w:rPr>
      <w:color w:val="FFFFFF"/>
      <w:shd w:val="clear" w:color="auto" w:fill="347BD7"/>
    </w:rPr>
  </w:style>
  <w:style w:type="character" w:customStyle="1" w:styleId="47">
    <w:name w:val="hdjl-x-l-x-sp3"/>
    <w:basedOn w:val="17"/>
    <w:qFormat/>
    <w:uiPriority w:val="0"/>
    <w:rPr>
      <w:color w:val="BFBFBF"/>
      <w:sz w:val="18"/>
      <w:szCs w:val="18"/>
    </w:rPr>
  </w:style>
  <w:style w:type="character" w:customStyle="1" w:styleId="48">
    <w:name w:val="hdjl-x-l-x-sp1"/>
    <w:basedOn w:val="17"/>
    <w:qFormat/>
    <w:uiPriority w:val="0"/>
    <w:rPr>
      <w:color w:val="BFBFBF"/>
      <w:sz w:val="24"/>
      <w:szCs w:val="24"/>
    </w:rPr>
  </w:style>
  <w:style w:type="character" w:customStyle="1" w:styleId="49">
    <w:name w:val="hdjl-x-l-m-sp3"/>
    <w:basedOn w:val="17"/>
    <w:qFormat/>
    <w:uiPriority w:val="0"/>
  </w:style>
  <w:style w:type="character" w:customStyle="1" w:styleId="50">
    <w:name w:val="zx-span3"/>
    <w:basedOn w:val="17"/>
    <w:qFormat/>
    <w:uiPriority w:val="0"/>
  </w:style>
  <w:style w:type="character" w:customStyle="1" w:styleId="51">
    <w:name w:val="zx-span31"/>
    <w:basedOn w:val="17"/>
    <w:qFormat/>
    <w:uiPriority w:val="0"/>
    <w:rPr>
      <w:color w:val="FFFFFF"/>
    </w:rPr>
  </w:style>
  <w:style w:type="character" w:customStyle="1" w:styleId="52">
    <w:name w:val="zx-span1"/>
    <w:basedOn w:val="17"/>
    <w:qFormat/>
    <w:uiPriority w:val="0"/>
  </w:style>
  <w:style w:type="character" w:customStyle="1" w:styleId="53">
    <w:name w:val="zx-span11"/>
    <w:basedOn w:val="17"/>
    <w:qFormat/>
    <w:uiPriority w:val="0"/>
    <w:rPr>
      <w:color w:val="FFFFFF"/>
    </w:rPr>
  </w:style>
  <w:style w:type="character" w:customStyle="1" w:styleId="54">
    <w:name w:val="zx-span4"/>
    <w:basedOn w:val="17"/>
    <w:qFormat/>
    <w:uiPriority w:val="0"/>
  </w:style>
  <w:style w:type="character" w:customStyle="1" w:styleId="55">
    <w:name w:val="zx-span41"/>
    <w:basedOn w:val="17"/>
    <w:qFormat/>
    <w:uiPriority w:val="0"/>
    <w:rPr>
      <w:color w:val="FFFFFF"/>
    </w:rPr>
  </w:style>
  <w:style w:type="character" w:customStyle="1" w:styleId="56">
    <w:name w:val="zx-xuan9"/>
    <w:basedOn w:val="17"/>
    <w:qFormat/>
    <w:uiPriority w:val="0"/>
    <w:rPr>
      <w:shd w:val="clear" w:color="auto" w:fill="347BD7"/>
    </w:rPr>
  </w:style>
  <w:style w:type="character" w:customStyle="1" w:styleId="57">
    <w:name w:val="zwfw-sp2"/>
    <w:basedOn w:val="17"/>
    <w:qFormat/>
    <w:uiPriority w:val="0"/>
  </w:style>
  <w:style w:type="character" w:customStyle="1" w:styleId="58">
    <w:name w:val="r-5-l-sp3"/>
    <w:basedOn w:val="17"/>
    <w:qFormat/>
    <w:uiPriority w:val="0"/>
  </w:style>
  <w:style w:type="character" w:customStyle="1" w:styleId="59">
    <w:name w:val="hdjl-x-l-m-sp4"/>
    <w:basedOn w:val="17"/>
    <w:qFormat/>
    <w:uiPriority w:val="0"/>
  </w:style>
  <w:style w:type="character" w:customStyle="1" w:styleId="60">
    <w:name w:val="r-5-l-sp2"/>
    <w:basedOn w:val="17"/>
    <w:qFormat/>
    <w:uiPriority w:val="0"/>
  </w:style>
  <w:style w:type="character" w:customStyle="1" w:styleId="61">
    <w:name w:val="r-5-l-sp1"/>
    <w:basedOn w:val="17"/>
    <w:qFormat/>
    <w:uiPriority w:val="0"/>
  </w:style>
  <w:style w:type="character" w:customStyle="1" w:styleId="62">
    <w:name w:val="hdjl-x-l-m-sp1"/>
    <w:basedOn w:val="17"/>
    <w:qFormat/>
    <w:uiPriority w:val="0"/>
  </w:style>
  <w:style w:type="character" w:customStyle="1" w:styleId="63">
    <w:name w:val="ndata"/>
    <w:basedOn w:val="17"/>
    <w:qFormat/>
    <w:uiPriority w:val="0"/>
    <w:rPr>
      <w:color w:val="888888"/>
      <w:sz w:val="21"/>
      <w:szCs w:val="21"/>
    </w:rPr>
  </w:style>
  <w:style w:type="character" w:customStyle="1" w:styleId="64">
    <w:name w:val="time"/>
    <w:basedOn w:val="17"/>
    <w:qFormat/>
    <w:uiPriority w:val="0"/>
    <w:rPr>
      <w:color w:val="AAAAAA"/>
    </w:rPr>
  </w:style>
  <w:style w:type="character" w:customStyle="1" w:styleId="65">
    <w:name w:val="time1"/>
    <w:basedOn w:val="17"/>
    <w:qFormat/>
    <w:uiPriority w:val="0"/>
    <w:rPr>
      <w:color w:val="AAAAAA"/>
    </w:rPr>
  </w:style>
  <w:style w:type="character" w:customStyle="1" w:styleId="66">
    <w:name w:val="批注框文本 Char"/>
    <w:basedOn w:val="17"/>
    <w:link w:val="9"/>
    <w:qFormat/>
    <w:uiPriority w:val="0"/>
    <w:rPr>
      <w:rFonts w:ascii="仿宋_GB2312" w:eastAsia="仿宋_GB2312"/>
      <w:kern w:val="2"/>
      <w:sz w:val="18"/>
      <w:szCs w:val="18"/>
    </w:rPr>
  </w:style>
  <w:style w:type="character" w:customStyle="1" w:styleId="67">
    <w:name w:val="批注文字 Char"/>
    <w:basedOn w:val="17"/>
    <w:link w:val="6"/>
    <w:qFormat/>
    <w:uiPriority w:val="0"/>
    <w:rPr>
      <w:rFonts w:ascii="仿宋_GB2312" w:eastAsia="仿宋_GB2312"/>
      <w:kern w:val="2"/>
      <w:sz w:val="32"/>
      <w:szCs w:val="32"/>
    </w:rPr>
  </w:style>
  <w:style w:type="character" w:customStyle="1" w:styleId="68">
    <w:name w:val="批注主题 Char"/>
    <w:basedOn w:val="67"/>
    <w:link w:val="15"/>
    <w:qFormat/>
    <w:uiPriority w:val="0"/>
    <w:rPr>
      <w:rFonts w:ascii="仿宋_GB2312" w:eastAsia="仿宋_GB2312"/>
      <w:b/>
      <w:bCs/>
      <w:kern w:val="2"/>
      <w:sz w:val="32"/>
      <w:szCs w:val="32"/>
    </w:rPr>
  </w:style>
  <w:style w:type="character" w:customStyle="1" w:styleId="69">
    <w:name w:val="日期 Char"/>
    <w:basedOn w:val="17"/>
    <w:link w:val="8"/>
    <w:qFormat/>
    <w:uiPriority w:val="0"/>
    <w:rPr>
      <w:rFonts w:ascii="仿宋_GB2312" w:eastAsia="仿宋_GB2312"/>
      <w:kern w:val="2"/>
      <w:sz w:val="32"/>
      <w:szCs w:val="32"/>
    </w:rPr>
  </w:style>
  <w:style w:type="character" w:customStyle="1" w:styleId="70">
    <w:name w:val="标题 1 Char"/>
    <w:basedOn w:val="17"/>
    <w:link w:val="3"/>
    <w:qFormat/>
    <w:uiPriority w:val="0"/>
    <w:rPr>
      <w:rFonts w:ascii="仿宋_GB2312" w:eastAsia="黑体"/>
      <w:b/>
      <w:bCs/>
      <w:kern w:val="44"/>
      <w:sz w:val="32"/>
      <w:szCs w:val="44"/>
    </w:rPr>
  </w:style>
  <w:style w:type="character" w:customStyle="1" w:styleId="71">
    <w:name w:val="标题 3 Char"/>
    <w:basedOn w:val="17"/>
    <w:link w:val="5"/>
    <w:qFormat/>
    <w:uiPriority w:val="0"/>
    <w:rPr>
      <w:rFonts w:ascii="仿宋_GB2312" w:eastAsiaTheme="minorEastAsia"/>
      <w:b/>
      <w:bCs/>
      <w:kern w:val="2"/>
      <w:sz w:val="32"/>
      <w:szCs w:val="32"/>
    </w:rPr>
  </w:style>
  <w:style w:type="character" w:customStyle="1" w:styleId="72">
    <w:name w:val="页脚 Char"/>
    <w:basedOn w:val="17"/>
    <w:link w:val="10"/>
    <w:qFormat/>
    <w:uiPriority w:val="99"/>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15239</Words>
  <Characters>16654</Characters>
  <Lines>160</Lines>
  <Paragraphs>45</Paragraphs>
  <TotalTime>0</TotalTime>
  <ScaleCrop>false</ScaleCrop>
  <LinksUpToDate>false</LinksUpToDate>
  <CharactersWithSpaces>19261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2024-09-18T17:13:00Z</dcterms:created>
  <dc:creator>oem</dc:creator>
  <cp:lastModifiedBy>user</cp:lastModifiedBy>
  <cp:lastPrinted>2024-10-28T16:01:00Z</cp:lastPrinted>
  <dcterms:modified xsi:type="dcterms:W3CDTF">2025-09-16T09:41:52Z</dcterms:modified>
  <dc:title>从</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2892D35620C144F8A964E77AF19B66BF_12</vt:lpwstr>
  </property>
</Properties>
</file>