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47"/>
        <w:ind w:firstLine="0" w:firstLineChars="0"/>
        <w:rPr>
          <w:rFonts w:hint="eastAsia" w:eastAsia="黑体" w:cs="黑体"/>
          <w:sz w:val="32"/>
          <w:szCs w:val="32"/>
        </w:rPr>
      </w:pPr>
      <w:bookmarkStart w:id="154" w:name="_GoBack"/>
      <w:bookmarkEnd w:id="154"/>
    </w:p>
    <w:p>
      <w:pPr>
        <w:pStyle w:val="47"/>
      </w:pPr>
    </w:p>
    <w:p>
      <w:pPr>
        <w:spacing w:line="520" w:lineRule="exact"/>
        <w:ind w:firstLine="481" w:firstLineChars="200"/>
        <w:rPr>
          <w:rFonts w:ascii="宋体" w:hAnsi="宋体" w:cs="宋体"/>
          <w:b/>
          <w:bCs/>
          <w:sz w:val="24"/>
        </w:rPr>
      </w:pPr>
    </w:p>
    <w:p>
      <w:pPr>
        <w:spacing w:line="520" w:lineRule="exact"/>
        <w:ind w:firstLine="481" w:firstLineChars="200"/>
        <w:rPr>
          <w:rFonts w:ascii="宋体" w:hAnsi="宋体" w:cs="宋体"/>
          <w:b/>
          <w:bCs/>
          <w:sz w:val="24"/>
        </w:rPr>
      </w:pPr>
    </w:p>
    <w:p>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rPr>
        <w:t>三亚市海棠区国民经济和社会发展</w:t>
      </w:r>
    </w:p>
    <w:p>
      <w:pPr>
        <w:spacing w:line="360" w:lineRule="auto"/>
        <w:jc w:val="center"/>
        <w:rPr>
          <w:rFonts w:hint="eastAsia" w:ascii="方正小标宋_GBK" w:hAnsi="方正小标宋_GBK" w:eastAsia="方正小标宋_GBK" w:cs="方正小标宋_GBK"/>
          <w:b/>
          <w:bCs/>
          <w:sz w:val="52"/>
          <w:szCs w:val="52"/>
        </w:rPr>
      </w:pPr>
      <w:r>
        <w:rPr>
          <w:rFonts w:hint="eastAsia" w:ascii="方正小标宋_GBK" w:hAnsi="方正小标宋_GBK" w:eastAsia="方正小标宋_GBK" w:cs="方正小标宋_GBK"/>
          <w:b/>
          <w:bCs/>
          <w:sz w:val="52"/>
          <w:szCs w:val="52"/>
        </w:rPr>
        <w:t>第十五个五年规划纲要</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jc w:val="center"/>
        <w:rPr>
          <w:sz w:val="48"/>
          <w:szCs w:val="48"/>
        </w:rPr>
      </w:pPr>
    </w:p>
    <w:p>
      <w:pPr>
        <w:jc w:val="center"/>
        <w:rPr>
          <w:sz w:val="48"/>
          <w:szCs w:val="48"/>
        </w:rPr>
      </w:pPr>
    </w:p>
    <w:p>
      <w:pPr>
        <w:jc w:val="center"/>
        <w:rPr>
          <w:sz w:val="48"/>
          <w:szCs w:val="48"/>
        </w:rPr>
      </w:pPr>
    </w:p>
    <w:p>
      <w:pPr>
        <w:jc w:val="center"/>
        <w:rPr>
          <w:sz w:val="48"/>
          <w:szCs w:val="48"/>
        </w:rPr>
      </w:pPr>
    </w:p>
    <w:p>
      <w:pPr>
        <w:pStyle w:val="2"/>
        <w:rPr>
          <w:rFonts w:hint="eastAsia"/>
        </w:rPr>
      </w:pPr>
    </w:p>
    <w:p>
      <w:pPr>
        <w:pStyle w:val="4"/>
      </w:pPr>
    </w:p>
    <w:p>
      <w:pPr>
        <w:jc w:val="center"/>
        <w:rPr>
          <w:rFonts w:hint="eastAsia" w:ascii="方正楷体简体" w:hAnsi="方正楷体简体" w:eastAsia="方正楷体简体" w:cs="方正楷体简体"/>
          <w:sz w:val="36"/>
          <w:szCs w:val="36"/>
          <w:lang w:eastAsia="zh-CN"/>
        </w:rPr>
      </w:pPr>
      <w:r>
        <w:rPr>
          <w:rFonts w:hint="eastAsia" w:ascii="方正楷体简体" w:hAnsi="方正楷体简体" w:eastAsia="方正楷体简体" w:cs="方正楷体简体"/>
          <w:sz w:val="36"/>
          <w:szCs w:val="36"/>
          <w:lang w:eastAsia="zh-CN"/>
        </w:rPr>
        <w:t>三亚市海棠区人民政府</w:t>
      </w:r>
    </w:p>
    <w:p>
      <w:pPr>
        <w:pStyle w:val="2"/>
        <w:rPr>
          <w:rFonts w:hint="eastAsia" w:ascii="方正楷体简体" w:hAnsi="方正楷体简体" w:eastAsia="方正楷体简体" w:cs="方正楷体简体"/>
          <w:sz w:val="36"/>
          <w:szCs w:val="36"/>
          <w:lang w:eastAsia="zh-CN"/>
        </w:rPr>
      </w:pPr>
    </w:p>
    <w:p>
      <w:pPr>
        <w:rPr>
          <w:rFonts w:hint="eastAsia" w:ascii="方正楷体简体" w:hAnsi="方正楷体简体" w:eastAsia="方正楷体简体" w:cs="方正楷体简体"/>
          <w:sz w:val="36"/>
          <w:szCs w:val="36"/>
          <w:lang w:eastAsia="zh-CN"/>
        </w:rPr>
      </w:pPr>
    </w:p>
    <w:p>
      <w:pPr>
        <w:pStyle w:val="2"/>
        <w:rPr>
          <w:rFonts w:hint="eastAsia" w:ascii="方正楷体简体" w:hAnsi="方正楷体简体" w:eastAsia="方正楷体简体" w:cs="方正楷体简体"/>
          <w:sz w:val="36"/>
          <w:szCs w:val="36"/>
          <w:lang w:eastAsia="zh-CN"/>
        </w:rPr>
      </w:pPr>
    </w:p>
    <w:p>
      <w:pPr>
        <w:rPr>
          <w:rFonts w:hint="eastAsia" w:ascii="方正楷体简体" w:hAnsi="方正楷体简体" w:eastAsia="方正楷体简体" w:cs="方正楷体简体"/>
          <w:sz w:val="36"/>
          <w:szCs w:val="36"/>
          <w:lang w:eastAsia="zh-CN"/>
        </w:rPr>
      </w:pPr>
    </w:p>
    <w:p>
      <w:pPr>
        <w:pStyle w:val="2"/>
        <w:rPr>
          <w:rFonts w:hint="eastAsia" w:ascii="方正楷体简体" w:hAnsi="方正楷体简体" w:eastAsia="方正楷体简体" w:cs="方正楷体简体"/>
          <w:sz w:val="36"/>
          <w:szCs w:val="36"/>
          <w:lang w:eastAsia="zh-CN"/>
        </w:rPr>
      </w:pPr>
    </w:p>
    <w:p>
      <w:pPr>
        <w:rPr>
          <w:rFonts w:hint="eastAsia" w:ascii="方正楷体简体" w:hAnsi="方正楷体简体" w:eastAsia="方正楷体简体" w:cs="方正楷体简体"/>
          <w:sz w:val="36"/>
          <w:szCs w:val="36"/>
          <w:lang w:eastAsia="zh-CN"/>
        </w:rPr>
      </w:pPr>
    </w:p>
    <w:p>
      <w:pPr>
        <w:pStyle w:val="2"/>
        <w:rPr>
          <w:rFonts w:hint="eastAsia" w:ascii="方正楷体简体" w:hAnsi="方正楷体简体" w:eastAsia="方正楷体简体" w:cs="方正楷体简体"/>
          <w:sz w:val="36"/>
          <w:szCs w:val="36"/>
          <w:lang w:eastAsia="zh-CN"/>
        </w:rPr>
      </w:pPr>
    </w:p>
    <w:p>
      <w:pPr>
        <w:rPr>
          <w:rFonts w:hint="eastAsia" w:ascii="方正楷体简体" w:hAnsi="方正楷体简体" w:eastAsia="方正楷体简体" w:cs="方正楷体简体"/>
          <w:sz w:val="36"/>
          <w:szCs w:val="36"/>
          <w:lang w:eastAsia="zh-CN"/>
        </w:rPr>
      </w:pPr>
    </w:p>
    <w:p>
      <w:pPr>
        <w:pStyle w:val="2"/>
        <w:rPr>
          <w:rFonts w:hint="eastAsia" w:ascii="方正楷体简体" w:hAnsi="方正楷体简体" w:eastAsia="方正楷体简体" w:cs="方正楷体简体"/>
          <w:sz w:val="36"/>
          <w:szCs w:val="36"/>
          <w:lang w:eastAsia="zh-CN"/>
        </w:rPr>
      </w:pPr>
    </w:p>
    <w:p>
      <w:pPr>
        <w:rPr>
          <w:rFonts w:hint="eastAsia" w:ascii="方正楷体简体" w:hAnsi="方正楷体简体" w:eastAsia="方正楷体简体" w:cs="方正楷体简体"/>
          <w:sz w:val="36"/>
          <w:szCs w:val="36"/>
          <w:lang w:eastAsia="zh-CN"/>
        </w:rPr>
      </w:pPr>
    </w:p>
    <w:p>
      <w:pPr>
        <w:pStyle w:val="2"/>
        <w:rPr>
          <w:rFonts w:hint="eastAsia" w:ascii="方正楷体简体" w:hAnsi="方正楷体简体" w:eastAsia="方正楷体简体" w:cs="方正楷体简体"/>
          <w:sz w:val="36"/>
          <w:szCs w:val="36"/>
          <w:lang w:eastAsia="zh-CN"/>
        </w:rPr>
      </w:pPr>
    </w:p>
    <w:p>
      <w:pPr>
        <w:rPr>
          <w:rFonts w:hint="eastAsia" w:ascii="方正楷体简体" w:hAnsi="方正楷体简体" w:eastAsia="方正楷体简体" w:cs="方正楷体简体"/>
          <w:sz w:val="36"/>
          <w:szCs w:val="36"/>
          <w:lang w:eastAsia="zh-CN"/>
        </w:rPr>
      </w:pPr>
    </w:p>
    <w:p>
      <w:pPr>
        <w:pStyle w:val="2"/>
        <w:rPr>
          <w:rFonts w:hint="eastAsia" w:ascii="方正楷体简体" w:hAnsi="方正楷体简体" w:eastAsia="方正楷体简体" w:cs="方正楷体简体"/>
          <w:sz w:val="36"/>
          <w:szCs w:val="36"/>
          <w:lang w:eastAsia="zh-CN"/>
        </w:rPr>
      </w:pPr>
    </w:p>
    <w:p>
      <w:pPr>
        <w:rPr>
          <w:rFonts w:hint="eastAsia" w:ascii="方正楷体简体" w:hAnsi="方正楷体简体" w:eastAsia="方正楷体简体" w:cs="方正楷体简体"/>
          <w:sz w:val="36"/>
          <w:szCs w:val="36"/>
          <w:lang w:eastAsia="zh-CN"/>
        </w:rPr>
      </w:pPr>
    </w:p>
    <w:p>
      <w:pPr>
        <w:pStyle w:val="2"/>
        <w:rPr>
          <w:rFonts w:hint="default" w:ascii="Calibri" w:hAnsi="Calibri" w:eastAsia="宋体"/>
          <w:sz w:val="32"/>
          <w:szCs w:val="32"/>
          <w:lang w:eastAsia="zh-CN"/>
        </w:rPr>
      </w:pPr>
    </w:p>
    <w:p>
      <w:pPr>
        <w:spacing w:line="520" w:lineRule="exact"/>
        <w:jc w:val="center"/>
        <w:rPr>
          <w:rFonts w:ascii="宋体" w:hAnsi="宋体" w:cs="黑体"/>
          <w:b/>
          <w:sz w:val="32"/>
          <w:szCs w:val="32"/>
        </w:rPr>
      </w:pPr>
      <w:r>
        <w:rPr>
          <w:rFonts w:hint="eastAsia" w:ascii="宋体" w:hAnsi="宋体" w:cs="黑体"/>
          <w:b/>
          <w:sz w:val="32"/>
          <w:szCs w:val="32"/>
        </w:rPr>
        <w:t>前 言</w:t>
      </w:r>
    </w:p>
    <w:p>
      <w:pPr>
        <w:spacing w:line="520" w:lineRule="exact"/>
        <w:jc w:val="center"/>
        <w:rPr>
          <w:rFonts w:ascii="宋体" w:hAnsi="宋体" w:cs="宋体"/>
          <w:sz w:val="24"/>
        </w:rPr>
      </w:pPr>
    </w:p>
    <w:p>
      <w:pPr>
        <w:pStyle w:val="18"/>
        <w:widowControl/>
        <w:shd w:val="clear" w:color="auto" w:fill="FFFFFF"/>
        <w:spacing w:beforeAutospacing="0" w:after="0" w:afterAutospacing="0" w:line="52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十五五”时期是我国基本实现社会主义现代化夯实基础、全面发力的关键时期，是海南自由贸易港在封关运作新起点上全面深化改革开放、实现高质量发展的关键五年，是三亚在服务国家战略和自由贸易港建设大局中，基本建成世界知名宜居宜游宜业现代化滨海城市具有决定性意义的关键五年，也是海棠区把握历史机遇、推进高水平对外开放、加快经济结构转型升级和建设国际旅游消费中心核心引领区的攻坚时期。科学制定和实施好海棠区国民经济和社会发展第十五个五年规划，对海棠全面提升国际旅游消费中心核心引领区能级、加快构筑海棠未来发展的战略优势，更好服务三亚市“一标杆、五个区”的发展大局，具有重要意义。</w:t>
      </w:r>
    </w:p>
    <w:p>
      <w:pPr>
        <w:pStyle w:val="18"/>
        <w:widowControl/>
        <w:shd w:val="clear" w:color="auto" w:fill="FFFFFF"/>
        <w:spacing w:beforeAutospacing="0" w:after="0" w:afterAutospacing="0" w:line="52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三亚市海棠区国民经济和社会发展第十五个五年规划纲要》根据《中共三亚市海棠区委关于制定国民经济和社会发展第十五个五年规划的建议》编制，系统阐明区委、区政府的战略意图，是指导未来五年乃至更长时期全区经济社会发展的宏伟蓝图和行动纲领，是政府履行职责的重要依据，是全区人民共同奋斗的行动纲领。</w:t>
      </w:r>
    </w:p>
    <w:p>
      <w:pPr>
        <w:pStyle w:val="39"/>
        <w:jc w:val="center"/>
        <w:rPr>
          <w:rFonts w:ascii="Calibri" w:hAnsi="Calibri" w:eastAsia="宋体" w:cs="Times New Roman"/>
          <w:color w:val="auto"/>
          <w:kern w:val="2"/>
          <w:sz w:val="21"/>
          <w:szCs w:val="24"/>
          <w:lang w:val="zh-CN"/>
        </w:rPr>
        <w:sectPr>
          <w:pgSz w:w="11906" w:h="16838"/>
          <w:pgMar w:top="2098" w:right="1474" w:bottom="1984" w:left="1587" w:header="851" w:footer="992" w:gutter="0"/>
          <w:cols w:space="0" w:num="1"/>
          <w:docGrid w:type="lines" w:linePitch="318" w:charSpace="0"/>
        </w:sectPr>
      </w:pPr>
    </w:p>
    <w:sdt>
      <w:sdtPr>
        <w:rPr>
          <w:rFonts w:hint="eastAsia" w:ascii="黑体" w:hAnsi="黑体" w:eastAsia="黑体" w:cs="黑体"/>
          <w:color w:val="auto"/>
          <w:kern w:val="2"/>
          <w:sz w:val="21"/>
          <w:szCs w:val="24"/>
          <w:lang w:val="zh-CN"/>
        </w:rPr>
        <w:id w:val="856542969"/>
      </w:sdtPr>
      <w:sdtEndPr>
        <w:rPr>
          <w:rFonts w:hint="eastAsia" w:ascii="宋体" w:hAnsi="宋体" w:eastAsia="宋体" w:cs="宋体"/>
          <w:b/>
          <w:bCs/>
          <w:color w:val="auto"/>
          <w:kern w:val="2"/>
          <w:sz w:val="21"/>
          <w:szCs w:val="24"/>
          <w:lang w:val="zh-CN"/>
        </w:rPr>
      </w:sdtEndPr>
      <w:sdtContent>
        <w:p>
          <w:pPr>
            <w:pStyle w:val="39"/>
            <w:spacing w:before="0" w:line="560" w:lineRule="exact"/>
            <w:jc w:val="center"/>
            <w:rPr>
              <w:rFonts w:ascii="黑体" w:hAnsi="黑体" w:eastAsia="黑体" w:cs="黑体"/>
              <w:color w:val="auto"/>
              <w:lang w:val="zh-CN"/>
            </w:rPr>
          </w:pPr>
          <w:r>
            <w:rPr>
              <w:rFonts w:hint="eastAsia" w:ascii="黑体" w:hAnsi="黑体" w:eastAsia="黑体" w:cs="黑体"/>
              <w:color w:val="auto"/>
              <w:lang w:val="zh-CN"/>
            </w:rPr>
            <w:t>目录</w:t>
          </w:r>
        </w:p>
        <w:sdt>
          <w:sdtPr>
            <w:rPr>
              <w:rFonts w:ascii="Calibri" w:hAnsi="Calibri" w:eastAsia="宋体" w:cs="Times New Roman"/>
              <w:color w:val="auto"/>
              <w:kern w:val="2"/>
              <w:sz w:val="21"/>
              <w:szCs w:val="24"/>
              <w:lang w:val="zh-CN"/>
            </w:rPr>
            <w:id w:val="685489129"/>
          </w:sdtPr>
          <w:sdtEndPr>
            <w:rPr>
              <w:rFonts w:hint="eastAsia" w:ascii="仿宋_GB2312" w:hAnsi="Calibri" w:eastAsia="仿宋_GB2312" w:cs="Times New Roman"/>
              <w:b/>
              <w:bCs/>
              <w:color w:val="auto"/>
              <w:kern w:val="2"/>
              <w:sz w:val="32"/>
              <w:szCs w:val="32"/>
              <w:lang w:val="zh-CN"/>
            </w:rPr>
          </w:sdtEndPr>
          <w:sdtContent>
            <w:p>
              <w:pPr>
                <w:pStyle w:val="53"/>
              </w:pPr>
            </w:p>
            <w:p>
              <w:pPr>
                <w:pStyle w:val="15"/>
                <w:tabs>
                  <w:tab w:val="right" w:leader="dot" w:pos="8835"/>
                </w:tabs>
                <w:rPr>
                  <w:rFonts w:ascii="仿宋_GB2312" w:eastAsia="仿宋_GB2312" w:hAnsiTheme="minorHAnsi" w:cstheme="minorBidi"/>
                  <w:b/>
                  <w:sz w:val="32"/>
                  <w:szCs w:val="32"/>
                </w:rPr>
              </w:pPr>
              <w:r>
                <w:rPr>
                  <w:rFonts w:hint="eastAsia" w:ascii="仿宋_GB2312" w:eastAsia="仿宋_GB2312"/>
                  <w:sz w:val="32"/>
                  <w:szCs w:val="32"/>
                </w:rPr>
                <w:fldChar w:fldCharType="begin"/>
              </w:r>
              <w:r>
                <w:rPr>
                  <w:rFonts w:hint="eastAsia" w:ascii="仿宋_GB2312" w:eastAsia="仿宋_GB2312"/>
                  <w:sz w:val="32"/>
                  <w:szCs w:val="32"/>
                </w:rPr>
                <w:instrText xml:space="preserve"> TOC \o "1-3" \h \z \u </w:instrText>
              </w:r>
              <w:r>
                <w:rPr>
                  <w:rFonts w:hint="eastAsia" w:ascii="仿宋_GB2312" w:eastAsia="仿宋_GB2312"/>
                  <w:sz w:val="32"/>
                  <w:szCs w:val="32"/>
                </w:rPr>
                <w:fldChar w:fldCharType="separate"/>
              </w:r>
              <w:r>
                <w:fldChar w:fldCharType="begin"/>
              </w:r>
              <w:r>
                <w:instrText xml:space="preserve"> HYPERLINK \l "_Toc229555760" </w:instrText>
              </w:r>
              <w:r>
                <w:fldChar w:fldCharType="separate"/>
              </w:r>
              <w:r>
                <w:rPr>
                  <w:rStyle w:val="25"/>
                  <w:rFonts w:hint="eastAsia" w:ascii="仿宋_GB2312" w:hAnsi="华文中宋" w:eastAsia="仿宋_GB2312" w:cs="方正小标宋_GBK"/>
                  <w:b/>
                  <w:bCs/>
                  <w:sz w:val="32"/>
                  <w:szCs w:val="32"/>
                </w:rPr>
                <w:t xml:space="preserve">第一章 </w:t>
              </w:r>
              <w:r>
                <w:rPr>
                  <w:rStyle w:val="25"/>
                  <w:rFonts w:hint="eastAsia" w:ascii="仿宋_GB2312" w:hAnsi="华文中宋" w:eastAsia="仿宋_GB2312" w:cs="宋体"/>
                  <w:b/>
                  <w:bCs/>
                  <w:sz w:val="32"/>
                  <w:szCs w:val="32"/>
                </w:rPr>
                <w:t>“十四五”回顾和“十五五”展望</w:t>
              </w:r>
              <w:r>
                <w:rPr>
                  <w:rFonts w:hint="eastAsia" w:ascii="仿宋_GB2312" w:eastAsia="仿宋_GB2312"/>
                  <w:b/>
                  <w:sz w:val="32"/>
                  <w:szCs w:val="32"/>
                </w:rPr>
                <w:tab/>
              </w:r>
              <w:r>
                <w:rPr>
                  <w:rFonts w:hint="eastAsia" w:ascii="仿宋_GB2312" w:eastAsia="仿宋_GB2312"/>
                  <w:b/>
                  <w:sz w:val="32"/>
                  <w:szCs w:val="32"/>
                </w:rPr>
                <w:fldChar w:fldCharType="end"/>
              </w:r>
              <w:r>
                <w:rPr>
                  <w:rFonts w:hint="eastAsia" w:ascii="仿宋_GB2312" w:eastAsia="仿宋_GB2312"/>
                  <w:b/>
                  <w:sz w:val="32"/>
                  <w:szCs w:val="32"/>
                  <w:lang w:val="en-US" w:eastAsia="zh-CN"/>
                </w:rPr>
                <w:t>7</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"_Toc229555761" </w:instrText>
              </w:r>
              <w:r>
                <w:fldChar w:fldCharType="separate"/>
              </w:r>
              <w:r>
                <w:rPr>
                  <w:rStyle w:val="25"/>
                  <w:rFonts w:hint="eastAsia" w:ascii="仿宋_GB2312" w:hAnsi="黑体" w:eastAsia="仿宋_GB2312" w:cs="黑体"/>
                  <w:sz w:val="32"/>
                  <w:szCs w:val="32"/>
                </w:rPr>
                <w:t>第一节 “十四五”发展基础与经验总结</w:t>
              </w:r>
              <w:r>
                <w:rPr>
                  <w:rFonts w:hint="eastAsia" w:ascii="仿宋_GB2312" w:eastAsia="仿宋_GB2312"/>
                  <w:sz w:val="32"/>
                  <w:szCs w:val="32"/>
                </w:rPr>
                <w:tab/>
              </w:r>
              <w:r>
                <w:rPr>
                  <w:rFonts w:hint="eastAsia" w:ascii="仿宋_GB2312" w:eastAsia="仿宋_GB2312"/>
                  <w:sz w:val="32"/>
                  <w:szCs w:val="32"/>
                </w:rPr>
                <w:fldChar w:fldCharType="end"/>
              </w:r>
              <w:r>
                <w:rPr>
                  <w:rFonts w:hint="eastAsia" w:ascii="仿宋_GB2312" w:eastAsia="仿宋_GB2312"/>
                  <w:sz w:val="32"/>
                  <w:szCs w:val="32"/>
                  <w:lang w:val="en-US" w:eastAsia="zh-CN"/>
                </w:rPr>
                <w:t>7</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"_Toc229555762" </w:instrText>
              </w:r>
              <w:r>
                <w:fldChar w:fldCharType="separate"/>
              </w:r>
              <w:r>
                <w:rPr>
                  <w:rStyle w:val="25"/>
                  <w:rFonts w:hint="eastAsia" w:ascii="仿宋_GB2312" w:hAnsi="黑体" w:eastAsia="仿宋_GB2312" w:cs="黑体"/>
                  <w:sz w:val="32"/>
                  <w:szCs w:val="32"/>
                </w:rPr>
                <w:t>第二节 “十五五”面临的新机遇和新挑战</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_Toc229555762 \h </w:instrText>
              </w:r>
              <w:r>
                <w:rPr>
                  <w:rFonts w:hint="eastAsia" w:ascii="仿宋_GB2312" w:eastAsia="仿宋_GB2312"/>
                  <w:sz w:val="32"/>
                  <w:szCs w:val="32"/>
                </w:rPr>
                <w:fldChar w:fldCharType="separate"/>
              </w:r>
              <w:r>
                <w:rPr>
                  <w:rFonts w:ascii="仿宋_GB2312" w:eastAsia="仿宋_GB2312"/>
                  <w:sz w:val="32"/>
                  <w:szCs w:val="32"/>
                </w:rPr>
                <w:t>1</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2</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"_Toc229555763" </w:instrText>
              </w:r>
              <w:r>
                <w:fldChar w:fldCharType="separate"/>
              </w:r>
              <w:r>
                <w:rPr>
                  <w:rStyle w:val="25"/>
                  <w:rFonts w:hint="eastAsia" w:ascii="仿宋_GB2312" w:hAnsi="黑体" w:eastAsia="仿宋_GB2312" w:cs="黑体"/>
                  <w:sz w:val="32"/>
                  <w:szCs w:val="32"/>
                </w:rPr>
                <w:t>第三节 指导思想</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_Toc229555763 \h </w:instrText>
              </w:r>
              <w:r>
                <w:rPr>
                  <w:rFonts w:hint="eastAsia" w:ascii="仿宋_GB2312" w:eastAsia="仿宋_GB2312"/>
                  <w:sz w:val="32"/>
                  <w:szCs w:val="32"/>
                </w:rPr>
                <w:fldChar w:fldCharType="separate"/>
              </w:r>
              <w:r>
                <w:rPr>
                  <w:rFonts w:ascii="仿宋_GB2312" w:eastAsia="仿宋_GB2312"/>
                  <w:sz w:val="32"/>
                  <w:szCs w:val="32"/>
                </w:rPr>
                <w:t>1</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3</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"_Toc229555764" </w:instrText>
              </w:r>
              <w:r>
                <w:fldChar w:fldCharType="separate"/>
              </w:r>
              <w:r>
                <w:rPr>
                  <w:rStyle w:val="25"/>
                  <w:rFonts w:hint="eastAsia" w:ascii="仿宋_GB2312" w:hAnsi="黑体" w:eastAsia="仿宋_GB2312" w:cs="黑体"/>
                  <w:sz w:val="32"/>
                  <w:szCs w:val="32"/>
                </w:rPr>
                <w:t>第四节 基本原则</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_Toc229555764 \h </w:instrText>
              </w:r>
              <w:r>
                <w:rPr>
                  <w:rFonts w:hint="eastAsia" w:ascii="仿宋_GB2312" w:eastAsia="仿宋_GB2312"/>
                  <w:sz w:val="32"/>
                  <w:szCs w:val="32"/>
                </w:rPr>
                <w:fldChar w:fldCharType="separate"/>
              </w:r>
              <w:r>
                <w:rPr>
                  <w:rFonts w:ascii="仿宋_GB2312" w:eastAsia="仿宋_GB2312"/>
                  <w:sz w:val="32"/>
                  <w:szCs w:val="32"/>
                </w:rPr>
                <w:t>1</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4</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"_Toc229555765" </w:instrText>
              </w:r>
              <w:r>
                <w:fldChar w:fldCharType="separate"/>
              </w:r>
              <w:r>
                <w:rPr>
                  <w:rStyle w:val="25"/>
                  <w:rFonts w:hint="eastAsia" w:ascii="仿宋_GB2312" w:hAnsi="黑体" w:eastAsia="仿宋_GB2312" w:cs="黑体"/>
                  <w:sz w:val="32"/>
                  <w:szCs w:val="32"/>
                </w:rPr>
                <w:t>第五节 发展目标</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_Toc229555765 \h </w:instrText>
              </w:r>
              <w:r>
                <w:rPr>
                  <w:rFonts w:hint="eastAsia" w:ascii="仿宋_GB2312" w:eastAsia="仿宋_GB2312"/>
                  <w:sz w:val="32"/>
                  <w:szCs w:val="32"/>
                </w:rPr>
                <w:fldChar w:fldCharType="separate"/>
              </w:r>
              <w:r>
                <w:rPr>
                  <w:rFonts w:ascii="仿宋_GB2312" w:eastAsia="仿宋_GB2312"/>
                  <w:sz w:val="32"/>
                  <w:szCs w:val="32"/>
                </w:rPr>
                <w:t>1</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5</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"_Toc229555766" </w:instrText>
              </w:r>
              <w:r>
                <w:fldChar w:fldCharType="separate"/>
              </w:r>
              <w:r>
                <w:rPr>
                  <w:rStyle w:val="25"/>
                  <w:rFonts w:hint="eastAsia" w:ascii="仿宋_GB2312" w:hAnsi="华文中宋" w:eastAsia="仿宋_GB2312" w:cs="宋体"/>
                  <w:b/>
                  <w:bCs/>
                  <w:spacing w:val="-5"/>
                  <w:sz w:val="32"/>
                  <w:szCs w:val="32"/>
                </w:rPr>
                <w:t>第二章 加快建设国际旅游消费中心核心引领区</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_Toc229555766 \h </w:instrText>
              </w:r>
              <w:r>
                <w:rPr>
                  <w:rFonts w:hint="eastAsia" w:ascii="仿宋_GB2312" w:eastAsia="仿宋_GB2312"/>
                  <w:b/>
                  <w:sz w:val="32"/>
                  <w:szCs w:val="32"/>
                </w:rPr>
                <w:fldChar w:fldCharType="separate"/>
              </w:r>
              <w:r>
                <w:rPr>
                  <w:rFonts w:ascii="仿宋_GB2312" w:eastAsia="仿宋_GB2312"/>
                  <w:b/>
                  <w:sz w:val="32"/>
                  <w:szCs w:val="32"/>
                </w:rPr>
                <w:t>1</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9</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"_Toc229555767" </w:instrText>
              </w:r>
              <w:r>
                <w:fldChar w:fldCharType="separate"/>
              </w:r>
              <w:r>
                <w:rPr>
                  <w:rStyle w:val="25"/>
                  <w:rFonts w:hint="eastAsia" w:ascii="仿宋_GB2312" w:hAnsi="黑体" w:eastAsia="仿宋_GB2312" w:cs="黑体"/>
                  <w:sz w:val="32"/>
                  <w:szCs w:val="32"/>
                </w:rPr>
                <w:t>第一节 打造自贸港旅游消费政策创新实践区</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_Toc229555767 \h </w:instrText>
              </w:r>
              <w:r>
                <w:rPr>
                  <w:rFonts w:hint="eastAsia" w:ascii="仿宋_GB2312" w:eastAsia="仿宋_GB2312"/>
                  <w:sz w:val="32"/>
                  <w:szCs w:val="32"/>
                </w:rPr>
                <w:fldChar w:fldCharType="separate"/>
              </w:r>
              <w:r>
                <w:rPr>
                  <w:rFonts w:ascii="仿宋_GB2312" w:eastAsia="仿宋_GB2312"/>
                  <w:sz w:val="32"/>
                  <w:szCs w:val="32"/>
                </w:rPr>
                <w:t>1</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9</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"_Toc229555768" </w:instrText>
              </w:r>
              <w:r>
                <w:fldChar w:fldCharType="separate"/>
              </w:r>
              <w:r>
                <w:rPr>
                  <w:rStyle w:val="25"/>
                  <w:rFonts w:hint="eastAsia" w:ascii="仿宋_GB2312" w:hAnsi="黑体" w:eastAsia="仿宋_GB2312" w:cs="黑体"/>
                  <w:sz w:val="32"/>
                  <w:szCs w:val="32"/>
                </w:rPr>
                <w:t>第二节 构建“一带多核”多元融合旅游消费生态体系</w:t>
              </w:r>
              <w:r>
                <w:rPr>
                  <w:rFonts w:hint="eastAsia" w:ascii="仿宋_GB2312" w:eastAsia="仿宋_GB2312"/>
                  <w:sz w:val="32"/>
                  <w:szCs w:val="32"/>
                </w:rPr>
                <w:tab/>
              </w:r>
              <w:r>
                <w:rPr>
                  <w:rFonts w:hint="eastAsia" w:ascii="仿宋_GB2312" w:eastAsia="仿宋_GB2312"/>
                  <w:sz w:val="32"/>
                  <w:szCs w:val="32"/>
                </w:rPr>
                <w:fldChar w:fldCharType="end"/>
              </w:r>
              <w:r>
                <w:rPr>
                  <w:rFonts w:hint="eastAsia" w:ascii="仿宋_GB2312" w:eastAsia="仿宋_GB2312"/>
                  <w:sz w:val="32"/>
                  <w:szCs w:val="32"/>
                  <w:lang w:val="en-US" w:eastAsia="zh-CN"/>
                </w:rPr>
                <w:t>20</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"_Toc229555769" </w:instrText>
              </w:r>
              <w:r>
                <w:fldChar w:fldCharType="separate"/>
              </w:r>
              <w:r>
                <w:rPr>
                  <w:rStyle w:val="25"/>
                  <w:rFonts w:hint="eastAsia" w:ascii="仿宋_GB2312" w:hAnsi="黑体" w:eastAsia="仿宋_GB2312" w:cs="黑体"/>
                  <w:sz w:val="32"/>
                  <w:szCs w:val="32"/>
                </w:rPr>
                <w:t>第三节 旅游业态提质升级</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_Toc229555769 \h </w:instrText>
              </w:r>
              <w:r>
                <w:rPr>
                  <w:rFonts w:hint="eastAsia" w:ascii="仿宋_GB2312" w:eastAsia="仿宋_GB2312"/>
                  <w:sz w:val="32"/>
                  <w:szCs w:val="32"/>
                </w:rPr>
                <w:fldChar w:fldCharType="separate"/>
              </w:r>
              <w:r>
                <w:rPr>
                  <w:rFonts w:ascii="仿宋_GB2312" w:eastAsia="仿宋_GB2312"/>
                  <w:sz w:val="32"/>
                  <w:szCs w:val="32"/>
                </w:rPr>
                <w:t>2</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2</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"_Toc229555770" </w:instrText>
              </w:r>
              <w:r>
                <w:fldChar w:fldCharType="separate"/>
              </w:r>
              <w:r>
                <w:rPr>
                  <w:rStyle w:val="25"/>
                  <w:rFonts w:hint="eastAsia" w:ascii="仿宋_GB2312" w:hAnsi="黑体" w:eastAsia="仿宋_GB2312" w:cs="黑体"/>
                  <w:sz w:val="32"/>
                  <w:szCs w:val="32"/>
                </w:rPr>
                <w:t>第四节 扩大有效需求挖掘消费潜力</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_Toc229555770 \h </w:instrText>
              </w:r>
              <w:r>
                <w:rPr>
                  <w:rFonts w:hint="eastAsia" w:ascii="仿宋_GB2312" w:eastAsia="仿宋_GB2312"/>
                  <w:sz w:val="32"/>
                  <w:szCs w:val="32"/>
                </w:rPr>
                <w:fldChar w:fldCharType="separate"/>
              </w:r>
              <w:r>
                <w:rPr>
                  <w:rFonts w:ascii="仿宋_GB2312" w:eastAsia="仿宋_GB2312"/>
                  <w:sz w:val="32"/>
                  <w:szCs w:val="32"/>
                </w:rPr>
                <w:t>2</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5</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"_Toc229555771" </w:instrText>
              </w:r>
              <w:r>
                <w:fldChar w:fldCharType="separate"/>
              </w:r>
              <w:r>
                <w:rPr>
                  <w:rStyle w:val="25"/>
                  <w:rFonts w:hint="eastAsia" w:ascii="仿宋_GB2312" w:hAnsi="黑体" w:eastAsia="仿宋_GB2312" w:cs="黑体"/>
                  <w:sz w:val="32"/>
                  <w:szCs w:val="32"/>
                </w:rPr>
                <w:t>第五节 建设国际化便利化旅游消费服务环境</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_Toc229555771 \h </w:instrText>
              </w:r>
              <w:r>
                <w:rPr>
                  <w:rFonts w:hint="eastAsia" w:ascii="仿宋_GB2312" w:eastAsia="仿宋_GB2312"/>
                  <w:sz w:val="32"/>
                  <w:szCs w:val="32"/>
                </w:rPr>
                <w:fldChar w:fldCharType="separate"/>
              </w:r>
              <w:r>
                <w:rPr>
                  <w:rFonts w:ascii="仿宋_GB2312" w:eastAsia="仿宋_GB2312"/>
                  <w:sz w:val="32"/>
                  <w:szCs w:val="32"/>
                </w:rPr>
                <w:t>2</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8</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"_Toc229555772" </w:instrText>
              </w:r>
              <w:r>
                <w:fldChar w:fldCharType="separate"/>
              </w:r>
              <w:r>
                <w:rPr>
                  <w:rStyle w:val="25"/>
                  <w:rFonts w:hint="eastAsia" w:ascii="仿宋_GB2312" w:hAnsi="华文中宋" w:eastAsia="仿宋_GB2312" w:cs="方正小标宋_GBK"/>
                  <w:b/>
                  <w:bCs/>
                  <w:sz w:val="32"/>
                  <w:szCs w:val="32"/>
                </w:rPr>
                <w:t>第</w:t>
              </w:r>
              <w:r>
                <w:rPr>
                  <w:rStyle w:val="25"/>
                  <w:rFonts w:hint="eastAsia" w:ascii="仿宋_GB2312" w:hAnsi="华文中宋" w:eastAsia="仿宋_GB2312" w:cs="宋体"/>
                  <w:b/>
                  <w:bCs/>
                  <w:sz w:val="32"/>
                  <w:szCs w:val="32"/>
                </w:rPr>
                <w:t>三</w:t>
              </w:r>
              <w:r>
                <w:rPr>
                  <w:rStyle w:val="25"/>
                  <w:rFonts w:hint="eastAsia" w:ascii="仿宋_GB2312" w:hAnsi="华文中宋" w:eastAsia="仿宋_GB2312" w:cs="方正小标宋_GBK"/>
                  <w:b/>
                  <w:bCs/>
                  <w:sz w:val="32"/>
                  <w:szCs w:val="32"/>
                </w:rPr>
                <w:t>章 构建具有海棠特色的现代化产业体系</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_Toc229555772 \h </w:instrText>
              </w:r>
              <w:r>
                <w:rPr>
                  <w:rFonts w:hint="eastAsia" w:ascii="仿宋_GB2312" w:eastAsia="仿宋_GB2312"/>
                  <w:b/>
                  <w:sz w:val="32"/>
                  <w:szCs w:val="32"/>
                </w:rPr>
                <w:fldChar w:fldCharType="separate"/>
              </w:r>
              <w:r>
                <w:rPr>
                  <w:rFonts w:ascii="仿宋_GB2312" w:eastAsia="仿宋_GB2312"/>
                  <w:b/>
                  <w:sz w:val="32"/>
                  <w:szCs w:val="32"/>
                </w:rPr>
                <w:t>3</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1</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"_Toc229555773" </w:instrText>
              </w:r>
              <w:r>
                <w:fldChar w:fldCharType="separate"/>
              </w:r>
              <w:r>
                <w:rPr>
                  <w:rStyle w:val="25"/>
                  <w:rFonts w:hint="eastAsia" w:ascii="仿宋_GB2312" w:hAnsi="黑体" w:eastAsia="仿宋_GB2312" w:cs="黑体"/>
                  <w:sz w:val="32"/>
                  <w:szCs w:val="32"/>
                </w:rPr>
                <w:t>第一节 做优热带特色高效农业</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_Toc229555773 \h </w:instrText>
              </w:r>
              <w:r>
                <w:rPr>
                  <w:rFonts w:hint="eastAsia" w:ascii="仿宋_GB2312" w:eastAsia="仿宋_GB2312"/>
                  <w:sz w:val="32"/>
                  <w:szCs w:val="32"/>
                </w:rPr>
                <w:fldChar w:fldCharType="separate"/>
              </w:r>
              <w:r>
                <w:rPr>
                  <w:rFonts w:ascii="仿宋_GB2312" w:eastAsia="仿宋_GB2312"/>
                  <w:sz w:val="32"/>
                  <w:szCs w:val="32"/>
                </w:rPr>
                <w:t>3</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1</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"_Toc229555774" </w:instrText>
              </w:r>
              <w:r>
                <w:fldChar w:fldCharType="separate"/>
              </w:r>
              <w:r>
                <w:rPr>
                  <w:rStyle w:val="25"/>
                  <w:rFonts w:hint="eastAsia" w:ascii="仿宋_GB2312" w:hAnsi="黑体" w:eastAsia="仿宋_GB2312" w:cs="黑体"/>
                  <w:sz w:val="32"/>
                  <w:szCs w:val="32"/>
                </w:rPr>
                <w:t>第二节 持续发展医疗康养产业</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_Toc229555774 \h </w:instrText>
              </w:r>
              <w:r>
                <w:rPr>
                  <w:rFonts w:hint="eastAsia" w:ascii="仿宋_GB2312" w:eastAsia="仿宋_GB2312"/>
                  <w:sz w:val="32"/>
                  <w:szCs w:val="32"/>
                </w:rPr>
                <w:fldChar w:fldCharType="separate"/>
              </w:r>
              <w:r>
                <w:rPr>
                  <w:rFonts w:ascii="仿宋_GB2312" w:eastAsia="仿宋_GB2312"/>
                  <w:sz w:val="32"/>
                  <w:szCs w:val="32"/>
                </w:rPr>
                <w:t>3</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3</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"_Toc229555775" </w:instrText>
              </w:r>
              <w:r>
                <w:fldChar w:fldCharType="separate"/>
              </w:r>
              <w:r>
                <w:rPr>
                  <w:rStyle w:val="25"/>
                  <w:rFonts w:hint="eastAsia" w:ascii="仿宋_GB2312" w:hAnsi="黑体" w:eastAsia="仿宋_GB2312" w:cs="黑体"/>
                  <w:sz w:val="32"/>
                  <w:szCs w:val="32"/>
                </w:rPr>
                <w:t>第三节 发展壮大会议会展产业</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_Toc229555775 \h </w:instrText>
              </w:r>
              <w:r>
                <w:rPr>
                  <w:rFonts w:hint="eastAsia" w:ascii="仿宋_GB2312" w:eastAsia="仿宋_GB2312"/>
                  <w:sz w:val="32"/>
                  <w:szCs w:val="32"/>
                </w:rPr>
                <w:fldChar w:fldCharType="separate"/>
              </w:r>
              <w:r>
                <w:rPr>
                  <w:rFonts w:ascii="仿宋_GB2312" w:eastAsia="仿宋_GB2312"/>
                  <w:sz w:val="32"/>
                  <w:szCs w:val="32"/>
                </w:rPr>
                <w:t>3</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6</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"_Toc229555776" </w:instrText>
              </w:r>
              <w:r>
                <w:fldChar w:fldCharType="separate"/>
              </w:r>
              <w:r>
                <w:rPr>
                  <w:rStyle w:val="25"/>
                  <w:rFonts w:hint="eastAsia" w:ascii="仿宋_GB2312" w:hAnsi="黑体" w:eastAsia="仿宋_GB2312" w:cs="黑体"/>
                  <w:sz w:val="32"/>
                  <w:szCs w:val="32"/>
                </w:rPr>
                <w:t>第四节 培育海棠特色新兴产业</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_Toc229555776 \h </w:instrText>
              </w:r>
              <w:r>
                <w:rPr>
                  <w:rFonts w:hint="eastAsia" w:ascii="仿宋_GB2312" w:eastAsia="仿宋_GB2312"/>
                  <w:sz w:val="32"/>
                  <w:szCs w:val="32"/>
                </w:rPr>
                <w:fldChar w:fldCharType="separate"/>
              </w:r>
              <w:r>
                <w:rPr>
                  <w:rFonts w:ascii="仿宋_GB2312" w:eastAsia="仿宋_GB2312"/>
                  <w:sz w:val="32"/>
                  <w:szCs w:val="32"/>
                </w:rPr>
                <w:t>3</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7</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"_Toc229555777" </w:instrText>
              </w:r>
              <w:r>
                <w:fldChar w:fldCharType="separate"/>
              </w:r>
              <w:r>
                <w:rPr>
                  <w:rStyle w:val="25"/>
                  <w:rFonts w:hint="eastAsia" w:ascii="仿宋_GB2312" w:hAnsi="华文中宋" w:eastAsia="仿宋_GB2312" w:cs="___WRD_EMBED_SUB_45"/>
                  <w:b/>
                  <w:bCs/>
                  <w:sz w:val="32"/>
                  <w:szCs w:val="32"/>
                </w:rPr>
                <w:t>第四章 大力提升城市功能品质</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_Toc229555777 \h </w:instrText>
              </w:r>
              <w:r>
                <w:rPr>
                  <w:rFonts w:hint="eastAsia" w:ascii="仿宋_GB2312" w:eastAsia="仿宋_GB2312"/>
                  <w:b/>
                  <w:sz w:val="32"/>
                  <w:szCs w:val="32"/>
                </w:rPr>
                <w:fldChar w:fldCharType="separate"/>
              </w:r>
              <w:r>
                <w:rPr>
                  <w:rFonts w:ascii="仿宋_GB2312" w:eastAsia="仿宋_GB2312"/>
                  <w:b/>
                  <w:sz w:val="32"/>
                  <w:szCs w:val="32"/>
                </w:rPr>
                <w:t>4</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2</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"_Toc229555778" </w:instrText>
              </w:r>
              <w:r>
                <w:fldChar w:fldCharType="separate"/>
              </w:r>
              <w:r>
                <w:rPr>
                  <w:rStyle w:val="25"/>
                  <w:rFonts w:hint="eastAsia" w:ascii="仿宋_GB2312" w:hAnsi="黑体" w:eastAsia="仿宋_GB2312" w:cs="黑体"/>
                  <w:sz w:val="32"/>
                  <w:szCs w:val="32"/>
                </w:rPr>
                <w:t>第一节 加快构建高效畅达的城市交通网络</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_Toc229555778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2</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"_Toc229555779" </w:instrText>
              </w:r>
              <w:r>
                <w:fldChar w:fldCharType="separate"/>
              </w:r>
              <w:r>
                <w:rPr>
                  <w:rStyle w:val="25"/>
                  <w:rFonts w:hint="eastAsia" w:ascii="仿宋_GB2312" w:hAnsi="黑体" w:eastAsia="仿宋_GB2312" w:cs="黑体"/>
                  <w:sz w:val="32"/>
                  <w:szCs w:val="32"/>
                </w:rPr>
                <w:t>第二节 持续推进城市更新行动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_Toc229555779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2</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"_Toc229555780" </w:instrText>
              </w:r>
              <w:r>
                <w:fldChar w:fldCharType="separate"/>
              </w:r>
              <w:r>
                <w:rPr>
                  <w:rStyle w:val="25"/>
                  <w:rFonts w:hint="eastAsia" w:ascii="仿宋_GB2312" w:hAnsi="黑体" w:eastAsia="仿宋_GB2312" w:cs="黑体"/>
                  <w:sz w:val="32"/>
                  <w:szCs w:val="32"/>
                </w:rPr>
                <w:t>第三节 加强城市新型基础设施建设</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_Toc229555780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3</w:t>
              </w:r>
            </w:p>
            <w:p>
              <w:pPr>
                <w:pStyle w:val="16"/>
                <w:tabs>
                  <w:tab w:val="right" w:leader="dot" w:pos="8835"/>
                </w:tabs>
                <w:rPr>
                  <w:rFonts w:ascii="仿宋_GB2312" w:eastAsia="仿宋_GB2312" w:hAnsiTheme="minorHAnsi" w:cstheme="minorBidi"/>
                  <w:sz w:val="32"/>
                  <w:szCs w:val="32"/>
                </w:rPr>
              </w:pPr>
              <w:r>
                <w:rPr>
                  <w:rFonts w:hint="eastAsia"/>
                </w:rPr>
                <w:fldChar w:fldCharType="begin"/>
              </w:r>
              <w:r>
                <w:instrText xml:space="preserve"> HYPERLINK \l "_Toc229555781" </w:instrText>
              </w:r>
              <w:r>
                <w:rPr>
                  <w:rFonts w:hint="eastAsia"/>
                </w:rPr>
                <w:fldChar w:fldCharType="separate"/>
              </w:r>
              <w:r>
                <w:rPr>
                  <w:rStyle w:val="25"/>
                  <w:rFonts w:hint="eastAsia" w:ascii="仿宋_GB2312" w:hAnsi="黑体" w:eastAsia="仿宋_GB2312" w:cs="黑体"/>
                  <w:sz w:val="32"/>
                  <w:szCs w:val="32"/>
                </w:rPr>
                <w:t>第四节全面提升城市生态品质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_Toc229555781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4</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"_Toc229555782" </w:instrText>
              </w:r>
              <w:r>
                <w:fldChar w:fldCharType="separate"/>
              </w:r>
              <w:r>
                <w:rPr>
                  <w:rStyle w:val="25"/>
                  <w:rFonts w:hint="eastAsia" w:ascii="仿宋_GB2312" w:hAnsi="华文中宋" w:eastAsia="仿宋_GB2312" w:cs="___WRD_EMBED_SUB_45"/>
                  <w:b/>
                  <w:bCs/>
                  <w:sz w:val="32"/>
                  <w:szCs w:val="32"/>
                </w:rPr>
                <w:t>第五章 扎实推进乡村全面振兴</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_Toc229555782 \h </w:instrText>
              </w:r>
              <w:r>
                <w:rPr>
                  <w:rFonts w:hint="eastAsia" w:ascii="仿宋_GB2312" w:eastAsia="仿宋_GB2312"/>
                  <w:b/>
                  <w:sz w:val="32"/>
                  <w:szCs w:val="32"/>
                </w:rPr>
                <w:fldChar w:fldCharType="separate"/>
              </w:r>
              <w:r>
                <w:rPr>
                  <w:rFonts w:ascii="仿宋_GB2312" w:eastAsia="仿宋_GB2312"/>
                  <w:b/>
                  <w:sz w:val="32"/>
                  <w:szCs w:val="32"/>
                </w:rPr>
                <w:t>4</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6</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"_Toc229555783" </w:instrText>
              </w:r>
              <w:r>
                <w:fldChar w:fldCharType="separate"/>
              </w:r>
              <w:r>
                <w:rPr>
                  <w:rStyle w:val="25"/>
                  <w:rFonts w:hint="eastAsia" w:ascii="仿宋_GB2312" w:hAnsi="黑体" w:eastAsia="仿宋_GB2312" w:cs="黑体"/>
                  <w:sz w:val="32"/>
                  <w:szCs w:val="32"/>
                </w:rPr>
                <w:t>第一节 加强农产品供给与质量安全保障</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_Toc229555783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6</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"_Toc229555784" </w:instrText>
              </w:r>
              <w:r>
                <w:fldChar w:fldCharType="separate"/>
              </w:r>
              <w:r>
                <w:rPr>
                  <w:rStyle w:val="25"/>
                  <w:rFonts w:hint="eastAsia" w:ascii="仿宋_GB2312" w:hAnsi="黑体" w:eastAsia="仿宋_GB2312" w:cs="黑体"/>
                  <w:sz w:val="32"/>
                  <w:szCs w:val="32"/>
                </w:rPr>
                <w:t>第二节 绘就宜居宜业和美画卷</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_Toc229555784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7</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"_Toc229555785" </w:instrText>
              </w:r>
              <w:r>
                <w:fldChar w:fldCharType="separate"/>
              </w:r>
              <w:r>
                <w:rPr>
                  <w:rStyle w:val="25"/>
                  <w:rFonts w:hint="eastAsia" w:ascii="仿宋_GB2312" w:hAnsi="黑体" w:eastAsia="仿宋_GB2312" w:cs="黑体"/>
                  <w:sz w:val="32"/>
                  <w:szCs w:val="32"/>
                </w:rPr>
                <w:t>第三节 激活乡村发展内生动力</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_Toc229555785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8</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"_Toc229555786" </w:instrText>
              </w:r>
              <w:r>
                <w:fldChar w:fldCharType="separate"/>
              </w:r>
              <w:r>
                <w:rPr>
                  <w:rStyle w:val="25"/>
                  <w:rFonts w:hint="eastAsia" w:ascii="仿宋_GB2312" w:hAnsi="华文中宋" w:eastAsia="仿宋_GB2312" w:cs="___WRD_EMBED_SUB_45"/>
                  <w:b/>
                  <w:bCs/>
                  <w:sz w:val="32"/>
                  <w:szCs w:val="32"/>
                </w:rPr>
                <w:t>第六章 聚力统筹区域协调发展</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_Toc229555786 \h </w:instrText>
              </w:r>
              <w:r>
                <w:rPr>
                  <w:rFonts w:hint="eastAsia" w:ascii="仿宋_GB2312" w:eastAsia="仿宋_GB2312"/>
                  <w:b/>
                  <w:sz w:val="32"/>
                  <w:szCs w:val="32"/>
                </w:rPr>
                <w:fldChar w:fldCharType="separate"/>
              </w:r>
              <w:r>
                <w:rPr>
                  <w:rFonts w:ascii="仿宋_GB2312" w:eastAsia="仿宋_GB2312"/>
                  <w:b/>
                  <w:sz w:val="32"/>
                  <w:szCs w:val="32"/>
                </w:rPr>
                <w:t>4</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9</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"_Toc229555787" </w:instrText>
              </w:r>
              <w:r>
                <w:fldChar w:fldCharType="separate"/>
              </w:r>
              <w:r>
                <w:rPr>
                  <w:rStyle w:val="25"/>
                  <w:rFonts w:hint="eastAsia" w:ascii="仿宋_GB2312" w:hAnsi="黑体" w:eastAsia="仿宋_GB2312" w:cs="黑体"/>
                  <w:sz w:val="32"/>
                  <w:szCs w:val="32"/>
                </w:rPr>
                <w:t>第一节 优化城镇空间布局</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_Toc229555787 \h </w:instrText>
              </w:r>
              <w:r>
                <w:rPr>
                  <w:rFonts w:hint="eastAsia" w:ascii="仿宋_GB2312" w:eastAsia="仿宋_GB2312"/>
                  <w:sz w:val="32"/>
                  <w:szCs w:val="32"/>
                </w:rPr>
                <w:fldChar w:fldCharType="separate"/>
              </w:r>
              <w:r>
                <w:rPr>
                  <w:rFonts w:ascii="仿宋_GB2312" w:eastAsia="仿宋_GB2312"/>
                  <w:sz w:val="32"/>
                  <w:szCs w:val="32"/>
                </w:rPr>
                <w:t>4</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9</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"_Toc229555788" </w:instrText>
              </w:r>
              <w:r>
                <w:fldChar w:fldCharType="separate"/>
              </w:r>
              <w:r>
                <w:rPr>
                  <w:rStyle w:val="25"/>
                  <w:rFonts w:hint="eastAsia" w:ascii="仿宋_GB2312" w:hAnsi="黑体" w:eastAsia="仿宋_GB2312" w:cs="黑体"/>
                  <w:sz w:val="32"/>
                  <w:szCs w:val="32"/>
                </w:rPr>
                <w:t>第二节 促进滨海繁荣与乡村发展共进</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_Toc229555788 \h </w:instrText>
              </w:r>
              <w:r>
                <w:rPr>
                  <w:rFonts w:hint="eastAsia" w:ascii="仿宋_GB2312" w:eastAsia="仿宋_GB2312"/>
                  <w:sz w:val="32"/>
                  <w:szCs w:val="32"/>
                </w:rPr>
                <w:fldChar w:fldCharType="separate"/>
              </w:r>
              <w:r>
                <w:rPr>
                  <w:rFonts w:ascii="仿宋_GB2312" w:eastAsia="仿宋_GB2312"/>
                  <w:sz w:val="32"/>
                  <w:szCs w:val="32"/>
                </w:rPr>
                <w:t>5</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1</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"_Toc229555789" </w:instrText>
              </w:r>
              <w:r>
                <w:fldChar w:fldCharType="separate"/>
              </w:r>
              <w:r>
                <w:rPr>
                  <w:rStyle w:val="25"/>
                  <w:rFonts w:hint="eastAsia" w:ascii="仿宋_GB2312" w:hAnsi="黑体" w:eastAsia="仿宋_GB2312" w:cs="黑体"/>
                  <w:sz w:val="32"/>
                  <w:szCs w:val="32"/>
                </w:rPr>
                <w:t>第三节 深度融入三亚经济圈一体化发展</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_Toc229555789 \h </w:instrText>
              </w:r>
              <w:r>
                <w:rPr>
                  <w:rFonts w:hint="eastAsia" w:ascii="仿宋_GB2312" w:eastAsia="仿宋_GB2312"/>
                  <w:sz w:val="32"/>
                  <w:szCs w:val="32"/>
                </w:rPr>
                <w:fldChar w:fldCharType="separate"/>
              </w:r>
              <w:r>
                <w:rPr>
                  <w:rFonts w:ascii="仿宋_GB2312" w:eastAsia="仿宋_GB2312"/>
                  <w:sz w:val="32"/>
                  <w:szCs w:val="32"/>
                </w:rPr>
                <w:t>5</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2</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"_Toc229555790" </w:instrText>
              </w:r>
              <w:r>
                <w:fldChar w:fldCharType="separate"/>
              </w:r>
              <w:r>
                <w:rPr>
                  <w:rStyle w:val="25"/>
                  <w:rFonts w:hint="eastAsia" w:ascii="仿宋_GB2312" w:hAnsi="黑体" w:eastAsia="仿宋_GB2312" w:cs="黑体"/>
                  <w:sz w:val="32"/>
                  <w:szCs w:val="32"/>
                </w:rPr>
                <w:t>第四节 高标准推进琼港经济合作三亚示范区建设</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_Toc229555790 \h </w:instrText>
              </w:r>
              <w:r>
                <w:rPr>
                  <w:rFonts w:hint="eastAsia" w:ascii="仿宋_GB2312" w:eastAsia="仿宋_GB2312"/>
                  <w:sz w:val="32"/>
                  <w:szCs w:val="32"/>
                </w:rPr>
                <w:fldChar w:fldCharType="separate"/>
              </w:r>
              <w:r>
                <w:rPr>
                  <w:rFonts w:ascii="仿宋_GB2312" w:eastAsia="仿宋_GB2312"/>
                  <w:sz w:val="32"/>
                  <w:szCs w:val="32"/>
                </w:rPr>
                <w:t>5</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4</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"_Toc229555791" </w:instrText>
              </w:r>
              <w:r>
                <w:fldChar w:fldCharType="separate"/>
              </w:r>
              <w:r>
                <w:rPr>
                  <w:rStyle w:val="25"/>
                  <w:rFonts w:hint="eastAsia" w:ascii="仿宋_GB2312" w:hAnsi="华文中宋" w:eastAsia="仿宋_GB2312" w:cs="___WRD_EMBED_SUB_45"/>
                  <w:b/>
                  <w:bCs/>
                  <w:sz w:val="32"/>
                  <w:szCs w:val="32"/>
                </w:rPr>
                <w:t>第七章 持续加强生态文明建设</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_Toc229555791 \h </w:instrText>
              </w:r>
              <w:r>
                <w:rPr>
                  <w:rFonts w:hint="eastAsia" w:ascii="仿宋_GB2312" w:eastAsia="仿宋_GB2312"/>
                  <w:b/>
                  <w:sz w:val="32"/>
                  <w:szCs w:val="32"/>
                </w:rPr>
                <w:fldChar w:fldCharType="separate"/>
              </w:r>
              <w:r>
                <w:rPr>
                  <w:rFonts w:ascii="仿宋_GB2312" w:eastAsia="仿宋_GB2312"/>
                  <w:b/>
                  <w:sz w:val="32"/>
                  <w:szCs w:val="32"/>
                </w:rPr>
                <w:t>5</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6</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"_Toc229555792" </w:instrText>
              </w:r>
              <w:r>
                <w:fldChar w:fldCharType="separate"/>
              </w:r>
              <w:r>
                <w:rPr>
                  <w:rStyle w:val="25"/>
                  <w:rFonts w:hint="eastAsia" w:ascii="仿宋_GB2312" w:hAnsi="黑体" w:eastAsia="仿宋_GB2312" w:cs="黑体"/>
                  <w:sz w:val="32"/>
                  <w:szCs w:val="32"/>
                </w:rPr>
                <w:t>第一节 强化生态保护屏障与绿色发展底线</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_Toc229555792 \h </w:instrText>
              </w:r>
              <w:r>
                <w:rPr>
                  <w:rFonts w:hint="eastAsia" w:ascii="仿宋_GB2312" w:eastAsia="仿宋_GB2312"/>
                  <w:sz w:val="32"/>
                  <w:szCs w:val="32"/>
                </w:rPr>
                <w:fldChar w:fldCharType="separate"/>
              </w:r>
              <w:r>
                <w:rPr>
                  <w:rFonts w:ascii="仿宋_GB2312" w:eastAsia="仿宋_GB2312"/>
                  <w:sz w:val="32"/>
                  <w:szCs w:val="32"/>
                </w:rPr>
                <w:t>5</w:t>
              </w:r>
              <w:r>
                <w:rPr>
                  <w:rFonts w:hint="eastAsia" w:ascii="仿宋_GB2312" w:eastAsia="仿宋_GB2312"/>
                  <w:sz w:val="32"/>
                  <w:szCs w:val="32"/>
                  <w:lang w:val="en-US" w:eastAsia="zh-CN"/>
                </w:rPr>
                <w:t>6</w:t>
              </w:r>
              <w:r>
                <w:rPr>
                  <w:rFonts w:hint="eastAsia" w:ascii="仿宋_GB2312" w:eastAsia="仿宋_GB2312"/>
                  <w:sz w:val="32"/>
                  <w:szCs w:val="32"/>
                </w:rPr>
                <w:fldChar w:fldCharType="end"/>
              </w:r>
              <w:r>
                <w:rPr>
                  <w:rFonts w:hint="eastAsia" w:ascii="仿宋_GB2312" w:eastAsia="仿宋_GB2312"/>
                  <w:sz w:val="32"/>
                  <w:szCs w:val="32"/>
                </w:rPr>
                <w:fldChar w:fldCharType="end"/>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"_Toc229555793" </w:instrText>
              </w:r>
              <w:r>
                <w:fldChar w:fldCharType="separate"/>
              </w:r>
              <w:r>
                <w:rPr>
                  <w:rStyle w:val="25"/>
                  <w:rFonts w:hint="eastAsia" w:ascii="仿宋_GB2312" w:hAnsi="黑体" w:eastAsia="仿宋_GB2312" w:cs="黑体"/>
                  <w:sz w:val="32"/>
                  <w:szCs w:val="32"/>
                </w:rPr>
                <w:t>第二节 推动全域低碳转型</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_Toc229555793 \h </w:instrText>
              </w:r>
              <w:r>
                <w:rPr>
                  <w:rFonts w:hint="eastAsia" w:ascii="仿宋_GB2312" w:eastAsia="仿宋_GB2312"/>
                  <w:sz w:val="32"/>
                  <w:szCs w:val="32"/>
                </w:rPr>
                <w:fldChar w:fldCharType="separate"/>
              </w:r>
              <w:r>
                <w:rPr>
                  <w:rFonts w:ascii="仿宋_GB2312" w:eastAsia="仿宋_GB2312"/>
                  <w:sz w:val="32"/>
                  <w:szCs w:val="32"/>
                </w:rPr>
                <w:t>5</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8</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"_Toc229555794" </w:instrText>
              </w:r>
              <w:r>
                <w:fldChar w:fldCharType="separate"/>
              </w:r>
              <w:r>
                <w:rPr>
                  <w:rStyle w:val="25"/>
                  <w:rFonts w:hint="eastAsia" w:ascii="仿宋_GB2312" w:hAnsi="华文中宋" w:eastAsia="仿宋_GB2312" w:cs="___WRD_EMBED_SUB_45"/>
                  <w:b/>
                  <w:bCs/>
                  <w:sz w:val="32"/>
                  <w:szCs w:val="32"/>
                </w:rPr>
                <w:t>第八章 扎实推进海棠文化建设</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_Toc229555794 \h </w:instrText>
              </w:r>
              <w:r>
                <w:rPr>
                  <w:rFonts w:hint="eastAsia" w:ascii="仿宋_GB2312" w:eastAsia="仿宋_GB2312"/>
                  <w:b/>
                  <w:sz w:val="32"/>
                  <w:szCs w:val="32"/>
                </w:rPr>
                <w:fldChar w:fldCharType="separate"/>
              </w:r>
              <w:r>
                <w:rPr>
                  <w:rFonts w:ascii="仿宋_GB2312" w:eastAsia="仿宋_GB2312"/>
                  <w:b/>
                  <w:sz w:val="32"/>
                  <w:szCs w:val="32"/>
                </w:rPr>
                <w:t>6</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1</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"_Toc229555795" </w:instrText>
              </w:r>
              <w:r>
                <w:fldChar w:fldCharType="separate"/>
              </w:r>
              <w:r>
                <w:rPr>
                  <w:rStyle w:val="25"/>
                  <w:rFonts w:hint="eastAsia" w:ascii="仿宋_GB2312" w:hAnsi="黑体" w:eastAsia="仿宋_GB2312" w:cs="黑体"/>
                  <w:sz w:val="32"/>
                  <w:szCs w:val="32"/>
                </w:rPr>
                <w:t>第一节 培育文明新风尚</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_Toc229555795 \h </w:instrText>
              </w:r>
              <w:r>
                <w:rPr>
                  <w:rFonts w:hint="eastAsia" w:ascii="仿宋_GB2312" w:eastAsia="仿宋_GB2312"/>
                  <w:sz w:val="32"/>
                  <w:szCs w:val="32"/>
                </w:rPr>
                <w:fldChar w:fldCharType="separate"/>
              </w:r>
              <w:r>
                <w:rPr>
                  <w:rFonts w:ascii="仿宋_GB2312" w:eastAsia="仿宋_GB2312"/>
                  <w:sz w:val="32"/>
                  <w:szCs w:val="32"/>
                </w:rPr>
                <w:t>6</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1</w:t>
              </w:r>
            </w:p>
            <w:p>
              <w:pPr>
                <w:pStyle w:val="16"/>
                <w:tabs>
                  <w:tab w:val="right" w:leader="dot" w:pos="8835"/>
                </w:tabs>
                <w:rPr>
                  <w:rFonts w:ascii="仿宋_GB2312" w:eastAsia="仿宋_GB2312" w:hAnsiTheme="minorHAnsi" w:cstheme="minorBidi"/>
                  <w:sz w:val="32"/>
                  <w:szCs w:val="32"/>
                </w:rPr>
              </w:pPr>
              <w:r>
                <w:rPr>
                  <w:rFonts w:hint="eastAsia"/>
                </w:rPr>
                <w:fldChar w:fldCharType="begin"/>
              </w:r>
              <w:r>
                <w:instrText xml:space="preserve"> HYPERLINK \l "_Toc229555796" </w:instrText>
              </w:r>
              <w:r>
                <w:rPr>
                  <w:rFonts w:hint="eastAsia"/>
                </w:rPr>
                <w:fldChar w:fldCharType="separate"/>
              </w:r>
              <w:r>
                <w:rPr>
                  <w:rStyle w:val="25"/>
                  <w:rFonts w:hint="eastAsia" w:ascii="仿宋_GB2312" w:hAnsi="黑体" w:eastAsia="仿宋_GB2312" w:cs="黑体"/>
                  <w:sz w:val="32"/>
                  <w:szCs w:val="32"/>
                </w:rPr>
                <w:t>第二节 健全公共文化服务体系</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_Toc229555796 \h </w:instrText>
              </w:r>
              <w:r>
                <w:rPr>
                  <w:rFonts w:hint="eastAsia" w:ascii="仿宋_GB2312" w:eastAsia="仿宋_GB2312"/>
                  <w:sz w:val="32"/>
                  <w:szCs w:val="32"/>
                </w:rPr>
                <w:fldChar w:fldCharType="separate"/>
              </w:r>
              <w:r>
                <w:rPr>
                  <w:rFonts w:ascii="仿宋_GB2312" w:eastAsia="仿宋_GB2312"/>
                  <w:sz w:val="32"/>
                  <w:szCs w:val="32"/>
                </w:rPr>
                <w:t>6</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2</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"_Toc229555797" </w:instrText>
              </w:r>
              <w:r>
                <w:fldChar w:fldCharType="separate"/>
              </w:r>
              <w:r>
                <w:rPr>
                  <w:rStyle w:val="25"/>
                  <w:rFonts w:hint="eastAsia" w:ascii="仿宋_GB2312" w:hAnsi="黑体" w:eastAsia="仿宋_GB2312" w:cs="黑体"/>
                  <w:sz w:val="32"/>
                  <w:szCs w:val="32"/>
                </w:rPr>
                <w:t>第三节 激发文化产业动能</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_Toc229555797 \h </w:instrText>
              </w:r>
              <w:r>
                <w:rPr>
                  <w:rFonts w:hint="eastAsia" w:ascii="仿宋_GB2312" w:eastAsia="仿宋_GB2312"/>
                  <w:sz w:val="32"/>
                  <w:szCs w:val="32"/>
                </w:rPr>
                <w:fldChar w:fldCharType="separate"/>
              </w:r>
              <w:r>
                <w:rPr>
                  <w:rFonts w:ascii="仿宋_GB2312" w:eastAsia="仿宋_GB2312"/>
                  <w:sz w:val="32"/>
                  <w:szCs w:val="32"/>
                </w:rPr>
                <w:t>6</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4</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"_Toc229555798" </w:instrText>
              </w:r>
              <w:r>
                <w:fldChar w:fldCharType="separate"/>
              </w:r>
              <w:r>
                <w:rPr>
                  <w:rStyle w:val="25"/>
                  <w:rFonts w:hint="eastAsia" w:ascii="仿宋_GB2312" w:hAnsi="华文中宋" w:eastAsia="仿宋_GB2312" w:cs="___WRD_EMBED_SUB_45"/>
                  <w:b/>
                  <w:bCs/>
                  <w:sz w:val="32"/>
                  <w:szCs w:val="32"/>
                </w:rPr>
                <w:t>第九章 加强保障和改善民生力度</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_Toc229555798 \h </w:instrText>
              </w:r>
              <w:r>
                <w:rPr>
                  <w:rFonts w:hint="eastAsia" w:ascii="仿宋_GB2312" w:eastAsia="仿宋_GB2312"/>
                  <w:b/>
                  <w:sz w:val="32"/>
                  <w:szCs w:val="32"/>
                </w:rPr>
                <w:fldChar w:fldCharType="separate"/>
              </w:r>
              <w:r>
                <w:rPr>
                  <w:rFonts w:ascii="仿宋_GB2312" w:eastAsia="仿宋_GB2312"/>
                  <w:b/>
                  <w:sz w:val="32"/>
                  <w:szCs w:val="32"/>
                </w:rPr>
                <w:t>6</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5</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"_Toc229555799" </w:instrText>
              </w:r>
              <w:r>
                <w:fldChar w:fldCharType="separate"/>
              </w:r>
              <w:r>
                <w:rPr>
                  <w:rStyle w:val="25"/>
                  <w:rFonts w:hint="eastAsia" w:ascii="仿宋_GB2312" w:hAnsi="黑体" w:eastAsia="仿宋_GB2312" w:cs="黑体"/>
                  <w:sz w:val="32"/>
                  <w:szCs w:val="32"/>
                </w:rPr>
                <w:t>第一节 增强居民的收入能力</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_Toc229555799 \h </w:instrText>
              </w:r>
              <w:r>
                <w:rPr>
                  <w:rFonts w:hint="eastAsia" w:ascii="仿宋_GB2312" w:eastAsia="仿宋_GB2312"/>
                  <w:sz w:val="32"/>
                  <w:szCs w:val="32"/>
                </w:rPr>
                <w:fldChar w:fldCharType="separate"/>
              </w:r>
              <w:r>
                <w:rPr>
                  <w:rFonts w:ascii="仿宋_GB2312" w:eastAsia="仿宋_GB2312"/>
                  <w:sz w:val="32"/>
                  <w:szCs w:val="32"/>
                </w:rPr>
                <w:t>6</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5</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"_Toc229555800" </w:instrText>
              </w:r>
              <w:r>
                <w:fldChar w:fldCharType="separate"/>
              </w:r>
              <w:r>
                <w:rPr>
                  <w:rStyle w:val="25"/>
                  <w:rFonts w:hint="eastAsia" w:ascii="仿宋_GB2312" w:hAnsi="黑体" w:eastAsia="仿宋_GB2312" w:cs="黑体"/>
                  <w:sz w:val="32"/>
                  <w:szCs w:val="32"/>
                </w:rPr>
                <w:t>第二节 完善社会保障体系</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_Toc229555800 \h </w:instrText>
              </w:r>
              <w:r>
                <w:rPr>
                  <w:rFonts w:hint="eastAsia" w:ascii="仿宋_GB2312" w:eastAsia="仿宋_GB2312"/>
                  <w:sz w:val="32"/>
                  <w:szCs w:val="32"/>
                </w:rPr>
                <w:fldChar w:fldCharType="separate"/>
              </w:r>
              <w:r>
                <w:rPr>
                  <w:rFonts w:ascii="仿宋_GB2312" w:eastAsia="仿宋_GB2312"/>
                  <w:sz w:val="32"/>
                  <w:szCs w:val="32"/>
                </w:rPr>
                <w:t>6</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7</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"_Toc229555801" </w:instrText>
              </w:r>
              <w:r>
                <w:fldChar w:fldCharType="separate"/>
              </w:r>
              <w:r>
                <w:rPr>
                  <w:rStyle w:val="25"/>
                  <w:rFonts w:hint="eastAsia" w:ascii="仿宋_GB2312" w:hAnsi="黑体" w:eastAsia="仿宋_GB2312" w:cs="黑体"/>
                  <w:sz w:val="32"/>
                  <w:szCs w:val="32"/>
                </w:rPr>
                <w:t>第三节 推进教育优质均衡</w:t>
              </w:r>
              <w:r>
                <w:rPr>
                  <w:rFonts w:hint="eastAsia" w:ascii="仿宋_GB2312" w:eastAsia="仿宋_GB2312"/>
                  <w:sz w:val="32"/>
                  <w:szCs w:val="32"/>
                </w:rPr>
                <w:tab/>
              </w:r>
              <w:r>
                <w:rPr>
                  <w:rFonts w:hint="eastAsia" w:ascii="仿宋_GB2312" w:eastAsia="仿宋_GB2312"/>
                  <w:sz w:val="32"/>
                  <w:szCs w:val="32"/>
                </w:rPr>
                <w:fldChar w:fldCharType="end"/>
              </w:r>
              <w:r>
                <w:rPr>
                  <w:rFonts w:hint="eastAsia" w:ascii="仿宋_GB2312" w:eastAsia="仿宋_GB2312"/>
                  <w:sz w:val="32"/>
                  <w:szCs w:val="32"/>
                  <w:lang w:val="en-US" w:eastAsia="zh-CN"/>
                </w:rPr>
                <w:t>69</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"_Toc229555802" </w:instrText>
              </w:r>
              <w:r>
                <w:fldChar w:fldCharType="separate"/>
              </w:r>
              <w:r>
                <w:rPr>
                  <w:rStyle w:val="25"/>
                  <w:rFonts w:hint="eastAsia" w:ascii="仿宋_GB2312" w:hAnsi="黑体" w:eastAsia="仿宋_GB2312" w:cs="黑体"/>
                  <w:sz w:val="32"/>
                  <w:szCs w:val="32"/>
                </w:rPr>
                <w:t>第四节 提升医疗卫生健康水平</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_Toc229555802 \h </w:instrText>
              </w:r>
              <w:r>
                <w:rPr>
                  <w:rFonts w:hint="eastAsia" w:ascii="仿宋_GB2312" w:eastAsia="仿宋_GB2312"/>
                  <w:sz w:val="32"/>
                  <w:szCs w:val="32"/>
                </w:rPr>
                <w:fldChar w:fldCharType="separate"/>
              </w:r>
              <w:r>
                <w:rPr>
                  <w:rFonts w:ascii="仿宋_GB2312" w:eastAsia="仿宋_GB2312"/>
                  <w:sz w:val="32"/>
                  <w:szCs w:val="32"/>
                </w:rPr>
                <w:t>7</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1</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"_Toc229555803" </w:instrText>
              </w:r>
              <w:r>
                <w:fldChar w:fldCharType="separate"/>
              </w:r>
              <w:r>
                <w:rPr>
                  <w:rStyle w:val="25"/>
                  <w:rFonts w:hint="eastAsia" w:ascii="仿宋_GB2312" w:hAnsi="黑体" w:eastAsia="仿宋_GB2312" w:cs="黑体"/>
                  <w:sz w:val="32"/>
                  <w:szCs w:val="32"/>
                </w:rPr>
                <w:t>第五节 促进人口高质量发展</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_Toc229555803 \h </w:instrText>
              </w:r>
              <w:r>
                <w:rPr>
                  <w:rFonts w:hint="eastAsia" w:ascii="仿宋_GB2312" w:eastAsia="仿宋_GB2312"/>
                  <w:sz w:val="32"/>
                  <w:szCs w:val="32"/>
                </w:rPr>
                <w:fldChar w:fldCharType="separate"/>
              </w:r>
              <w:r>
                <w:rPr>
                  <w:rFonts w:ascii="仿宋_GB2312" w:eastAsia="仿宋_GB2312"/>
                  <w:sz w:val="32"/>
                  <w:szCs w:val="32"/>
                </w:rPr>
                <w:t>7</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3</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"_Toc229555804" </w:instrText>
              </w:r>
              <w:r>
                <w:fldChar w:fldCharType="separate"/>
              </w:r>
              <w:r>
                <w:rPr>
                  <w:rStyle w:val="25"/>
                  <w:rFonts w:hint="eastAsia" w:ascii="仿宋_GB2312" w:hAnsi="华文中宋" w:eastAsia="仿宋_GB2312" w:cs="___WRD_EMBED_SUB_45"/>
                  <w:b/>
                  <w:bCs/>
                  <w:sz w:val="32"/>
                  <w:szCs w:val="32"/>
                </w:rPr>
                <w:t>第十章 持续提升社会治理现代化水平</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_Toc229555804 \h </w:instrText>
              </w:r>
              <w:r>
                <w:rPr>
                  <w:rFonts w:hint="eastAsia" w:ascii="仿宋_GB2312" w:eastAsia="仿宋_GB2312"/>
                  <w:b/>
                  <w:sz w:val="32"/>
                  <w:szCs w:val="32"/>
                </w:rPr>
                <w:fldChar w:fldCharType="separate"/>
              </w:r>
              <w:r>
                <w:rPr>
                  <w:rFonts w:ascii="仿宋_GB2312" w:eastAsia="仿宋_GB2312"/>
                  <w:b/>
                  <w:sz w:val="32"/>
                  <w:szCs w:val="32"/>
                </w:rPr>
                <w:t>7</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5</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"_Toc229555805" </w:instrText>
              </w:r>
              <w:r>
                <w:fldChar w:fldCharType="separate"/>
              </w:r>
              <w:r>
                <w:rPr>
                  <w:rStyle w:val="25"/>
                  <w:rFonts w:hint="eastAsia" w:ascii="仿宋_GB2312" w:hAnsi="黑体" w:eastAsia="仿宋_GB2312" w:cs="黑体"/>
                  <w:sz w:val="32"/>
                  <w:szCs w:val="32"/>
                </w:rPr>
                <w:t>第一节 创新基层治理模式</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_Toc229555805 \h </w:instrText>
              </w:r>
              <w:r>
                <w:rPr>
                  <w:rFonts w:hint="eastAsia" w:ascii="仿宋_GB2312" w:eastAsia="仿宋_GB2312"/>
                  <w:sz w:val="32"/>
                  <w:szCs w:val="32"/>
                </w:rPr>
                <w:fldChar w:fldCharType="separate"/>
              </w:r>
              <w:r>
                <w:rPr>
                  <w:rFonts w:ascii="仿宋_GB2312" w:eastAsia="仿宋_GB2312"/>
                  <w:sz w:val="32"/>
                  <w:szCs w:val="32"/>
                </w:rPr>
                <w:t>7</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5</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"_Toc229555806" </w:instrText>
              </w:r>
              <w:r>
                <w:fldChar w:fldCharType="separate"/>
              </w:r>
              <w:r>
                <w:rPr>
                  <w:rStyle w:val="25"/>
                  <w:rFonts w:hint="eastAsia" w:ascii="仿宋_GB2312" w:hAnsi="黑体" w:eastAsia="仿宋_GB2312" w:cs="黑体"/>
                  <w:sz w:val="32"/>
                  <w:szCs w:val="32"/>
                </w:rPr>
                <w:t>第二节 建设更高水平“平安海棠”</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_Toc229555806 \h </w:instrText>
              </w:r>
              <w:r>
                <w:rPr>
                  <w:rFonts w:hint="eastAsia" w:ascii="仿宋_GB2312" w:eastAsia="仿宋_GB2312"/>
                  <w:sz w:val="32"/>
                  <w:szCs w:val="32"/>
                </w:rPr>
                <w:fldChar w:fldCharType="separate"/>
              </w:r>
              <w:r>
                <w:rPr>
                  <w:rFonts w:ascii="仿宋_GB2312" w:eastAsia="仿宋_GB2312"/>
                  <w:sz w:val="32"/>
                  <w:szCs w:val="32"/>
                </w:rPr>
                <w:t>7</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6</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"_Toc229555807" </w:instrText>
              </w:r>
              <w:r>
                <w:fldChar w:fldCharType="separate"/>
              </w:r>
              <w:r>
                <w:rPr>
                  <w:rStyle w:val="25"/>
                  <w:rFonts w:hint="eastAsia" w:ascii="仿宋_GB2312" w:hAnsi="黑体" w:eastAsia="仿宋_GB2312" w:cs="黑体"/>
                  <w:sz w:val="32"/>
                  <w:szCs w:val="32"/>
                </w:rPr>
                <w:t>第三节 强化风险监测预警</w:t>
              </w:r>
              <w:r>
                <w:rPr>
                  <w:rFonts w:hint="eastAsia" w:ascii="仿宋_GB2312" w:eastAsia="仿宋_GB2312"/>
                  <w:sz w:val="32"/>
                  <w:szCs w:val="32"/>
                </w:rPr>
                <w:tab/>
              </w:r>
              <w:r>
                <w:rPr>
                  <w:rFonts w:hint="eastAsia" w:ascii="仿宋_GB2312" w:eastAsia="仿宋_GB2312"/>
                  <w:sz w:val="32"/>
                  <w:szCs w:val="32"/>
                </w:rPr>
                <w:fldChar w:fldCharType="end"/>
              </w:r>
              <w:r>
                <w:rPr>
                  <w:rFonts w:hint="eastAsia" w:ascii="仿宋_GB2312" w:eastAsia="仿宋_GB2312"/>
                  <w:sz w:val="32"/>
                  <w:szCs w:val="32"/>
                  <w:lang w:val="en-US" w:eastAsia="zh-CN"/>
                </w:rPr>
                <w:t>78</w:t>
              </w:r>
            </w:p>
            <w:p>
              <w:pPr>
                <w:pStyle w:val="15"/>
                <w:tabs>
                  <w:tab w:val="right" w:leader="dot" w:pos="8835"/>
                </w:tabs>
                <w:rPr>
                  <w:rFonts w:ascii="仿宋_GB2312" w:eastAsia="仿宋_GB2312" w:hAnsiTheme="minorHAnsi" w:cstheme="minorBidi"/>
                  <w:b/>
                  <w:sz w:val="32"/>
                  <w:szCs w:val="32"/>
                </w:rPr>
              </w:pPr>
              <w:r>
                <w:fldChar w:fldCharType="begin"/>
              </w:r>
              <w:r>
                <w:instrText xml:space="preserve"> HYPERLINK \l "_Toc229555808" </w:instrText>
              </w:r>
              <w:r>
                <w:fldChar w:fldCharType="separate"/>
              </w:r>
              <w:r>
                <w:rPr>
                  <w:rStyle w:val="25"/>
                  <w:rFonts w:hint="eastAsia" w:ascii="仿宋_GB2312" w:hAnsi="华文中宋" w:eastAsia="仿宋_GB2312" w:cs="___WRD_EMBED_SUB_45"/>
                  <w:b/>
                  <w:bCs/>
                  <w:sz w:val="32"/>
                  <w:szCs w:val="32"/>
                </w:rPr>
                <w:t>第十一章 强化实施保障确保蓝图落地见效</w:t>
              </w:r>
              <w:r>
                <w:rPr>
                  <w:rFonts w:hint="eastAsia" w:ascii="仿宋_GB2312" w:eastAsia="仿宋_GB2312"/>
                  <w:b/>
                  <w:sz w:val="32"/>
                  <w:szCs w:val="32"/>
                </w:rPr>
                <w:tab/>
              </w:r>
              <w:r>
                <w:rPr>
                  <w:rFonts w:hint="eastAsia" w:ascii="仿宋_GB2312" w:eastAsia="仿宋_GB2312"/>
                  <w:b/>
                  <w:sz w:val="32"/>
                  <w:szCs w:val="32"/>
                </w:rPr>
                <w:fldChar w:fldCharType="begin"/>
              </w:r>
              <w:r>
                <w:rPr>
                  <w:rFonts w:hint="eastAsia" w:ascii="仿宋_GB2312" w:eastAsia="仿宋_GB2312"/>
                  <w:b/>
                  <w:sz w:val="32"/>
                  <w:szCs w:val="32"/>
                </w:rPr>
                <w:instrText xml:space="preserve"> PAGEREF _Toc229555808 \h </w:instrText>
              </w:r>
              <w:r>
                <w:rPr>
                  <w:rFonts w:hint="eastAsia" w:ascii="仿宋_GB2312" w:eastAsia="仿宋_GB2312"/>
                  <w:b/>
                  <w:sz w:val="32"/>
                  <w:szCs w:val="32"/>
                </w:rPr>
                <w:fldChar w:fldCharType="separate"/>
              </w:r>
              <w:r>
                <w:rPr>
                  <w:rFonts w:ascii="仿宋_GB2312" w:eastAsia="仿宋_GB2312"/>
                  <w:b/>
                  <w:sz w:val="32"/>
                  <w:szCs w:val="32"/>
                </w:rPr>
                <w:t>8</w:t>
              </w:r>
              <w:r>
                <w:rPr>
                  <w:rFonts w:hint="eastAsia" w:ascii="仿宋_GB2312" w:eastAsia="仿宋_GB2312"/>
                  <w:b/>
                  <w:sz w:val="32"/>
                  <w:szCs w:val="32"/>
                </w:rPr>
                <w:fldChar w:fldCharType="end"/>
              </w:r>
              <w:r>
                <w:rPr>
                  <w:rFonts w:hint="eastAsia" w:ascii="仿宋_GB2312" w:eastAsia="仿宋_GB2312"/>
                  <w:b/>
                  <w:sz w:val="32"/>
                  <w:szCs w:val="32"/>
                </w:rPr>
                <w:fldChar w:fldCharType="end"/>
              </w:r>
              <w:r>
                <w:rPr>
                  <w:rFonts w:hint="eastAsia" w:ascii="仿宋_GB2312" w:eastAsia="仿宋_GB2312"/>
                  <w:b/>
                  <w:sz w:val="32"/>
                  <w:szCs w:val="32"/>
                  <w:lang w:val="en-US" w:eastAsia="zh-CN"/>
                </w:rPr>
                <w:t>0</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"_Toc229555809" </w:instrText>
              </w:r>
              <w:r>
                <w:fldChar w:fldCharType="separate"/>
              </w:r>
              <w:r>
                <w:rPr>
                  <w:rStyle w:val="25"/>
                  <w:rFonts w:hint="eastAsia" w:ascii="仿宋_GB2312" w:hAnsi="黑体" w:eastAsia="仿宋_GB2312" w:cs="黑体"/>
                  <w:sz w:val="32"/>
                  <w:szCs w:val="32"/>
                </w:rPr>
                <w:t>第一节 加强党的全面领导</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_Toc229555809 \h </w:instrText>
              </w:r>
              <w:r>
                <w:rPr>
                  <w:rFonts w:hint="eastAsia" w:ascii="仿宋_GB2312" w:eastAsia="仿宋_GB2312"/>
                  <w:sz w:val="32"/>
                  <w:szCs w:val="32"/>
                </w:rPr>
                <w:fldChar w:fldCharType="separate"/>
              </w:r>
              <w:r>
                <w:rPr>
                  <w:rFonts w:ascii="仿宋_GB2312" w:eastAsia="仿宋_GB2312"/>
                  <w:sz w:val="32"/>
                  <w:szCs w:val="32"/>
                </w:rPr>
                <w:t>8</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0</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"_Toc229555810" </w:instrText>
              </w:r>
              <w:r>
                <w:fldChar w:fldCharType="separate"/>
              </w:r>
              <w:r>
                <w:rPr>
                  <w:rStyle w:val="25"/>
                  <w:rFonts w:hint="eastAsia" w:ascii="仿宋_GB2312" w:hAnsi="黑体" w:eastAsia="仿宋_GB2312" w:cs="黑体"/>
                  <w:sz w:val="32"/>
                  <w:szCs w:val="32"/>
                </w:rPr>
                <w:t>第二节 健全规划工作推进机制</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_Toc229555810 \h </w:instrText>
              </w:r>
              <w:r>
                <w:rPr>
                  <w:rFonts w:hint="eastAsia" w:ascii="仿宋_GB2312" w:eastAsia="仿宋_GB2312"/>
                  <w:sz w:val="32"/>
                  <w:szCs w:val="32"/>
                </w:rPr>
                <w:fldChar w:fldCharType="separate"/>
              </w:r>
              <w:r>
                <w:rPr>
                  <w:rFonts w:ascii="仿宋_GB2312" w:eastAsia="仿宋_GB2312"/>
                  <w:sz w:val="32"/>
                  <w:szCs w:val="32"/>
                </w:rPr>
                <w:t>8</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1</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"_Toc229555811" </w:instrText>
              </w:r>
              <w:r>
                <w:fldChar w:fldCharType="separate"/>
              </w:r>
              <w:r>
                <w:rPr>
                  <w:rStyle w:val="25"/>
                  <w:rFonts w:hint="eastAsia" w:ascii="仿宋_GB2312" w:hAnsi="黑体" w:eastAsia="仿宋_GB2312" w:cs="黑体"/>
                  <w:sz w:val="32"/>
                  <w:szCs w:val="32"/>
                </w:rPr>
                <w:t>第三节 强化关键发展要素保障</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_Toc229555811 \h </w:instrText>
              </w:r>
              <w:r>
                <w:rPr>
                  <w:rFonts w:hint="eastAsia" w:ascii="仿宋_GB2312" w:eastAsia="仿宋_GB2312"/>
                  <w:sz w:val="32"/>
                  <w:szCs w:val="32"/>
                </w:rPr>
                <w:fldChar w:fldCharType="separate"/>
              </w:r>
              <w:r>
                <w:rPr>
                  <w:rFonts w:ascii="仿宋_GB2312" w:eastAsia="仿宋_GB2312"/>
                  <w:sz w:val="32"/>
                  <w:szCs w:val="32"/>
                </w:rPr>
                <w:t>8</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1</w:t>
              </w:r>
            </w:p>
            <w:p>
              <w:pPr>
                <w:pStyle w:val="16"/>
                <w:tabs>
                  <w:tab w:val="right" w:leader="dot" w:pos="8835"/>
                </w:tabs>
                <w:rPr>
                  <w:rFonts w:ascii="仿宋_GB2312" w:eastAsia="仿宋_GB2312" w:hAnsiTheme="minorHAnsi" w:cstheme="minorBidi"/>
                  <w:sz w:val="32"/>
                  <w:szCs w:val="32"/>
                </w:rPr>
              </w:pPr>
              <w:r>
                <w:fldChar w:fldCharType="begin"/>
              </w:r>
              <w:r>
                <w:instrText xml:space="preserve"> HYPERLINK \l "_Toc229555812" </w:instrText>
              </w:r>
              <w:r>
                <w:fldChar w:fldCharType="separate"/>
              </w:r>
              <w:r>
                <w:rPr>
                  <w:rStyle w:val="25"/>
                  <w:rFonts w:hint="eastAsia" w:ascii="仿宋_GB2312" w:hAnsi="黑体" w:eastAsia="仿宋_GB2312" w:cs="黑体"/>
                  <w:sz w:val="32"/>
                  <w:szCs w:val="32"/>
                </w:rPr>
                <w:t>第四节 广泛凝聚社会力量</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_Toc229555812 \h </w:instrText>
              </w:r>
              <w:r>
                <w:rPr>
                  <w:rFonts w:hint="eastAsia" w:ascii="仿宋_GB2312" w:eastAsia="仿宋_GB2312"/>
                  <w:sz w:val="32"/>
                  <w:szCs w:val="32"/>
                </w:rPr>
                <w:fldChar w:fldCharType="separate"/>
              </w:r>
              <w:r>
                <w:rPr>
                  <w:rFonts w:ascii="仿宋_GB2312" w:eastAsia="仿宋_GB2312"/>
                  <w:sz w:val="32"/>
                  <w:szCs w:val="32"/>
                </w:rPr>
                <w:t>8</w:t>
              </w:r>
              <w:r>
                <w:rPr>
                  <w:rFonts w:hint="eastAsia" w:ascii="仿宋_GB2312" w:eastAsia="仿宋_GB2312"/>
                  <w:sz w:val="32"/>
                  <w:szCs w:val="32"/>
                </w:rPr>
                <w:fldChar w:fldCharType="end"/>
              </w:r>
              <w:r>
                <w:rPr>
                  <w:rFonts w:hint="eastAsia" w:ascii="仿宋_GB2312" w:eastAsia="仿宋_GB2312"/>
                  <w:sz w:val="32"/>
                  <w:szCs w:val="32"/>
                </w:rPr>
                <w:fldChar w:fldCharType="end"/>
              </w:r>
              <w:r>
                <w:rPr>
                  <w:rFonts w:hint="eastAsia" w:ascii="仿宋_GB2312" w:eastAsia="仿宋_GB2312"/>
                  <w:sz w:val="32"/>
                  <w:szCs w:val="32"/>
                  <w:lang w:val="en-US" w:eastAsia="zh-CN"/>
                </w:rPr>
                <w:t>2</w:t>
              </w:r>
            </w:p>
            <w:p>
              <w:pPr>
                <w:rPr>
                  <w:rFonts w:ascii="仿宋_GB2312" w:eastAsia="仿宋_GB2312"/>
                  <w:sz w:val="32"/>
                  <w:szCs w:val="32"/>
                </w:rPr>
              </w:pPr>
              <w:r>
                <w:rPr>
                  <w:rFonts w:hint="eastAsia" w:ascii="仿宋_GB2312" w:eastAsia="仿宋_GB2312"/>
                  <w:b/>
                  <w:bCs/>
                  <w:sz w:val="32"/>
                  <w:szCs w:val="32"/>
                  <w:lang w:val="zh-CN"/>
                </w:rPr>
                <w:fldChar w:fldCharType="end"/>
              </w:r>
            </w:p>
          </w:sdtContent>
        </w:sdt>
        <w:p>
          <w:pPr>
            <w:pStyle w:val="15"/>
            <w:tabs>
              <w:tab w:val="right" w:leader="dot" w:pos="8835"/>
            </w:tabs>
            <w:rPr>
              <w:rFonts w:asciiTheme="minorHAnsi" w:hAnsiTheme="minorHAnsi" w:eastAsiaTheme="minorEastAsia" w:cstheme="minorBidi"/>
              <w:szCs w:val="22"/>
            </w:rPr>
          </w:pPr>
          <w:bookmarkStart w:id="0" w:name="_Hlk213319478"/>
          <w:r>
            <w:rPr>
              <w:rFonts w:hint="eastAsia" w:ascii="宋体" w:hAnsi="宋体" w:cs="宋体"/>
              <w:sz w:val="32"/>
              <w:szCs w:val="32"/>
            </w:rPr>
            <w:fldChar w:fldCharType="begin"/>
          </w:r>
          <w:r>
            <w:rPr>
              <w:rFonts w:hint="eastAsia" w:ascii="宋体" w:hAnsi="宋体" w:cs="宋体"/>
              <w:sz w:val="32"/>
              <w:szCs w:val="32"/>
            </w:rPr>
            <w:instrText xml:space="preserve"> TOC \o "1-3" \h \z \u </w:instrText>
          </w:r>
          <w:r>
            <w:rPr>
              <w:rFonts w:hint="eastAsia" w:ascii="宋体" w:hAnsi="宋体" w:cs="宋体"/>
              <w:sz w:val="32"/>
              <w:szCs w:val="32"/>
            </w:rPr>
            <w:fldChar w:fldCharType="separate"/>
          </w:r>
        </w:p>
        <w:p>
          <w:pPr>
            <w:spacing w:line="560" w:lineRule="exact"/>
            <w:rPr>
              <w:rFonts w:ascii="仿宋_GB2312" w:eastAsia="仿宋_GB2312"/>
              <w:sz w:val="32"/>
              <w:szCs w:val="32"/>
            </w:rPr>
          </w:pPr>
          <w:r>
            <w:rPr>
              <w:rFonts w:hint="eastAsia" w:ascii="宋体" w:hAnsi="宋体" w:cs="宋体"/>
              <w:b/>
              <w:bCs/>
              <w:sz w:val="32"/>
              <w:szCs w:val="32"/>
              <w:lang w:val="zh-CN"/>
            </w:rPr>
            <w:fldChar w:fldCharType="end"/>
          </w:r>
        </w:p>
      </w:sdtContent>
    </w:sdt>
    <w:bookmarkEnd w:id="0"/>
    <w:p>
      <w:pPr>
        <w:pStyle w:val="3"/>
        <w:jc w:val="center"/>
        <w:rPr>
          <w:sz w:val="40"/>
          <w:szCs w:val="22"/>
        </w:rPr>
        <w:sectPr>
          <w:footerReference r:id="rId3" w:type="default"/>
          <w:pgSz w:w="11906" w:h="16838"/>
          <w:pgMar w:top="2098" w:right="1474" w:bottom="1984" w:left="1587" w:header="851" w:footer="992" w:gutter="0"/>
          <w:cols w:space="0" w:num="1"/>
          <w:docGrid w:type="lines" w:linePitch="318" w:charSpace="0"/>
        </w:sectPr>
      </w:pPr>
    </w:p>
    <w:p>
      <w:pPr>
        <w:pStyle w:val="3"/>
        <w:keepNext w:val="0"/>
        <w:keepLines w:val="0"/>
        <w:spacing w:before="0" w:after="0" w:line="640" w:lineRule="exact"/>
        <w:jc w:val="center"/>
        <w:rPr>
          <w:rFonts w:ascii="方正小标宋_GBK" w:hAnsi="方正小标宋_GBK" w:eastAsia="方正小标宋_GBK" w:cs="方正小标宋_GBK"/>
          <w:b w:val="0"/>
          <w:bCs/>
          <w:szCs w:val="44"/>
        </w:rPr>
      </w:pPr>
      <w:bookmarkStart w:id="1" w:name="_Toc217846658"/>
      <w:bookmarkStart w:id="2" w:name="_Toc229555760"/>
      <w:bookmarkStart w:id="3" w:name="_Toc220742570"/>
      <w:r>
        <w:rPr>
          <w:rFonts w:hint="eastAsia" w:ascii="华文中宋" w:hAnsi="华文中宋" w:eastAsia="华文中宋" w:cs="方正小标宋_GBK"/>
          <w:b w:val="0"/>
          <w:bCs/>
          <w:szCs w:val="44"/>
        </w:rPr>
        <w:t xml:space="preserve">第一章 </w:t>
      </w:r>
      <w:r>
        <w:rPr>
          <w:rFonts w:hint="eastAsia" w:ascii="华文中宋" w:hAnsi="华文中宋" w:eastAsia="华文中宋" w:cs="宋体"/>
          <w:b w:val="0"/>
          <w:bCs/>
          <w:szCs w:val="44"/>
        </w:rPr>
        <w:t>“十四五”回顾和“十五五”展望</w:t>
      </w:r>
      <w:bookmarkEnd w:id="1"/>
      <w:bookmarkEnd w:id="2"/>
      <w:bookmarkEnd w:id="3"/>
    </w:p>
    <w:p>
      <w:pPr>
        <w:spacing w:line="560" w:lineRule="exact"/>
        <w:rPr>
          <w:rFonts w:ascii="仿宋_GB2312" w:hAnsi="仿宋_GB2312" w:eastAsia="仿宋_GB2312" w:cs="仿宋_GB2312"/>
          <w:sz w:val="30"/>
          <w:szCs w:val="30"/>
        </w:rPr>
      </w:pPr>
    </w:p>
    <w:p>
      <w:pPr>
        <w:pStyle w:val="4"/>
        <w:spacing w:before="326" w:beforeLines="100" w:after="326" w:afterLines="100" w:line="560" w:lineRule="exact"/>
        <w:ind w:firstLine="640" w:firstLineChars="200"/>
        <w:jc w:val="center"/>
        <w:rPr>
          <w:rFonts w:ascii="黑体" w:hAnsi="黑体" w:eastAsia="黑体" w:cs="黑体"/>
          <w:b w:val="0"/>
          <w:bCs w:val="0"/>
        </w:rPr>
      </w:pPr>
      <w:bookmarkStart w:id="4" w:name="_Toc217846659"/>
      <w:bookmarkStart w:id="5" w:name="_Toc229555761"/>
      <w:bookmarkStart w:id="6" w:name="_Toc220742571"/>
      <w:r>
        <w:rPr>
          <w:rFonts w:hint="eastAsia" w:ascii="黑体" w:hAnsi="黑体" w:eastAsia="黑体" w:cs="黑体"/>
          <w:b w:val="0"/>
          <w:bCs w:val="0"/>
        </w:rPr>
        <w:t>第一节 “十四五”发展基础与经验总结</w:t>
      </w:r>
      <w:bookmarkEnd w:id="4"/>
      <w:bookmarkEnd w:id="5"/>
      <w:bookmarkEnd w:id="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五”时期海棠发展面临前所未有的挑战，付出了超乎寻常的努力、取得了来之不易的成绩。全区上下坚持以习近平新时代中国特色社会主义思想为指导，全面贯彻习近平总书记关于海南工作的系列重要讲话和指示批示精神，主动拥抱海南自由贸易港建设的重大机遇，紧紧围绕“国际旅游消费中心核心引领区”发展定位，积极建设“创富海棠”“花园海棠”“绿色海棠”“幸福海棠”和“活力海棠”，推动全区经济稳中有进，社会大局和谐稳定，为高质量发展奠定了坚实基础。</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经济态势稳中向好</w:t>
      </w:r>
      <w:r>
        <w:rPr>
          <w:rFonts w:ascii="仿宋_GB2312" w:hAnsi="仿宋_GB2312" w:eastAsia="仿宋_GB2312" w:cs="仿宋_GB2312"/>
          <w:b/>
          <w:sz w:val="32"/>
          <w:szCs w:val="32"/>
        </w:rPr>
        <w:t>。</w:t>
      </w:r>
      <w:r>
        <w:rPr>
          <w:rFonts w:hint="eastAsia" w:ascii="仿宋_GB2312" w:hAnsi="仿宋_GB2312" w:eastAsia="仿宋_GB2312" w:cs="仿宋_GB2312"/>
          <w:sz w:val="32"/>
          <w:szCs w:val="32"/>
        </w:rPr>
        <w:t>“十四五”期间，全区经济跨上新台阶，多项指标位居全市前列。全区经济总量由2020年的</w:t>
      </w:r>
      <w:r>
        <w:rPr>
          <w:rFonts w:hint="eastAsia" w:ascii="仿宋_GB2312" w:hAnsi="仿宋_GB2312" w:eastAsia="仿宋_GB2312" w:cs="仿宋_GB2312"/>
          <w:color w:val="auto"/>
          <w:sz w:val="32"/>
          <w:szCs w:val="32"/>
        </w:rPr>
        <w:t>123.71</w:t>
      </w:r>
      <w:r>
        <w:rPr>
          <w:rFonts w:hint="eastAsia" w:ascii="仿宋_GB2312" w:hAnsi="仿宋_GB2312" w:eastAsia="仿宋_GB2312" w:cs="仿宋_GB2312"/>
          <w:sz w:val="32"/>
          <w:szCs w:val="32"/>
        </w:rPr>
        <w:t>亿元升至2025年的</w:t>
      </w:r>
      <w:r>
        <w:rPr>
          <w:rFonts w:ascii="仿宋_GB2312" w:hAnsi="仿宋_GB2312" w:eastAsia="仿宋_GB2312" w:cs="仿宋_GB2312"/>
          <w:sz w:val="32"/>
          <w:szCs w:val="32"/>
        </w:rPr>
        <w:t>169.47</w:t>
      </w:r>
      <w:r>
        <w:rPr>
          <w:rFonts w:hint="eastAsia" w:ascii="仿宋_GB2312" w:hAnsi="仿宋_GB2312" w:eastAsia="仿宋_GB2312" w:cs="仿宋_GB2312"/>
          <w:sz w:val="32"/>
          <w:szCs w:val="32"/>
        </w:rPr>
        <w:t>亿元，经济规模快速增长。地方一般公共预算收入由2020年的6.68亿元增至2025年的11.4亿元，年均增速11.28%，高于全市平均水平。固定资产投资五年累计完成超8</w:t>
      </w:r>
      <w:r>
        <w:rPr>
          <w:rFonts w:ascii="仿宋_GB2312" w:hAnsi="仿宋_GB2312" w:eastAsia="仿宋_GB2312" w:cs="仿宋_GB2312"/>
          <w:sz w:val="32"/>
          <w:szCs w:val="32"/>
        </w:rPr>
        <w:t>45.89</w:t>
      </w:r>
      <w:r>
        <w:rPr>
          <w:rFonts w:hint="eastAsia" w:ascii="仿宋_GB2312" w:hAnsi="仿宋_GB2312" w:eastAsia="仿宋_GB2312" w:cs="仿宋_GB2312"/>
          <w:sz w:val="32"/>
          <w:szCs w:val="32"/>
        </w:rPr>
        <w:t>亿元，202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年达到16</w:t>
      </w:r>
      <w:r>
        <w:rPr>
          <w:rFonts w:ascii="仿宋_GB2312" w:hAnsi="仿宋_GB2312" w:eastAsia="仿宋_GB2312" w:cs="仿宋_GB2312"/>
          <w:sz w:val="32"/>
          <w:szCs w:val="32"/>
        </w:rPr>
        <w:t>9.47</w:t>
      </w:r>
      <w:r>
        <w:rPr>
          <w:rFonts w:hint="eastAsia" w:ascii="仿宋_GB2312" w:hAnsi="仿宋_GB2312" w:eastAsia="仿宋_GB2312" w:cs="仿宋_GB2312"/>
          <w:sz w:val="32"/>
          <w:szCs w:val="32"/>
        </w:rPr>
        <w:t>亿元，同比增长</w:t>
      </w:r>
      <w:r>
        <w:rPr>
          <w:rFonts w:ascii="仿宋_GB2312" w:hAnsi="仿宋_GB2312" w:eastAsia="仿宋_GB2312" w:cs="仿宋_GB2312"/>
          <w:sz w:val="32"/>
          <w:szCs w:val="32"/>
        </w:rPr>
        <w:t>5.9</w:t>
      </w:r>
      <w:r>
        <w:rPr>
          <w:rFonts w:hint="eastAsia" w:ascii="仿宋_GB2312" w:hAnsi="仿宋_GB2312" w:eastAsia="仿宋_GB2312" w:cs="仿宋_GB2312"/>
          <w:sz w:val="32"/>
          <w:szCs w:val="32"/>
        </w:rPr>
        <w:t>%。城镇和农村常住居民人均可支配收入分别由2020年的40479元和19126元增至202</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年的48560元和</w:t>
      </w:r>
      <w:r>
        <w:rPr>
          <w:rFonts w:ascii="仿宋_GB2312" w:hAnsi="仿宋_GB2312" w:eastAsia="仿宋_GB2312" w:cs="仿宋_GB2312"/>
          <w:sz w:val="32"/>
          <w:szCs w:val="32"/>
        </w:rPr>
        <w:t>26066</w:t>
      </w:r>
      <w:r>
        <w:rPr>
          <w:rFonts w:hint="eastAsia" w:ascii="仿宋_GB2312" w:hAnsi="仿宋_GB2312" w:eastAsia="仿宋_GB2312" w:cs="仿宋_GB2312"/>
          <w:sz w:val="32"/>
          <w:szCs w:val="32"/>
        </w:rPr>
        <w:t>元，年均增速分别为3.</w:t>
      </w:r>
      <w:r>
        <w:rPr>
          <w:rFonts w:ascii="仿宋_GB2312" w:hAnsi="仿宋_GB2312" w:eastAsia="仿宋_GB2312" w:cs="仿宋_GB2312"/>
          <w:sz w:val="32"/>
          <w:szCs w:val="32"/>
        </w:rPr>
        <w:t>71</w:t>
      </w:r>
      <w:r>
        <w:rPr>
          <w:rFonts w:hint="eastAsia" w:ascii="仿宋_GB2312" w:hAnsi="仿宋_GB2312" w:eastAsia="仿宋_GB2312" w:cs="仿宋_GB2312"/>
          <w:sz w:val="32"/>
          <w:szCs w:val="32"/>
        </w:rPr>
        <w:t>%和</w:t>
      </w:r>
      <w:r>
        <w:rPr>
          <w:rFonts w:ascii="仿宋_GB2312" w:hAnsi="仿宋_GB2312" w:eastAsia="仿宋_GB2312" w:cs="仿宋_GB2312"/>
          <w:sz w:val="32"/>
          <w:szCs w:val="32"/>
        </w:rPr>
        <w:t>6.39</w:t>
      </w:r>
      <w:r>
        <w:rPr>
          <w:rFonts w:hint="eastAsia" w:ascii="仿宋_GB2312" w:hAnsi="仿宋_GB2312" w:eastAsia="仿宋_GB2312" w:cs="仿宋_GB2312"/>
          <w:sz w:val="32"/>
          <w:szCs w:val="32"/>
        </w:rPr>
        <w:t>%。</w:t>
      </w:r>
    </w:p>
    <w:p>
      <w:pPr>
        <w:spacing w:line="560" w:lineRule="exact"/>
        <w:ind w:firstLine="642" w:firstLineChars="200"/>
        <w:rPr>
          <w:rFonts w:ascii="仿宋_GB2312" w:hAnsi="仿宋_GB2312" w:eastAsia="仿宋_GB2312" w:cs="仿宋_GB2312"/>
          <w:sz w:val="32"/>
          <w:szCs w:val="32"/>
        </w:rPr>
      </w:pPr>
      <w:r>
        <w:rPr>
          <w:rFonts w:hint="eastAsia" w:ascii="仿宋_GB2312" w:eastAsia="仿宋_GB2312"/>
          <w:b/>
          <w:bCs/>
          <w:sz w:val="32"/>
          <w:szCs w:val="32"/>
        </w:rPr>
        <w:t>现代化产业加速壮大。</w:t>
      </w:r>
      <w:r>
        <w:rPr>
          <w:rFonts w:hint="eastAsia" w:ascii="仿宋_GB2312" w:eastAsia="仿宋_GB2312"/>
          <w:sz w:val="32"/>
          <w:szCs w:val="32"/>
        </w:rPr>
        <w:t>热带高效农业加速发展，落地海垦冷链项目，获评“三品一标”农产品1个、名特优新农产品2个。</w:t>
      </w:r>
      <w:r>
        <w:rPr>
          <w:rFonts w:hint="eastAsia" w:ascii="仿宋_GB2312" w:hAnsi="仿宋_GB2312" w:eastAsia="仿宋_GB2312" w:cs="仿宋_GB2312"/>
          <w:sz w:val="32"/>
          <w:szCs w:val="32"/>
        </w:rPr>
        <w:t>旅游产业实现转型升级，高端酒店、休闲旅游、消费购物、医疗康养、会议会展五大业态持续发展壮大，产业发展成效明显，逐步由“一业独大”到“五轮驱动”，全区各涉旅企业累计接待游客量超过8637.43万人次，营业收入超过1341.18亿元，新增2家国家4A级旅游景区。2024年海棠区成功获批海南省500亿级休闲旅游产业集群创建项目，2</w:t>
      </w:r>
      <w:r>
        <w:rPr>
          <w:rFonts w:ascii="仿宋_GB2312" w:hAnsi="仿宋_GB2312" w:eastAsia="仿宋_GB2312" w:cs="仿宋_GB2312"/>
          <w:sz w:val="32"/>
          <w:szCs w:val="32"/>
        </w:rPr>
        <w:t>025</w:t>
      </w:r>
      <w:r>
        <w:rPr>
          <w:rFonts w:hint="eastAsia" w:ascii="仿宋_GB2312" w:hAnsi="仿宋_GB2312" w:eastAsia="仿宋_GB2312" w:cs="仿宋_GB2312"/>
          <w:sz w:val="32"/>
          <w:szCs w:val="32"/>
        </w:rPr>
        <w:t>年，海棠区入选“2025中国旅游百强区”。免税购物金额累计达到1135.08亿元，多个高端购物消费项目加快建设，建成全国豪华酒店品牌最密集的“酒店海岸带”，集聚23家国际高端品牌酒店。医疗康养产业稳步发展，北京大学口腔医院三亚分院、“大三亚”120急救体系等重点项目建设有序推进</w:t>
      </w:r>
      <w:r>
        <w:rPr>
          <w:rFonts w:hint="eastAsia" w:ascii="仿宋_GB2312" w:hAnsi="仿宋_GB2312" w:eastAsia="仿宋_GB2312" w:cs="仿宋_GB2312"/>
          <w:sz w:val="32"/>
          <w:szCs w:val="32"/>
          <w:lang w:val="en"/>
        </w:rPr>
        <w:t>。</w:t>
      </w:r>
      <w:r>
        <w:rPr>
          <w:rFonts w:hint="eastAsia" w:ascii="仿宋_GB2312" w:hAnsi="仿宋_GB2312" w:eastAsia="仿宋_GB2312" w:cs="仿宋_GB2312"/>
          <w:sz w:val="32"/>
          <w:szCs w:val="32"/>
        </w:rPr>
        <w:t>会议会展产业初步成型，累计承办国内外会议会展2700余场，创收超9.2亿元。</w:t>
      </w:r>
      <w:r>
        <w:rPr>
          <w:rFonts w:hint="eastAsia" w:ascii="仿宋_GB2312" w:hAnsi="仿宋_GB2312" w:eastAsia="仿宋_GB2312" w:cs="仿宋_GB2312"/>
          <w:color w:val="auto"/>
          <w:sz w:val="32"/>
          <w:szCs w:val="32"/>
        </w:rPr>
        <w:t>有序谋划总部经济布局，累计引进13家“三类500强”企业和5家总部企业。</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深化改革迸发新活力。</w:t>
      </w:r>
      <w:r>
        <w:rPr>
          <w:rFonts w:hint="eastAsia" w:ascii="仿宋_GB2312" w:hAnsi="仿宋_GB2312" w:eastAsia="仿宋_GB2312" w:cs="仿宋_GB2312"/>
          <w:sz w:val="32"/>
          <w:szCs w:val="32"/>
        </w:rPr>
        <w:t>营商环境优化提升，“一枚印章管审批”“零跑动”改革成效明显，政务服务集中办理率和一窗通办率全市领先，区政务服务大厅设立“跨区域通办窗口”，构建“全市通办”“全省通办”“跨省通办”的多层级通办体系，做好通办事项预审收件工作，实现异地事项“一窗受理”。信用体系建设不断完善，在全市首创“信用+免税”“信用+冲浪”应用场景。全面深化党政机构、“放管服”“三农”事项等重点领域和关键环节改革，顺利完成机构改革任务，优化重点领域机构设置和职能配置，完成集体产权制度改革，建立农村产权流转交易市场，完成农村产权交易</w:t>
      </w:r>
      <w:r>
        <w:rPr>
          <w:rFonts w:ascii="仿宋_GB2312" w:hAnsi="仿宋_GB2312" w:eastAsia="仿宋_GB2312" w:cs="仿宋_GB2312"/>
          <w:sz w:val="32"/>
          <w:szCs w:val="32"/>
        </w:rPr>
        <w:t>92</w:t>
      </w:r>
      <w:r>
        <w:rPr>
          <w:rFonts w:hint="eastAsia" w:ascii="仿宋_GB2312" w:hAnsi="仿宋_GB2312" w:eastAsia="仿宋_GB2312" w:cs="仿宋_GB2312"/>
          <w:sz w:val="32"/>
          <w:szCs w:val="32"/>
        </w:rPr>
        <w:t>单，金额</w:t>
      </w:r>
      <w:r>
        <w:rPr>
          <w:rFonts w:ascii="仿宋_GB2312" w:hAnsi="仿宋_GB2312" w:eastAsia="仿宋_GB2312" w:cs="仿宋_GB2312"/>
          <w:sz w:val="32"/>
          <w:szCs w:val="32"/>
        </w:rPr>
        <w:t>1.46</w:t>
      </w:r>
      <w:r>
        <w:rPr>
          <w:rFonts w:hint="eastAsia" w:ascii="仿宋_GB2312" w:hAnsi="仿宋_GB2312" w:eastAsia="仿宋_GB2312" w:cs="仿宋_GB2312"/>
          <w:sz w:val="32"/>
          <w:szCs w:val="32"/>
        </w:rPr>
        <w:t>亿元。宅基地“五到场”审批模式推广，农民财产性收入稳步提升。</w:t>
      </w:r>
    </w:p>
    <w:p>
      <w:pPr>
        <w:spacing w:line="560" w:lineRule="exact"/>
        <w:ind w:firstLine="642" w:firstLineChars="200"/>
        <w:rPr>
          <w:rFonts w:ascii="仿宋_GB2312" w:hAnsi="仿宋_GB2312" w:eastAsia="仿宋_GB2312" w:cs="仿宋_GB2312"/>
          <w:sz w:val="32"/>
          <w:szCs w:val="32"/>
          <w:lang w:val="en"/>
        </w:rPr>
      </w:pPr>
      <w:r>
        <w:rPr>
          <w:rFonts w:hint="eastAsia" w:ascii="仿宋_GB2312" w:hAnsi="仿宋_GB2312" w:eastAsia="仿宋_GB2312" w:cs="仿宋_GB2312"/>
          <w:b/>
          <w:bCs/>
          <w:sz w:val="32"/>
          <w:szCs w:val="32"/>
        </w:rPr>
        <w:t>社会事业全面进步。</w:t>
      </w:r>
      <w:r>
        <w:rPr>
          <w:rFonts w:hint="eastAsia" w:ascii="仿宋_GB2312" w:hAnsi="仿宋_GB2312" w:eastAsia="仿宋_GB2312" w:cs="仿宋_GB2312"/>
          <w:sz w:val="32"/>
          <w:szCs w:val="32"/>
        </w:rPr>
        <w:t>实施就业优先战略，积极落实就业保障政策，努力拓宽重点群体就业渠道，4个就业驿站建成运行，城镇新增灵活就业累计4</w:t>
      </w:r>
      <w:r>
        <w:rPr>
          <w:rFonts w:ascii="仿宋_GB2312" w:hAnsi="仿宋_GB2312" w:eastAsia="仿宋_GB2312" w:cs="仿宋_GB2312"/>
          <w:sz w:val="32"/>
          <w:szCs w:val="32"/>
        </w:rPr>
        <w:t>452</w:t>
      </w:r>
      <w:r>
        <w:rPr>
          <w:rFonts w:hint="eastAsia" w:ascii="仿宋_GB2312" w:hAnsi="仿宋_GB2312" w:eastAsia="仿宋_GB2312" w:cs="仿宋_GB2312"/>
          <w:sz w:val="32"/>
          <w:szCs w:val="32"/>
        </w:rPr>
        <w:t>人，农村劳动力转移就业累计6</w:t>
      </w:r>
      <w:r>
        <w:rPr>
          <w:rFonts w:ascii="仿宋_GB2312" w:hAnsi="仿宋_GB2312" w:eastAsia="仿宋_GB2312" w:cs="仿宋_GB2312"/>
          <w:sz w:val="32"/>
          <w:szCs w:val="32"/>
        </w:rPr>
        <w:t>682</w:t>
      </w:r>
      <w:r>
        <w:rPr>
          <w:rFonts w:hint="eastAsia" w:ascii="仿宋_GB2312" w:hAnsi="仿宋_GB2312" w:eastAsia="仿宋_GB2312" w:cs="仿宋_GB2312"/>
          <w:sz w:val="32"/>
          <w:szCs w:val="32"/>
        </w:rPr>
        <w:t>人。社会保障体系不断完善，城乡居民基本医疗参保率达96%以上，养老保险参保率超额完成市里下发任务。教育供给提质增量，新建公办幼儿园</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所、新建和改扩建中小学9所，普惠性幼儿园覆盖率达100%，完成组建3个学区联盟和4个紧密型教育集团，境外高等教育机构独立办学项目海南洛桑旅游大学正式招生。被教育部认定为“国家学前教育普及普惠县（市、区）”，顺利通过县域义务教育优质均衡省级督导评估。医疗卫生服务能力稳步提升，林旺卫生院、藤桥卫生院、南田医院等一批改扩建项目建成投入使用，5G远程医疗设备覆盖率达100%。强化保障性租赁住房和安置房建设和供给，累计分配保障性租赁住房1122套、安居房2998套。养老服务实现全覆盖，海棠区敬老院正式投入使用，创新</w:t>
      </w:r>
      <w:r>
        <w:rPr>
          <w:rFonts w:hint="eastAsia" w:ascii="仿宋_GB2312" w:hAnsi="仿宋_GB2312" w:eastAsia="仿宋_GB2312" w:cs="仿宋_GB2312"/>
          <w:sz w:val="32"/>
          <w:szCs w:val="32"/>
          <w:lang w:val="en"/>
        </w:rPr>
        <w:t>打造“1+N+X”智慧居家养老项目，建成</w:t>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
        </w:rPr>
        <w:t>家老年人日间照料中心、</w:t>
      </w:r>
      <w:r>
        <w:rPr>
          <w:rFonts w:hint="eastAsia" w:ascii="仿宋_GB2312" w:hAnsi="仿宋_GB2312" w:eastAsia="仿宋_GB2312" w:cs="仿宋_GB2312"/>
          <w:sz w:val="32"/>
          <w:szCs w:val="32"/>
        </w:rPr>
        <w:t>10家居家养老服务站点、</w:t>
      </w:r>
      <w:r>
        <w:rPr>
          <w:rFonts w:hint="eastAsia" w:ascii="仿宋_GB2312" w:hAnsi="仿宋_GB2312" w:eastAsia="仿宋_GB2312" w:cs="仿宋_GB2312"/>
          <w:sz w:val="32"/>
          <w:szCs w:val="32"/>
          <w:lang w:val="en"/>
        </w:rPr>
        <w:t>3家长者食堂，</w:t>
      </w:r>
      <w:r>
        <w:rPr>
          <w:rFonts w:hint="eastAsia" w:ascii="仿宋_GB2312" w:hAnsi="仿宋_GB2312" w:eastAsia="仿宋_GB2312" w:cs="仿宋_GB2312"/>
          <w:sz w:val="32"/>
          <w:szCs w:val="32"/>
        </w:rPr>
        <w:t>林旺社区被国家卫生健康委全国老龄办命名为2023年全国示范性老年友好型社区。残疾人康复与儿童救助事业取得新成效，设立鹿城心灵驿站南田、林旺站点，累计为超过2万人次提供服务。</w:t>
      </w:r>
      <w:r>
        <w:rPr>
          <w:rFonts w:hint="eastAsia" w:ascii="仿宋_GB2312" w:hAnsi="仿宋_GB2312" w:eastAsia="仿宋_GB2312" w:cs="仿宋_GB2312"/>
          <w:sz w:val="32"/>
          <w:szCs w:val="32"/>
          <w:lang w:val="en"/>
        </w:rPr>
        <w:t>文体事业繁荣发展，成功举办FE电动方程式锦标赛、海南岛国际电影节等活动，全力保障第十二届全国少数民族传统体育运动会，受到省市通报表扬，群众性文体活动广泛开展，人民群众的获得感幸福感安全感明显提升。</w:t>
      </w:r>
      <w:r>
        <w:rPr>
          <w:rFonts w:ascii="Times New Roman" w:hAnsi="Times New Roman" w:eastAsia="仿宋_GB2312"/>
          <w:sz w:val="32"/>
          <w:szCs w:val="32"/>
        </w:rPr>
        <w:t>海棠区获评全国县域商业</w:t>
      </w:r>
      <w:r>
        <w:rPr>
          <w:rFonts w:hint="eastAsia" w:ascii="Times New Roman" w:hAnsi="Times New Roman" w:eastAsia="仿宋_GB2312"/>
          <w:sz w:val="32"/>
          <w:szCs w:val="32"/>
        </w:rPr>
        <w:t>“</w:t>
      </w:r>
      <w:r>
        <w:rPr>
          <w:rFonts w:ascii="Times New Roman" w:hAnsi="Times New Roman" w:eastAsia="仿宋_GB2312"/>
          <w:sz w:val="32"/>
          <w:szCs w:val="32"/>
        </w:rPr>
        <w:t>领跑县</w:t>
      </w:r>
      <w:r>
        <w:rPr>
          <w:rFonts w:hint="eastAsia" w:ascii="Times New Roman" w:hAnsi="Times New Roman" w:eastAsia="仿宋_GB2312"/>
          <w:sz w:val="32"/>
          <w:szCs w:val="32"/>
        </w:rPr>
        <w:t>”</w:t>
      </w:r>
      <w:r>
        <w:rPr>
          <w:rFonts w:ascii="Times New Roman" w:hAnsi="Times New Roman" w:eastAsia="仿宋_GB2312"/>
          <w:sz w:val="32"/>
          <w:szCs w:val="32"/>
        </w:rPr>
        <w:t>典型案例</w:t>
      </w:r>
      <w:r>
        <w:rPr>
          <w:rFonts w:hint="eastAsia" w:ascii="Times New Roman" w:hAnsi="Times New Roman" w:eastAsia="仿宋_GB2312"/>
          <w:sz w:val="32"/>
          <w:szCs w:val="32"/>
        </w:rPr>
        <w:t>。</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城乡品质显著优化。</w:t>
      </w:r>
      <w:r>
        <w:rPr>
          <w:rFonts w:hint="eastAsia" w:ascii="仿宋_GB2312" w:hAnsi="仿宋_GB2312" w:eastAsia="仿宋_GB2312" w:cs="仿宋_GB2312"/>
          <w:sz w:val="32"/>
          <w:szCs w:val="32"/>
        </w:rPr>
        <w:t>城乡基础设施明显改善，“三纵九横”骨干路网基本建成，打通供水“最后一公里”，实现城乡+农垦供水“五同”，</w:t>
      </w:r>
      <w:r>
        <w:rPr>
          <w:rFonts w:hint="eastAsia" w:ascii="仿宋_GB2312" w:hAnsi="仿宋_GB2312" w:eastAsia="仿宋_GB2312" w:cs="仿宋_GB2312"/>
          <w:sz w:val="32"/>
          <w:szCs w:val="32"/>
          <w:lang w:val="en"/>
        </w:rPr>
        <w:t>新增市政道路</w:t>
      </w:r>
      <w:r>
        <w:rPr>
          <w:rFonts w:hint="eastAsia" w:ascii="仿宋_GB2312" w:hAnsi="仿宋_GB2312" w:eastAsia="仿宋_GB2312" w:cs="仿宋_GB2312"/>
          <w:sz w:val="32"/>
          <w:szCs w:val="32"/>
        </w:rPr>
        <w:t>20公里，污水管网142公里，公共充电桩968个。城市治理体系更加高效，创新“政府+企业”公共绿地建设管理模式，“创文巩卫”取得显著成效，“四定”网格化管理、市容环境整治和乡村“四宜”建设持续深化，海棠河生态公园成为海棠新景观，入选城市儿童友好空间建设可复制级经验清单（第一批）。乡村振兴扎实推进，培育了“田湾薏米”“湾坡鸭”等特色品牌，</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和美乡村获省级认定通过，藤海社区入选省级乡村振兴示范村，组建海棠区农村集体经济行业联建党委，创新“村办物业”模式，村集体经济“薄弱村”清零，坚决清理整治违建别墅和农村乱占耕地建房问题，持续推进农村移风易俗，城乡发展更加协调。</w:t>
      </w:r>
    </w:p>
    <w:p>
      <w:pPr>
        <w:spacing w:line="560" w:lineRule="exact"/>
        <w:ind w:firstLine="642"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生态环境持续改善。</w:t>
      </w:r>
      <w:r>
        <w:rPr>
          <w:rFonts w:hint="eastAsia" w:ascii="仿宋_GB2312" w:hAnsi="仿宋_GB2312" w:eastAsia="仿宋_GB2312" w:cs="仿宋_GB2312"/>
          <w:sz w:val="32"/>
          <w:szCs w:val="32"/>
        </w:rPr>
        <w:t>中央及省级环保督察问题整改落实到位，全面完成近海养殖禁养区退塘还林（湿）和退果还林工作。坚决打好污染防治攻坚战，全年空气质量优良率连续五年保持达标，地表水国省考断面水质全部达标，农村黑臭水体动态清零。海棠区被评为“绿水青山就是金山银山”实践创新基地，海棠湾被评为国家级美丽海湾，赤田水库流域生态环境补偿机制创新实践工作获选国家生态文明试验区改革成果案例，蜈支洲岛珊瑚礁生态系统生态保护修复项目入选自然资源部海洋生态保护修复典型案例。深入开展“禁塑”“无废城市”和土壤污染源头防控建设工作，积极推动多场景分布式光伏发电应用。</w:t>
      </w:r>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color w:val="auto"/>
          <w:sz w:val="32"/>
          <w:szCs w:val="32"/>
        </w:rPr>
        <w:t>统筹发展和安全展现新作为。</w:t>
      </w:r>
      <w:r>
        <w:rPr>
          <w:rFonts w:hint="eastAsia" w:ascii="仿宋_GB2312" w:hAnsi="仿宋_GB2312" w:eastAsia="仿宋_GB2312" w:cs="仿宋_GB2312"/>
          <w:color w:val="auto"/>
          <w:sz w:val="32"/>
          <w:szCs w:val="32"/>
        </w:rPr>
        <w:t>法治政府建设纵深推进，</w:t>
      </w:r>
      <w:r>
        <w:rPr>
          <w:rFonts w:hint="eastAsia" w:ascii="仿宋_GB2312" w:hAnsi="仿宋_GB2312" w:eastAsia="仿宋_GB2312" w:cs="仿宋_GB2312"/>
          <w:color w:val="auto"/>
          <w:sz w:val="32"/>
          <w:szCs w:val="32"/>
          <w:lang w:val="en"/>
        </w:rPr>
        <w:t>海棠区获得首批“全国守法普法示范市（县、区）”</w:t>
      </w:r>
      <w:r>
        <w:rPr>
          <w:rFonts w:hint="eastAsia"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北山法治文化公园获批全国法治宣传教育基地</w:t>
      </w:r>
      <w:r>
        <w:rPr>
          <w:rFonts w:hint="eastAsia" w:ascii="仿宋_GB2312" w:hAnsi="仿宋_GB2312" w:eastAsia="仿宋_GB2312" w:cs="仿宋_GB2312"/>
          <w:color w:val="auto"/>
          <w:sz w:val="32"/>
          <w:szCs w:val="32"/>
          <w:lang w:val="en"/>
        </w:rPr>
        <w:t>。</w:t>
      </w:r>
      <w:r>
        <w:rPr>
          <w:rFonts w:hint="eastAsia" w:ascii="仿宋_GB2312" w:hAnsi="仿宋_GB2312" w:eastAsia="仿宋_GB2312" w:cs="仿宋_GB2312"/>
          <w:sz w:val="32"/>
          <w:szCs w:val="32"/>
        </w:rPr>
        <w:t>平安海棠建设成效显著，常态化开展扫黑除恶斗争，重拳打击“盗抢骗”“黄赌毒”电信诈骗等各类违法犯罪活动，扎实开展非法集资风险排查活动。持续加大离岛免税“套代购”走私行为打击整治力度，高标准完成后海反走私综合执法站新建项目任务。深入实施海棠区安全生产治本攻坚三年行动，安全形势保持稳定。社会治理体系和治理能力明显提高，在全省率先启动50万—400万（不含）工程建设项目“机器管招投”标试点工作，持续正风肃纪反腐；“海棠夜话”入选全国第七届基层党建创新典型案例，新增3个新社区，4个大社区服务中心投入使用，基层治理单元不断优化。</w:t>
      </w:r>
    </w:p>
    <w:p>
      <w:pPr>
        <w:pStyle w:val="20"/>
        <w:spacing w:after="0" w:line="560" w:lineRule="exact"/>
        <w:ind w:left="0" w:leftChars="0"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以上成绩的取得，根本在于以习近平总书记为核心的党中央领航掌舵，在于习近平新时代中国特色社会主义思想和习近平总书记关于海南工作的系列重要讲话和指示批示精神的正确指引，是省委、省政府和市委、市政府坚强领导的结果，是区委、区政府团结带领全区干部群众砥砺奋进、奋力拼搏的结果！</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7" w:name="_Toc217846660"/>
      <w:bookmarkStart w:id="8" w:name="_Toc229555762"/>
      <w:bookmarkStart w:id="9" w:name="_Toc220742572"/>
      <w:r>
        <w:rPr>
          <w:rFonts w:hint="eastAsia" w:ascii="黑体" w:hAnsi="黑体" w:eastAsia="黑体" w:cs="黑体"/>
          <w:b w:val="0"/>
          <w:bCs w:val="0"/>
        </w:rPr>
        <w:t>第二节 “十五五”面临的新机遇和新挑战</w:t>
      </w:r>
      <w:bookmarkEnd w:id="7"/>
      <w:bookmarkEnd w:id="8"/>
      <w:bookmarkEnd w:id="9"/>
    </w:p>
    <w:p>
      <w:pPr>
        <w:pStyle w:val="18"/>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五五”时期是海棠区融入海南自由贸易港建设、加快打造国际旅游消费中心核心引领区的关键阶段，具有承前启后的重要意义。当前发展环境机遇与挑战并存、不确定性明显上升，但政策红利持续释放、资源禀赋优势突出，总体上机遇大于挑战、有利条件多于不利因素。</w:t>
      </w:r>
    </w:p>
    <w:p>
      <w:pPr>
        <w:pStyle w:val="18"/>
        <w:spacing w:beforeAutospacing="0" w:after="0" w:afterAutospacing="0"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主要机遇。</w:t>
      </w:r>
      <w:r>
        <w:rPr>
          <w:rFonts w:hint="eastAsia" w:ascii="仿宋_GB2312" w:hAnsi="仿宋_GB2312" w:eastAsia="仿宋_GB2312" w:cs="仿宋_GB2312"/>
          <w:sz w:val="32"/>
          <w:szCs w:val="32"/>
        </w:rPr>
        <w:t>当前，海棠区正处于多重国家战略叠加、政策红利加速释放的重要机遇期。海南自贸港港封关运作、新一轮科技革命和产业变革持续深化，为海棠区高质量发展提供了坚实支撑。海棠区作为“国际旅游消费中心核心引领区”，坐拥“国家海岸”核心资源，是三亚中高端文旅、免税消费和中高端康养的集中承载地。中央“十五五”规划建议提出推动绿色低碳发展、建设更高水平开放型经济新体制，与海棠区以旅游消费、医疗康养为主导的产业体系高度契合。随着制度型开放不断深化，海棠区在集聚高端要素资源、延伸旅游消费产业链、培育新兴消费和服务业态、提升国际化水平等方面，将迎来更加广阔的发展空间。</w:t>
      </w:r>
    </w:p>
    <w:p>
      <w:pPr>
        <w:pStyle w:val="18"/>
        <w:spacing w:beforeAutospacing="0" w:after="0" w:afterAutospacing="0"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主要挑战。</w:t>
      </w:r>
      <w:r>
        <w:rPr>
          <w:rFonts w:hint="eastAsia" w:ascii="仿宋_GB2312" w:hAnsi="仿宋_GB2312" w:eastAsia="仿宋_GB2312" w:cs="仿宋_GB2312"/>
          <w:sz w:val="32"/>
          <w:szCs w:val="32"/>
        </w:rPr>
        <w:t>国际环境复杂多变，地缘政治冲突、全球经济下行压力叠加，对于海棠区旅游消费经济稳定性形成冲击。同时，海棠区产业链韧性不足，经济对外开放广度和深度还不够，旅游产业亟需转型升级，城乡区域发展不平衡，基础设施、教育医疗和社会治理等民生领域短板较为明显，封关后新型风险多元多变。</w:t>
      </w:r>
    </w:p>
    <w:p>
      <w:pPr>
        <w:pStyle w:val="18"/>
        <w:spacing w:beforeAutospacing="0" w:after="0" w:afterAutospacing="0" w:line="560" w:lineRule="exact"/>
        <w:ind w:firstLine="640" w:firstLineChars="200"/>
        <w:rPr>
          <w:rFonts w:ascii="仿宋_GB2312" w:hAnsi="仿宋_GB2312" w:eastAsia="仿宋_GB2312" w:cs="仿宋_GB2312"/>
          <w:b/>
          <w:bCs/>
        </w:rPr>
      </w:pPr>
      <w:r>
        <w:rPr>
          <w:rFonts w:hint="eastAsia" w:ascii="仿宋_GB2312" w:hAnsi="仿宋_GB2312" w:eastAsia="仿宋_GB2312" w:cs="仿宋_GB2312"/>
          <w:sz w:val="32"/>
          <w:szCs w:val="32"/>
        </w:rPr>
        <w:t>海棠整体面临“不进则退、慢进亦退”的竞争态势。变局蕴藏机遇，挑战倒逼突破。全区上下应保持战略定力，以更强担当和更实举措抢抓自贸港封关运作机遇、有效应对风险挑战，聚焦旅游消费和现代服务发展主业、办好实事，以确定性的作为应对不确定的外部环境，奋力推动海棠区在“十五五”时期实现更高质量、更有效率、更可持续的发展。</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0" w:name="_Toc220742573"/>
      <w:bookmarkStart w:id="11" w:name="_Toc229555763"/>
      <w:r>
        <w:rPr>
          <w:rFonts w:hint="eastAsia" w:ascii="黑体" w:hAnsi="黑体" w:eastAsia="黑体" w:cs="黑体"/>
          <w:b w:val="0"/>
          <w:bCs w:val="0"/>
        </w:rPr>
        <w:t>第三节 指导思想</w:t>
      </w:r>
      <w:bookmarkEnd w:id="10"/>
      <w:bookmarkEnd w:id="11"/>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马克思列宁主义、毛泽东思想、邓小平理论、“三个代表”重要思想、科学发展观，全面贯彻习近平新时代中国特色社会主义思想，深入贯彻党的二十大和二十届历次全会精神，认真贯彻习近平总书记关于海南工作的系列重要讲话和指示批示精神，围绕全面建成社会主义现代化强国、实现第二个百年奋斗目标，以中国式现代化全面推进中华民族伟大复兴，统筹推进“五位一体”总体布局，协调推进“四个全面”战略布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锚定“一本三基四梁八柱”战略框架，严格按照三亚市打造“一标杆、五个区”的战略要求，紧紧把握自由贸易港封关的历史机遇，以推动高质量发展、创造高品质生活、实现高效能治理为目标导向，统筹发展与安全，全方位推进社会治理体系和治理能力现代化，为三亚打造国际旅游消费中心核心区、</w:t>
      </w:r>
      <w:r>
        <w:rPr>
          <w:rFonts w:hint="eastAsia" w:ascii="仿宋_GB2312" w:hAnsi="仿宋_GB2312" w:eastAsia="仿宋_GB2312" w:cs="仿宋_GB2312"/>
          <w:sz w:val="32"/>
          <w:szCs w:val="32"/>
          <w:lang w:val="en"/>
        </w:rPr>
        <w:t>中国特色</w:t>
      </w:r>
      <w:r>
        <w:rPr>
          <w:rFonts w:hint="eastAsia" w:ascii="仿宋_GB2312" w:hAnsi="仿宋_GB2312" w:eastAsia="仿宋_GB2312" w:cs="仿宋_GB2312"/>
          <w:sz w:val="32"/>
          <w:szCs w:val="32"/>
        </w:rPr>
        <w:t>自由贸易港建设标杆、世界级滨海城市和美丽中国先行区做出海棠贡献。</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2" w:name="_Toc217846663"/>
      <w:bookmarkStart w:id="13" w:name="_Toc229555764"/>
      <w:bookmarkStart w:id="14" w:name="_Toc220742574"/>
      <w:r>
        <w:rPr>
          <w:rFonts w:hint="eastAsia" w:ascii="黑体" w:hAnsi="黑体" w:eastAsia="黑体" w:cs="黑体"/>
          <w:b w:val="0"/>
          <w:bCs w:val="0"/>
        </w:rPr>
        <w:t>第四节 基本原则</w:t>
      </w:r>
      <w:bookmarkEnd w:id="12"/>
      <w:bookmarkEnd w:id="13"/>
      <w:bookmarkEnd w:id="14"/>
    </w:p>
    <w:p>
      <w:pPr>
        <w:spacing w:line="56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坚持党的全面领导。</w:t>
      </w:r>
      <w:r>
        <w:rPr>
          <w:rFonts w:hint="eastAsia" w:ascii="仿宋_GB2312" w:hAnsi="仿宋_GB2312" w:eastAsia="仿宋_GB2312" w:cs="仿宋_GB2312"/>
          <w:sz w:val="32"/>
          <w:szCs w:val="32"/>
        </w:rPr>
        <w:t>增强“四个意识”、坚定“四个自信”、做到“两个维护”，更好发挥各级党组织总揽全局、协调各方作用，不断提高贯彻新发展理念、构建新发展格局的能力和水平，始终为海棠区的经济社会发展把牢正确方向、凝聚人心力量，服务国家发展新战略。</w:t>
      </w:r>
    </w:p>
    <w:p>
      <w:pPr>
        <w:spacing w:line="560" w:lineRule="exact"/>
        <w:ind w:firstLine="642" w:firstLineChars="200"/>
        <w:rPr>
          <w:rFonts w:ascii="仿宋_GB2312" w:hAnsi="仿宋_GB2312" w:eastAsia="仿宋_GB2312" w:cs="仿宋_GB2312"/>
        </w:rPr>
      </w:pPr>
      <w:r>
        <w:rPr>
          <w:rFonts w:hint="eastAsia" w:ascii="仿宋_GB2312" w:hAnsi="仿宋_GB2312" w:eastAsia="仿宋_GB2312" w:cs="仿宋_GB2312"/>
          <w:b/>
          <w:sz w:val="32"/>
          <w:szCs w:val="32"/>
        </w:rPr>
        <w:t>坚持人民至上。</w:t>
      </w:r>
      <w:r>
        <w:rPr>
          <w:rFonts w:hint="eastAsia" w:ascii="仿宋_GB2312" w:hAnsi="仿宋_GB2312" w:eastAsia="仿宋_GB2312" w:cs="仿宋_GB2312"/>
          <w:bCs/>
          <w:sz w:val="32"/>
          <w:szCs w:val="32"/>
        </w:rPr>
        <w:t>尊重人民主体地位，将增进全区人民福祉作为发展的出发点和落脚点,注重在发展中保障和改善民生，在满足民生需求中拓展发展空间，推动经济和社会协调发展、物质文明和精神文明相得益彰，缩小城乡差距，让自由贸易港建设和高质量发展成果惠及全区人民。</w:t>
      </w:r>
    </w:p>
    <w:p>
      <w:pPr>
        <w:spacing w:line="560" w:lineRule="exact"/>
        <w:ind w:firstLine="642"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坚持全面深化改革。</w:t>
      </w:r>
      <w:r>
        <w:rPr>
          <w:rFonts w:hint="eastAsia" w:ascii="仿宋_GB2312" w:hAnsi="仿宋_GB2312" w:eastAsia="仿宋_GB2312" w:cs="仿宋_GB2312"/>
          <w:bCs/>
          <w:sz w:val="32"/>
          <w:szCs w:val="32"/>
        </w:rPr>
        <w:t>全面落实海南自由贸易港建设总体方案，深入实施海南自由贸易港法，聚焦制约高质量发展的体制机制障碍，推进深层次改革，推动更大范围更宽领域更深层次对外开放，持续增强发展动力和社会活力。</w:t>
      </w:r>
    </w:p>
    <w:p>
      <w:pPr>
        <w:pStyle w:val="8"/>
        <w:spacing w:line="560" w:lineRule="exact"/>
        <w:ind w:firstLine="643"/>
        <w:rPr>
          <w:rFonts w:ascii="仿宋_GB2312" w:hAnsi="仿宋_GB2312" w:eastAsia="仿宋_GB2312" w:cs="仿宋_GB2312"/>
          <w:b/>
          <w:sz w:val="32"/>
          <w:szCs w:val="32"/>
        </w:rPr>
      </w:pPr>
      <w:r>
        <w:rPr>
          <w:rFonts w:hint="eastAsia" w:ascii="仿宋_GB2312" w:hAnsi="仿宋_GB2312" w:eastAsia="仿宋_GB2312" w:cs="仿宋_GB2312"/>
          <w:b/>
          <w:sz w:val="32"/>
          <w:szCs w:val="32"/>
        </w:rPr>
        <w:t>坚持高质量发展。</w:t>
      </w:r>
      <w:r>
        <w:rPr>
          <w:rFonts w:hint="eastAsia" w:ascii="仿宋_GB2312" w:hAnsi="仿宋_GB2312" w:eastAsia="仿宋_GB2312" w:cs="仿宋_GB2312"/>
          <w:bCs/>
          <w:sz w:val="32"/>
          <w:szCs w:val="32"/>
        </w:rPr>
        <w:t>以新发展理念引领发展，着力构建具有海棠特色和优势的现代化产业体系，因地制宜发展新质生产力，统筹扩大内需和深化供给侧改革，培育新动能,打造新增长极,深化区域协调、城乡及垦地融合发展。</w:t>
      </w:r>
    </w:p>
    <w:p>
      <w:pPr>
        <w:spacing w:line="560" w:lineRule="exact"/>
        <w:ind w:firstLine="642"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坚持有效市场和有为政府相结合。</w:t>
      </w:r>
      <w:r>
        <w:rPr>
          <w:rFonts w:hint="eastAsia" w:ascii="仿宋_GB2312" w:hAnsi="仿宋_GB2312" w:eastAsia="仿宋_GB2312" w:cs="仿宋_GB2312"/>
          <w:bCs/>
          <w:sz w:val="32"/>
          <w:szCs w:val="32"/>
        </w:rPr>
        <w:t>充分发挥市场在资源配置中的决定性作用，更好发挥政府作用，构建统一、开放、竞争、有序的市场体系，建设法治经济、信用经济。深化行政体制改革，优化政务服务，着力打造市场化国际化一流营商环境。</w:t>
      </w:r>
    </w:p>
    <w:p>
      <w:pPr>
        <w:spacing w:line="560" w:lineRule="exact"/>
        <w:ind w:firstLine="642" w:firstLineChars="200"/>
        <w:rPr>
          <w:rFonts w:ascii="仿宋_GB2312" w:hAnsi="仿宋_GB2312" w:eastAsia="仿宋_GB2312" w:cs="仿宋_GB2312"/>
          <w:bCs/>
          <w:color w:val="FF0000"/>
          <w:sz w:val="32"/>
          <w:szCs w:val="32"/>
        </w:rPr>
      </w:pPr>
      <w:r>
        <w:rPr>
          <w:rFonts w:hint="eastAsia" w:ascii="仿宋_GB2312" w:hAnsi="仿宋_GB2312" w:eastAsia="仿宋_GB2312" w:cs="仿宋_GB2312"/>
          <w:b/>
          <w:sz w:val="32"/>
          <w:szCs w:val="32"/>
        </w:rPr>
        <w:t>坚持生态优先绿色发展。</w:t>
      </w:r>
      <w:r>
        <w:rPr>
          <w:rFonts w:hint="eastAsia" w:ascii="仿宋_GB2312" w:hAnsi="仿宋_GB2312" w:eastAsia="仿宋_GB2312" w:cs="仿宋_GB2312"/>
          <w:bCs/>
          <w:sz w:val="32"/>
          <w:szCs w:val="32"/>
        </w:rPr>
        <w:t>牢固树立和践行绿水青山就是金山银山理念，协同推进高质量发展、高水平保护、高品质生活、高效能治理，严守耕地红线，以绿色增强可持续性发展，推动经济社会发展全面向绿色低碳转型，为三亚打造美丽中国先行区作出海棠贡献。</w:t>
      </w:r>
    </w:p>
    <w:p>
      <w:pPr>
        <w:spacing w:line="560" w:lineRule="exact"/>
        <w:ind w:firstLine="642" w:firstLineChars="200"/>
        <w:rPr>
          <w:rFonts w:ascii="仿宋_GB2312" w:eastAsia="仿宋_GB2312"/>
          <w:bCs/>
          <w:sz w:val="32"/>
          <w:szCs w:val="32"/>
        </w:rPr>
      </w:pPr>
      <w:r>
        <w:rPr>
          <w:rFonts w:hint="eastAsia" w:ascii="仿宋_GB2312" w:hAnsi="仿宋_GB2312" w:eastAsia="仿宋_GB2312" w:cs="仿宋_GB2312"/>
          <w:b/>
          <w:sz w:val="32"/>
          <w:szCs w:val="32"/>
        </w:rPr>
        <w:t>坚持统筹发展和安全。</w:t>
      </w:r>
      <w:r>
        <w:rPr>
          <w:rFonts w:hint="eastAsia" w:ascii="仿宋_GB2312" w:hAnsi="仿宋_GB2312" w:eastAsia="仿宋_GB2312" w:cs="仿宋_GB2312"/>
          <w:bCs/>
          <w:sz w:val="32"/>
          <w:szCs w:val="32"/>
        </w:rPr>
        <w:t>在发展中巩固安全，在安全中谋发展，牢牢守住安全底线，科学有序安排开放节奏和进度，加强风险识别和防范，稳扎稳打、步步为营，增强经济和社会韧性，以新安全格局保障新发展格局</w:t>
      </w:r>
      <w:r>
        <w:rPr>
          <w:rFonts w:hint="eastAsia" w:ascii="仿宋_GB2312" w:eastAsia="仿宋_GB2312"/>
          <w:bCs/>
          <w:sz w:val="32"/>
          <w:szCs w:val="32"/>
        </w:rPr>
        <w:t>。</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5" w:name="_Toc229555765"/>
      <w:bookmarkStart w:id="16" w:name="_Toc217846664"/>
      <w:bookmarkStart w:id="17" w:name="_Toc220742575"/>
      <w:r>
        <w:rPr>
          <w:rFonts w:hint="eastAsia" w:ascii="黑体" w:hAnsi="黑体" w:eastAsia="黑体" w:cs="黑体"/>
          <w:b w:val="0"/>
          <w:bCs w:val="0"/>
        </w:rPr>
        <w:t>第五节 发展目标</w:t>
      </w:r>
      <w:bookmarkEnd w:id="15"/>
      <w:bookmarkEnd w:id="16"/>
      <w:bookmarkEnd w:id="17"/>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锚定将海棠区建设成为“海南自由贸易港国际旅游消费中心核心引领区”的战略定位不动摇，到2030年，高质量发展实现新突破，国际旅游消费中心核心引领区建设取得决定性进展，具有海棠特色的现代化产业体系全面成型，在服务三亚打造世界知名宜居宜游宜业现代化滨海城市中展现核心担当与独特作为。</w:t>
      </w:r>
    </w:p>
    <w:p>
      <w:pPr>
        <w:spacing w:line="560" w:lineRule="exact"/>
        <w:ind w:firstLine="643"/>
        <w:rPr>
          <w:rFonts w:ascii="仿宋_GB2312" w:hAnsi="Times New Roman" w:eastAsia="仿宋_GB2312"/>
          <w:szCs w:val="32"/>
        </w:rPr>
      </w:pPr>
      <w:r>
        <w:rPr>
          <w:rFonts w:hint="eastAsia" w:ascii="仿宋_GB2312" w:hAnsi="Times New Roman" w:eastAsia="仿宋_GB2312"/>
          <w:b/>
          <w:bCs/>
          <w:sz w:val="32"/>
          <w:szCs w:val="32"/>
        </w:rPr>
        <w:t>高质量发展开创新局面。</w:t>
      </w:r>
      <w:r>
        <w:rPr>
          <w:rFonts w:hint="eastAsia" w:ascii="仿宋_GB2312" w:hAnsi="Times New Roman" w:eastAsia="仿宋_GB2312"/>
          <w:sz w:val="32"/>
          <w:szCs w:val="32"/>
        </w:rPr>
        <w:t>地区生产总值增速6%以上，五大产业集群持续优化升级，产业结构得到明显改善，新质生产力发展取得重大突破，消费和投资持续均衡增长</w:t>
      </w:r>
      <w:r>
        <w:rPr>
          <w:rFonts w:hint="eastAsia" w:ascii="仿宋_GB2312" w:hAnsi="Times New Roman" w:eastAsia="仿宋_GB2312"/>
          <w:spacing w:val="-6"/>
          <w:sz w:val="32"/>
          <w:szCs w:val="32"/>
        </w:rPr>
        <w:t>，居民人均可支配收入保持与地区生产总值同步增长。</w:t>
      </w:r>
    </w:p>
    <w:p>
      <w:pPr>
        <w:spacing w:line="560" w:lineRule="exact"/>
        <w:ind w:firstLine="643"/>
        <w:rPr>
          <w:rFonts w:ascii="仿宋_GB2312" w:hAnsi="Times New Roman" w:eastAsia="仿宋_GB2312"/>
          <w:szCs w:val="32"/>
        </w:rPr>
      </w:pPr>
      <w:r>
        <w:rPr>
          <w:rFonts w:hint="eastAsia" w:ascii="仿宋_GB2312" w:hAnsi="Times New Roman" w:eastAsia="仿宋_GB2312"/>
          <w:b/>
          <w:bCs/>
          <w:sz w:val="32"/>
          <w:szCs w:val="32"/>
        </w:rPr>
        <w:t>全面深化改革</w:t>
      </w:r>
      <w:r>
        <w:rPr>
          <w:rFonts w:hint="eastAsia" w:ascii="仿宋_GB2312" w:hAnsi="Times New Roman" w:eastAsia="仿宋_GB2312"/>
          <w:b/>
          <w:bCs/>
          <w:color w:val="000000"/>
          <w:sz w:val="32"/>
          <w:szCs w:val="32"/>
        </w:rPr>
        <w:t>取得新进展。</w:t>
      </w:r>
      <w:r>
        <w:rPr>
          <w:rFonts w:hint="eastAsia" w:ascii="仿宋_GB2312" w:hAnsi="Times New Roman" w:eastAsia="仿宋_GB2312"/>
          <w:sz w:val="32"/>
          <w:szCs w:val="32"/>
        </w:rPr>
        <w:t>重点领域和关键环节改革深入推进，机制体系建设持续深化，市场化、法治化、国际化一流营商环境建设不断完善，基层社会治理效能持续提升，法治化建设达到更高水平。</w:t>
      </w:r>
    </w:p>
    <w:p>
      <w:pPr>
        <w:spacing w:line="560" w:lineRule="exact"/>
        <w:ind w:firstLine="643"/>
        <w:rPr>
          <w:rFonts w:ascii="仿宋_GB2312" w:hAnsi="Times New Roman" w:eastAsia="仿宋_GB2312"/>
          <w:b/>
          <w:bCs/>
          <w:szCs w:val="32"/>
        </w:rPr>
      </w:pPr>
      <w:r>
        <w:rPr>
          <w:rFonts w:hint="eastAsia" w:ascii="仿宋_GB2312" w:hAnsi="Times New Roman" w:eastAsia="仿宋_GB2312"/>
          <w:b/>
          <w:bCs/>
          <w:sz w:val="32"/>
          <w:szCs w:val="32"/>
        </w:rPr>
        <w:t>美丽海棠建设展现新图景。</w:t>
      </w:r>
      <w:r>
        <w:rPr>
          <w:rFonts w:hint="eastAsia" w:ascii="仿宋_GB2312" w:hAnsi="Times New Roman" w:eastAsia="仿宋_GB2312"/>
          <w:sz w:val="32"/>
          <w:szCs w:val="32"/>
        </w:rPr>
        <w:t>“生态保护+绿色发展”双轮驱动格局不断完善，如期实现碳达峰，森林覆盖率、空气质量、地表水质量、近岸海域海水水质优良比例保持全国一流、全市领先。</w:t>
      </w:r>
    </w:p>
    <w:p>
      <w:pPr>
        <w:spacing w:line="578" w:lineRule="exact"/>
        <w:ind w:firstLine="642" w:firstLineChars="200"/>
        <w:rPr>
          <w:rFonts w:ascii="黑体" w:hAnsi="黑体" w:eastAsia="黑体" w:cs="黑体"/>
          <w:sz w:val="32"/>
          <w:szCs w:val="32"/>
        </w:rPr>
      </w:pPr>
      <w:r>
        <w:rPr>
          <w:rFonts w:hint="eastAsia" w:ascii="仿宋_GB2312" w:hAnsi="Times New Roman" w:eastAsia="仿宋_GB2312"/>
          <w:b/>
          <w:bCs/>
          <w:sz w:val="32"/>
          <w:szCs w:val="32"/>
        </w:rPr>
        <w:t>城乡协调发展呈现新格局。</w:t>
      </w:r>
      <w:r>
        <w:rPr>
          <w:rFonts w:hint="eastAsia" w:ascii="仿宋_GB2312" w:hAnsi="Times New Roman" w:eastAsia="仿宋_GB2312"/>
          <w:sz w:val="32"/>
          <w:szCs w:val="32"/>
        </w:rPr>
        <w:t>海棠湾—亚龙湾融合发展格局不断优化，</w:t>
      </w:r>
      <w:r>
        <w:rPr>
          <w:rFonts w:hint="eastAsia" w:ascii="仿宋_GB2312" w:hAnsi="仿宋_GB2312" w:eastAsia="仿宋_GB2312" w:cs="仿宋_GB2312"/>
          <w:sz w:val="32"/>
          <w:szCs w:val="32"/>
        </w:rPr>
        <w:t>以人为本的新型城镇化深入推进，统筹推进城乡区域整体协调发展，持续深化垦地融合进程，乡村振兴战略全面推进，和美乡村建设取得新进展。</w:t>
      </w:r>
    </w:p>
    <w:p>
      <w:pPr>
        <w:spacing w:line="560" w:lineRule="exact"/>
        <w:ind w:firstLine="643"/>
        <w:rPr>
          <w:rFonts w:ascii="仿宋_GB2312" w:hAnsi="Times New Roman" w:eastAsia="仿宋_GB2312"/>
          <w:szCs w:val="32"/>
        </w:rPr>
      </w:pPr>
      <w:r>
        <w:rPr>
          <w:rFonts w:hint="eastAsia" w:ascii="仿宋_GB2312" w:hAnsi="Times New Roman" w:eastAsia="仿宋_GB2312"/>
          <w:b/>
          <w:bCs/>
          <w:sz w:val="32"/>
          <w:szCs w:val="32"/>
        </w:rPr>
        <w:t>群众生活品质达到新高度。</w:t>
      </w:r>
      <w:r>
        <w:rPr>
          <w:rFonts w:hint="eastAsia" w:ascii="仿宋_GB2312" w:hAnsi="Times New Roman" w:eastAsia="仿宋_GB2312"/>
          <w:sz w:val="32"/>
          <w:szCs w:val="32"/>
        </w:rPr>
        <w:t>就业创业成效更加显著，居民收入增长和经济增长同步，中等收入群体持续扩大，社会保障制度更加优化更可持续，交通出行更加便捷，教育、医疗、住房、养老托育等基本公共服务均等化水平明显提升。</w:t>
      </w:r>
    </w:p>
    <w:p>
      <w:pPr>
        <w:spacing w:line="560" w:lineRule="exact"/>
        <w:ind w:firstLine="643"/>
        <w:rPr>
          <w:rFonts w:ascii="仿宋_GB2312" w:hAnsi="Times New Roman" w:eastAsia="仿宋_GB2312"/>
          <w:szCs w:val="32"/>
        </w:rPr>
      </w:pPr>
      <w:r>
        <w:rPr>
          <w:rFonts w:hint="eastAsia" w:ascii="仿宋_GB2312" w:hAnsi="Times New Roman" w:eastAsia="仿宋_GB2312"/>
          <w:b/>
          <w:bCs/>
          <w:sz w:val="32"/>
          <w:szCs w:val="32"/>
        </w:rPr>
        <w:t>社会文明程度迈上新台阶。</w:t>
      </w:r>
      <w:r>
        <w:rPr>
          <w:rFonts w:hint="eastAsia" w:ascii="仿宋_GB2312" w:hAnsi="Times New Roman" w:eastAsia="仿宋_GB2312"/>
          <w:sz w:val="32"/>
          <w:szCs w:val="32"/>
        </w:rPr>
        <w:t>社会主义核心价值观广泛践行，城乡公共文化服务体系逐步健全，群众精神文化生活更加丰富，文化软实力明显增强，居民文明素养和社会文明程度持续提升。</w:t>
      </w:r>
    </w:p>
    <w:p>
      <w:pPr>
        <w:spacing w:line="560" w:lineRule="exact"/>
        <w:ind w:firstLine="643"/>
        <w:rPr>
          <w:rFonts w:ascii="仿宋_GB2312" w:hAnsi="仿宋_GB2312" w:eastAsia="仿宋_GB2312" w:cs="仿宋_GB2312"/>
          <w:sz w:val="32"/>
          <w:szCs w:val="32"/>
        </w:rPr>
      </w:pPr>
      <w:r>
        <w:rPr>
          <w:rFonts w:hint="eastAsia" w:ascii="仿宋_GB2312" w:hAnsi="Times New Roman" w:eastAsia="仿宋_GB2312"/>
          <w:b/>
          <w:bCs/>
          <w:sz w:val="32"/>
          <w:szCs w:val="32"/>
        </w:rPr>
        <w:t>安全发展基础得到新巩固。</w:t>
      </w:r>
      <w:r>
        <w:rPr>
          <w:rFonts w:hint="eastAsia" w:ascii="仿宋_GB2312" w:hAnsi="Times New Roman" w:eastAsia="仿宋_GB2312"/>
          <w:sz w:val="32"/>
          <w:szCs w:val="32"/>
        </w:rPr>
        <w:t>国家安全体系和能力进一步加强，重点领域风险得到有效防范化解，社会治理和公共安全治理水</w:t>
      </w:r>
      <w:r>
        <w:rPr>
          <w:rFonts w:hint="eastAsia" w:ascii="仿宋_GB2312" w:hAnsi="仿宋_GB2312" w:eastAsia="仿宋_GB2312" w:cs="仿宋_GB2312"/>
          <w:sz w:val="32"/>
          <w:szCs w:val="32"/>
        </w:rPr>
        <w:t>平明显提高，平安海棠建设迈向更高水平。军民融合、双拥共建等工作深入开展。</w:t>
      </w:r>
    </w:p>
    <w:p>
      <w:pPr>
        <w:spacing w:after="163" w:afterLines="50" w:line="560" w:lineRule="exact"/>
        <w:ind w:firstLine="640" w:firstLineChars="200"/>
      </w:pPr>
      <w:r>
        <w:rPr>
          <w:rFonts w:hint="eastAsia" w:ascii="仿宋_GB2312" w:hAnsi="仿宋_GB2312" w:eastAsia="仿宋_GB2312" w:cs="仿宋_GB2312"/>
          <w:sz w:val="32"/>
          <w:szCs w:val="32"/>
        </w:rPr>
        <w:t>在此基础上再奋斗五年，到2035年实现海棠区经济实力、开放活力、产业竞争力、区域辐射力、国际影响力大幅跃升，人民生活更加幸福美好，国际旅游消费中心核心引领区基本建成。</w:t>
      </w:r>
    </w:p>
    <w:tbl>
      <w:tblPr>
        <w:tblStyle w:val="22"/>
        <w:tblW w:w="9412" w:type="dxa"/>
        <w:tblInd w:w="-2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3243"/>
        <w:gridCol w:w="1004"/>
        <w:gridCol w:w="980"/>
        <w:gridCol w:w="1278"/>
        <w:gridCol w:w="974"/>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blHeader/>
        </w:trPr>
        <w:tc>
          <w:tcPr>
            <w:tcW w:w="9412" w:type="dxa"/>
            <w:gridSpan w:val="7"/>
            <w:vAlign w:val="center"/>
          </w:tcPr>
          <w:p>
            <w:pPr>
              <w:adjustRightInd w:val="0"/>
              <w:snapToGrid w:val="0"/>
              <w:spacing w:line="440" w:lineRule="exact"/>
              <w:jc w:val="center"/>
              <w:rPr>
                <w:rFonts w:ascii="黑体" w:hAnsi="黑体" w:eastAsia="黑体"/>
                <w:sz w:val="28"/>
                <w:szCs w:val="28"/>
              </w:rPr>
            </w:pPr>
            <w:r>
              <w:rPr>
                <w:rFonts w:ascii="黑体" w:hAnsi="黑体" w:eastAsia="黑体"/>
                <w:sz w:val="28"/>
                <w:szCs w:val="28"/>
              </w:rPr>
              <w:t>专栏</w:t>
            </w:r>
            <w:r>
              <w:rPr>
                <w:rFonts w:ascii="黑体" w:hAnsi="黑体" w:eastAsia="黑体"/>
                <w:bCs/>
                <w:sz w:val="28"/>
                <w:szCs w:val="28"/>
              </w:rPr>
              <w:t>1</w:t>
            </w:r>
            <w:r>
              <w:rPr>
                <w:rFonts w:ascii="黑体" w:hAnsi="黑体" w:eastAsia="黑体"/>
                <w:sz w:val="28"/>
                <w:szCs w:val="28"/>
              </w:rPr>
              <w:t xml:space="preserve">  “十五五”时期经济社会发展主要指标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782" w:type="dxa"/>
            <w:shd w:val="clear" w:color="auto" w:fill="E7E6E6"/>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类别</w:t>
            </w:r>
          </w:p>
        </w:tc>
        <w:tc>
          <w:tcPr>
            <w:tcW w:w="3243" w:type="dxa"/>
            <w:shd w:val="clear" w:color="auto" w:fill="E7E6E6"/>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指标</w:t>
            </w:r>
          </w:p>
        </w:tc>
        <w:tc>
          <w:tcPr>
            <w:tcW w:w="1004" w:type="dxa"/>
            <w:shd w:val="clear" w:color="auto" w:fill="E7E6E6"/>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单位</w:t>
            </w:r>
          </w:p>
        </w:tc>
        <w:tc>
          <w:tcPr>
            <w:tcW w:w="980" w:type="dxa"/>
            <w:shd w:val="clear" w:color="auto" w:fill="E7E6E6"/>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2025年</w:t>
            </w:r>
          </w:p>
        </w:tc>
        <w:tc>
          <w:tcPr>
            <w:tcW w:w="1278" w:type="dxa"/>
            <w:shd w:val="clear" w:color="auto" w:fill="E7E6E6"/>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2030年</w:t>
            </w:r>
          </w:p>
        </w:tc>
        <w:tc>
          <w:tcPr>
            <w:tcW w:w="974" w:type="dxa"/>
            <w:shd w:val="clear" w:color="auto" w:fill="E7E6E6"/>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年均/累计</w:t>
            </w:r>
          </w:p>
        </w:tc>
        <w:tc>
          <w:tcPr>
            <w:tcW w:w="1151" w:type="dxa"/>
            <w:shd w:val="clear" w:color="auto" w:fill="E7E6E6"/>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82" w:type="dxa"/>
            <w:vMerge w:val="restart"/>
            <w:shd w:val="clear" w:color="auto" w:fill="E7E6E6"/>
            <w:vAlign w:val="center"/>
          </w:tcPr>
          <w:p>
            <w:pPr>
              <w:adjustRightInd w:val="0"/>
              <w:snapToGrid w:val="0"/>
              <w:spacing w:line="440" w:lineRule="exact"/>
              <w:jc w:val="center"/>
              <w:rPr>
                <w:rFonts w:ascii="Times New Roman" w:hAnsi="Times New Roman" w:eastAsia="仿宋_GB2312"/>
                <w:b/>
                <w:bCs/>
                <w:sz w:val="24"/>
              </w:rPr>
            </w:pPr>
            <w:r>
              <w:rPr>
                <w:rFonts w:ascii="Times New Roman" w:hAnsi="Times New Roman" w:eastAsia="仿宋_GB2312"/>
                <w:b/>
                <w:bCs/>
                <w:sz w:val="24"/>
              </w:rPr>
              <w:t>经济发展</w:t>
            </w: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1.地区生产总值（GDP）增长</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5</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6</w:t>
            </w:r>
            <w:r>
              <w:rPr>
                <w:rFonts w:hint="eastAsia" w:ascii="Times New Roman" w:hAnsi="Times New Roman" w:eastAsia="仿宋_GB2312"/>
                <w:sz w:val="24"/>
              </w:rPr>
              <w:t>以上</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trPr>
        <w:tc>
          <w:tcPr>
            <w:tcW w:w="782" w:type="dxa"/>
            <w:vMerge w:val="continue"/>
            <w:shd w:val="clear" w:color="auto" w:fill="E7E6E6"/>
            <w:vAlign w:val="center"/>
          </w:tcPr>
          <w:p>
            <w:pPr>
              <w:adjustRightInd w:val="0"/>
              <w:snapToGrid w:val="0"/>
              <w:spacing w:line="440" w:lineRule="exact"/>
              <w:jc w:val="center"/>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2.固定资产投资总额增长</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5.9</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6</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exact"/>
        </w:trPr>
        <w:tc>
          <w:tcPr>
            <w:tcW w:w="782" w:type="dxa"/>
            <w:vMerge w:val="continue"/>
            <w:shd w:val="clear" w:color="auto" w:fill="E7E6E6"/>
            <w:vAlign w:val="center"/>
          </w:tcPr>
          <w:p>
            <w:pPr>
              <w:adjustRightInd w:val="0"/>
              <w:snapToGrid w:val="0"/>
              <w:spacing w:line="440" w:lineRule="exact"/>
              <w:jc w:val="center"/>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3.社会消费品零售总额增长</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-4.2</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8</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exact"/>
        </w:trPr>
        <w:tc>
          <w:tcPr>
            <w:tcW w:w="782" w:type="dxa"/>
            <w:vMerge w:val="restart"/>
            <w:shd w:val="clear" w:color="auto" w:fill="E7E6E6"/>
            <w:vAlign w:val="center"/>
          </w:tcPr>
          <w:p>
            <w:pPr>
              <w:adjustRightInd w:val="0"/>
              <w:snapToGrid w:val="0"/>
              <w:spacing w:line="440" w:lineRule="exact"/>
              <w:jc w:val="center"/>
              <w:rPr>
                <w:rFonts w:ascii="Times New Roman" w:hAnsi="Times New Roman" w:eastAsia="仿宋_GB2312"/>
                <w:b/>
                <w:bCs/>
                <w:sz w:val="24"/>
              </w:rPr>
            </w:pPr>
            <w:r>
              <w:rPr>
                <w:rFonts w:ascii="Times New Roman" w:hAnsi="Times New Roman" w:eastAsia="仿宋_GB2312"/>
                <w:b/>
                <w:bCs/>
                <w:sz w:val="24"/>
              </w:rPr>
              <w:t>对外开放</w:t>
            </w: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4.实际利用外资总额</w:t>
            </w:r>
            <w:r>
              <w:rPr>
                <w:rFonts w:hint="eastAsia" w:ascii="Times New Roman" w:hAnsi="Times New Roman" w:eastAsia="仿宋_GB2312"/>
                <w:sz w:val="24"/>
              </w:rPr>
              <w:t>增长</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lang w:val="en-US" w:eastAsia="zh-CN"/>
              </w:rPr>
              <w:t>/</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15</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trPr>
        <w:tc>
          <w:tcPr>
            <w:tcW w:w="782" w:type="dxa"/>
            <w:vMerge w:val="continue"/>
            <w:shd w:val="clear" w:color="auto" w:fill="E7E6E6"/>
            <w:vAlign w:val="center"/>
          </w:tcPr>
          <w:p>
            <w:pPr>
              <w:adjustRightInd w:val="0"/>
              <w:snapToGrid w:val="0"/>
              <w:spacing w:line="440" w:lineRule="exact"/>
              <w:jc w:val="center"/>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5.服务进出口总额</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亿元</w:t>
            </w:r>
          </w:p>
        </w:tc>
        <w:tc>
          <w:tcPr>
            <w:tcW w:w="980" w:type="dxa"/>
            <w:vAlign w:val="center"/>
          </w:tcPr>
          <w:p>
            <w:pPr>
              <w:spacing w:line="440" w:lineRule="exact"/>
              <w:jc w:val="center"/>
              <w:rPr>
                <w:rFonts w:ascii="Times New Roman" w:hAnsi="Times New Roman" w:eastAsia="仿宋_GB2312"/>
                <w:sz w:val="24"/>
              </w:rPr>
            </w:pPr>
            <w:r>
              <w:rPr>
                <w:rFonts w:ascii="Times New Roman" w:hAnsi="Times New Roman" w:eastAsia="仿宋_GB2312"/>
                <w:sz w:val="24"/>
              </w:rPr>
              <w:t>5.2</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6.</w:t>
            </w:r>
            <w:r>
              <w:rPr>
                <w:rFonts w:hint="eastAsia" w:ascii="Times New Roman" w:hAnsi="Times New Roman" w:eastAsia="仿宋_GB2312"/>
                <w:sz w:val="24"/>
              </w:rPr>
              <w:t>9</w:t>
            </w:r>
            <w:r>
              <w:rPr>
                <w:rFonts w:ascii="Times New Roman" w:hAnsi="Times New Roman" w:eastAsia="仿宋_GB2312"/>
                <w:sz w:val="24"/>
              </w:rPr>
              <w:t>4</w:t>
            </w:r>
          </w:p>
        </w:tc>
        <w:tc>
          <w:tcPr>
            <w:tcW w:w="974" w:type="dxa"/>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782" w:type="dxa"/>
            <w:vMerge w:val="continue"/>
            <w:shd w:val="clear" w:color="auto" w:fill="E7E6E6"/>
            <w:vAlign w:val="center"/>
          </w:tcPr>
          <w:p>
            <w:pPr>
              <w:adjustRightInd w:val="0"/>
              <w:snapToGrid w:val="0"/>
              <w:spacing w:line="440" w:lineRule="exact"/>
              <w:jc w:val="center"/>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6.货物进出口总额</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亿元</w:t>
            </w:r>
          </w:p>
        </w:tc>
        <w:tc>
          <w:tcPr>
            <w:tcW w:w="980" w:type="dxa"/>
            <w:vAlign w:val="center"/>
          </w:tcPr>
          <w:p>
            <w:pPr>
              <w:widowControl/>
              <w:snapToGrid w:val="0"/>
              <w:spacing w:line="440" w:lineRule="exact"/>
              <w:jc w:val="center"/>
              <w:rPr>
                <w:rFonts w:ascii="Times New Roman" w:hAnsi="Times New Roman" w:eastAsia="仿宋_GB2312"/>
                <w:sz w:val="24"/>
              </w:rPr>
            </w:pPr>
            <w:r>
              <w:rPr>
                <w:rFonts w:ascii="Times New Roman" w:hAnsi="Times New Roman" w:eastAsia="仿宋_GB2312"/>
                <w:sz w:val="24"/>
              </w:rPr>
              <w:t>15.41</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2.22</w:t>
            </w:r>
          </w:p>
        </w:tc>
        <w:tc>
          <w:tcPr>
            <w:tcW w:w="974" w:type="dxa"/>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exact"/>
        </w:trPr>
        <w:tc>
          <w:tcPr>
            <w:tcW w:w="782" w:type="dxa"/>
            <w:vMerge w:val="continue"/>
            <w:shd w:val="clear" w:color="auto" w:fill="E7E6E6"/>
            <w:vAlign w:val="center"/>
          </w:tcPr>
          <w:p>
            <w:pPr>
              <w:adjustRightInd w:val="0"/>
              <w:snapToGrid w:val="0"/>
              <w:spacing w:line="440" w:lineRule="exact"/>
              <w:jc w:val="center"/>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7</w:t>
            </w:r>
            <w:r>
              <w:rPr>
                <w:rFonts w:hint="eastAsia" w:ascii="Times New Roman" w:hAnsi="Times New Roman" w:eastAsia="仿宋_GB2312"/>
                <w:sz w:val="24"/>
              </w:rPr>
              <w:t>.入境过夜游客人次</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万人次</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17.31</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lang w:val="en-US" w:eastAsia="zh-CN"/>
              </w:rPr>
              <w:t>30</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exact"/>
        </w:trPr>
        <w:tc>
          <w:tcPr>
            <w:tcW w:w="782" w:type="dxa"/>
            <w:vMerge w:val="continue"/>
            <w:shd w:val="clear" w:color="auto" w:fill="E7E6E6"/>
            <w:vAlign w:val="center"/>
          </w:tcPr>
          <w:p>
            <w:pPr>
              <w:adjustRightInd w:val="0"/>
              <w:snapToGrid w:val="0"/>
              <w:spacing w:line="440" w:lineRule="exact"/>
              <w:jc w:val="center"/>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8.</w:t>
            </w:r>
            <w:r>
              <w:rPr>
                <w:rFonts w:ascii="Times New Roman" w:hAnsi="Times New Roman" w:eastAsia="仿宋_GB2312"/>
                <w:kern w:val="0"/>
                <w:sz w:val="24"/>
              </w:rPr>
              <w:t>涉旅企业营业收入</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亿元</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209.36</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280</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82" w:type="dxa"/>
            <w:vMerge w:val="restart"/>
            <w:shd w:val="clear" w:color="auto" w:fill="E7E6E6"/>
            <w:vAlign w:val="center"/>
          </w:tcPr>
          <w:p>
            <w:pPr>
              <w:adjustRightInd w:val="0"/>
              <w:snapToGrid w:val="0"/>
              <w:spacing w:line="440" w:lineRule="exact"/>
              <w:jc w:val="center"/>
              <w:rPr>
                <w:rFonts w:ascii="Times New Roman" w:hAnsi="Times New Roman" w:eastAsia="仿宋_GB2312"/>
                <w:b/>
                <w:bCs/>
                <w:sz w:val="24"/>
              </w:rPr>
            </w:pPr>
            <w:r>
              <w:rPr>
                <w:rFonts w:ascii="Times New Roman" w:hAnsi="Times New Roman" w:eastAsia="仿宋_GB2312"/>
                <w:b/>
                <w:bCs/>
                <w:sz w:val="24"/>
              </w:rPr>
              <w:t>民生福祉</w:t>
            </w: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9.居民人均可支配收入增长</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80" w:type="dxa"/>
            <w:vAlign w:val="center"/>
          </w:tcPr>
          <w:p>
            <w:pPr>
              <w:spacing w:line="440" w:lineRule="exact"/>
              <w:jc w:val="center"/>
              <w:rPr>
                <w:rFonts w:ascii="Times New Roman" w:hAnsi="Times New Roman" w:eastAsia="仿宋_GB2312"/>
                <w:sz w:val="24"/>
              </w:rPr>
            </w:pPr>
            <w:r>
              <w:rPr>
                <w:rFonts w:ascii="Times New Roman" w:hAnsi="Times New Roman" w:eastAsia="仿宋_GB2312"/>
                <w:sz w:val="24"/>
              </w:rPr>
              <w:t>3.7</w:t>
            </w:r>
          </w:p>
        </w:tc>
        <w:tc>
          <w:tcPr>
            <w:tcW w:w="2252" w:type="dxa"/>
            <w:gridSpan w:val="2"/>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与经济增长</w:t>
            </w:r>
            <w:r>
              <w:rPr>
                <w:rFonts w:hint="eastAsia" w:ascii="Times New Roman" w:hAnsi="Times New Roman" w:eastAsia="仿宋_GB2312"/>
                <w:sz w:val="24"/>
              </w:rPr>
              <w:t>相协调</w:t>
            </w:r>
          </w:p>
        </w:tc>
        <w:tc>
          <w:tcPr>
            <w:tcW w:w="1151" w:type="dxa"/>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82" w:type="dxa"/>
            <w:vMerge w:val="continue"/>
            <w:shd w:val="clear" w:color="auto" w:fill="E7E6E6"/>
            <w:vAlign w:val="center"/>
          </w:tcPr>
          <w:p>
            <w:pPr>
              <w:adjustRightInd w:val="0"/>
              <w:snapToGrid w:val="0"/>
              <w:spacing w:line="440" w:lineRule="exact"/>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10.人均预期寿命</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岁</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79.48</w:t>
            </w:r>
          </w:p>
        </w:tc>
        <w:tc>
          <w:tcPr>
            <w:tcW w:w="2252" w:type="dxa"/>
            <w:gridSpan w:val="2"/>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81</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82" w:type="dxa"/>
            <w:vMerge w:val="continue"/>
            <w:shd w:val="clear" w:color="auto" w:fill="E7E6E6"/>
            <w:vAlign w:val="center"/>
          </w:tcPr>
          <w:p>
            <w:pPr>
              <w:adjustRightInd w:val="0"/>
              <w:snapToGrid w:val="0"/>
              <w:spacing w:line="440" w:lineRule="exact"/>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11</w:t>
            </w:r>
            <w:r>
              <w:rPr>
                <w:rFonts w:hint="eastAsia" w:ascii="Times New Roman" w:hAnsi="Times New Roman" w:eastAsia="仿宋_GB2312"/>
                <w:sz w:val="24"/>
              </w:rPr>
              <w:t>.3岁以下婴幼儿入托率提高</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
                <w:sz w:val="24"/>
              </w:rPr>
              <w:t>%</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lang w:val="en-US" w:eastAsia="zh-CN"/>
              </w:rPr>
              <w:t>/</w:t>
            </w:r>
          </w:p>
        </w:tc>
        <w:tc>
          <w:tcPr>
            <w:tcW w:w="1278"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w:t>
            </w:r>
            <w:r>
              <w:rPr>
                <w:rFonts w:hint="eastAsia" w:ascii="Times New Roman" w:hAnsi="Times New Roman" w:eastAsia="仿宋_GB2312"/>
                <w:sz w:val="24"/>
                <w:lang w:val="en-US" w:eastAsia="zh-CN"/>
              </w:rPr>
              <w:t>6</w:t>
            </w:r>
            <w:r>
              <w:rPr>
                <w:rFonts w:hint="eastAsia" w:ascii="Times New Roman" w:hAnsi="Times New Roman" w:eastAsia="仿宋_GB2312"/>
                <w:sz w:val="24"/>
              </w:rPr>
              <w:t>〕</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82" w:type="dxa"/>
            <w:vMerge w:val="continue"/>
            <w:shd w:val="clear" w:color="auto" w:fill="E7E6E6"/>
            <w:vAlign w:val="center"/>
          </w:tcPr>
          <w:p>
            <w:pPr>
              <w:adjustRightInd w:val="0"/>
              <w:snapToGrid w:val="0"/>
              <w:spacing w:line="440" w:lineRule="exact"/>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hint="eastAsia" w:ascii="Times New Roman" w:hAnsi="Times New Roman" w:eastAsia="仿宋_GB2312"/>
                <w:sz w:val="24"/>
              </w:rPr>
              <w:t>1</w:t>
            </w:r>
            <w:r>
              <w:rPr>
                <w:rFonts w:ascii="Times New Roman" w:hAnsi="Times New Roman" w:eastAsia="仿宋_GB2312"/>
                <w:sz w:val="24"/>
              </w:rPr>
              <w:t>2</w:t>
            </w:r>
            <w:r>
              <w:rPr>
                <w:rFonts w:hint="eastAsia" w:ascii="Times New Roman" w:hAnsi="Times New Roman" w:eastAsia="仿宋_GB2312"/>
                <w:sz w:val="24"/>
              </w:rPr>
              <w:t>.劳动年龄人口平均受教育年限</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年</w:t>
            </w:r>
          </w:p>
        </w:tc>
        <w:tc>
          <w:tcPr>
            <w:tcW w:w="980" w:type="dxa"/>
            <w:vAlign w:val="center"/>
          </w:tcPr>
          <w:p>
            <w:pPr>
              <w:spacing w:line="440" w:lineRule="exact"/>
              <w:jc w:val="center"/>
              <w:rPr>
                <w:rFonts w:ascii="Times New Roman" w:hAnsi="Times New Roman" w:eastAsia="仿宋_GB2312"/>
                <w:sz w:val="24"/>
              </w:rPr>
            </w:pPr>
            <w:r>
              <w:rPr>
                <w:rFonts w:hint="eastAsia" w:ascii="Times New Roman" w:hAnsi="Times New Roman" w:eastAsia="仿宋_GB2312"/>
                <w:sz w:val="24"/>
              </w:rPr>
              <w:t>10.5</w:t>
            </w:r>
          </w:p>
        </w:tc>
        <w:tc>
          <w:tcPr>
            <w:tcW w:w="1278" w:type="dxa"/>
            <w:vAlign w:val="center"/>
          </w:tcPr>
          <w:p>
            <w:pPr>
              <w:spacing w:line="440" w:lineRule="exact"/>
              <w:jc w:val="center"/>
              <w:rPr>
                <w:rFonts w:ascii="Times New Roman" w:hAnsi="Times New Roman" w:eastAsia="仿宋_GB2312"/>
                <w:sz w:val="24"/>
              </w:rPr>
            </w:pPr>
            <w:r>
              <w:rPr>
                <w:rFonts w:hint="eastAsia" w:ascii="Times New Roman" w:hAnsi="Times New Roman" w:cs="东文宋体"/>
                <w:sz w:val="24"/>
              </w:rPr>
              <w:t>10.8</w:t>
            </w:r>
          </w:p>
        </w:tc>
        <w:tc>
          <w:tcPr>
            <w:tcW w:w="97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82" w:type="dxa"/>
            <w:vMerge w:val="continue"/>
            <w:shd w:val="clear" w:color="auto" w:fill="E7E6E6"/>
            <w:vAlign w:val="center"/>
          </w:tcPr>
          <w:p>
            <w:pPr>
              <w:adjustRightInd w:val="0"/>
              <w:snapToGrid w:val="0"/>
              <w:spacing w:line="440" w:lineRule="exact"/>
              <w:rPr>
                <w:rFonts w:ascii="Times New Roman" w:hAnsi="Times New Roman" w:eastAsia="仿宋_GB2312"/>
                <w:b/>
                <w:bCs/>
                <w:sz w:val="24"/>
              </w:rPr>
            </w:pPr>
          </w:p>
        </w:tc>
        <w:tc>
          <w:tcPr>
            <w:tcW w:w="3243" w:type="dxa"/>
            <w:vAlign w:val="center"/>
          </w:tcPr>
          <w:p>
            <w:pPr>
              <w:widowControl/>
              <w:snapToGrid w:val="0"/>
              <w:spacing w:line="440" w:lineRule="exact"/>
              <w:rPr>
                <w:rFonts w:ascii="Times New Roman" w:hAnsi="Times New Roman" w:eastAsia="仿宋_GB2312"/>
                <w:sz w:val="24"/>
              </w:rPr>
            </w:pPr>
            <w:r>
              <w:rPr>
                <w:rFonts w:ascii="Times New Roman" w:hAnsi="Times New Roman" w:eastAsia="仿宋_GB2312"/>
                <w:sz w:val="24"/>
              </w:rPr>
              <w:t>13.养老机构护理型床位占比</w:t>
            </w:r>
          </w:p>
        </w:tc>
        <w:tc>
          <w:tcPr>
            <w:tcW w:w="1004" w:type="dxa"/>
            <w:vAlign w:val="center"/>
          </w:tcPr>
          <w:p>
            <w:pPr>
              <w:widowControl/>
              <w:snapToGrid w:val="0"/>
              <w:spacing w:line="440" w:lineRule="exact"/>
              <w:jc w:val="center"/>
              <w:rPr>
                <w:rFonts w:ascii="Times New Roman" w:hAnsi="Times New Roman" w:eastAsia="仿宋_GB2312"/>
                <w:kern w:val="0"/>
                <w:sz w:val="24"/>
              </w:rPr>
            </w:pPr>
            <w:r>
              <w:rPr>
                <w:rFonts w:hint="eastAsia" w:ascii="Times New Roman" w:hAnsi="Times New Roman" w:eastAsia="仿宋_GB2312"/>
                <w:kern w:val="0"/>
                <w:sz w:val="24"/>
              </w:rPr>
              <w:t>%</w:t>
            </w:r>
          </w:p>
        </w:tc>
        <w:tc>
          <w:tcPr>
            <w:tcW w:w="980" w:type="dxa"/>
            <w:vAlign w:val="center"/>
          </w:tcPr>
          <w:p>
            <w:pPr>
              <w:widowControl/>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6</w:t>
            </w:r>
            <w:r>
              <w:rPr>
                <w:rFonts w:ascii="Times New Roman" w:hAnsi="Times New Roman" w:eastAsia="仿宋_GB2312"/>
                <w:sz w:val="24"/>
              </w:rPr>
              <w:t>0</w:t>
            </w:r>
          </w:p>
        </w:tc>
        <w:tc>
          <w:tcPr>
            <w:tcW w:w="1278" w:type="dxa"/>
            <w:vAlign w:val="center"/>
          </w:tcPr>
          <w:p>
            <w:pPr>
              <w:widowControl/>
              <w:snapToGrid w:val="0"/>
              <w:spacing w:line="440" w:lineRule="exact"/>
              <w:jc w:val="center"/>
              <w:rPr>
                <w:rFonts w:ascii="Times New Roman" w:hAnsi="Times New Roman" w:eastAsia="仿宋_GB2312"/>
                <w:kern w:val="0"/>
                <w:sz w:val="24"/>
              </w:rPr>
            </w:pPr>
            <w:r>
              <w:rPr>
                <w:rFonts w:hint="eastAsia" w:ascii="Times New Roman" w:hAnsi="Times New Roman" w:eastAsia="东文宋体" w:cs="东文宋体"/>
                <w:sz w:val="24"/>
              </w:rPr>
              <w:t>≥</w:t>
            </w:r>
            <w:r>
              <w:rPr>
                <w:rFonts w:ascii="Times New Roman" w:hAnsi="Times New Roman" w:eastAsia="仿宋"/>
                <w:sz w:val="24"/>
                <w:lang w:val="en"/>
              </w:rPr>
              <w:t>80</w:t>
            </w:r>
          </w:p>
        </w:tc>
        <w:tc>
          <w:tcPr>
            <w:tcW w:w="974" w:type="dxa"/>
            <w:vAlign w:val="center"/>
          </w:tcPr>
          <w:p>
            <w:pPr>
              <w:widowControl/>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1151" w:type="dxa"/>
            <w:vAlign w:val="center"/>
          </w:tcPr>
          <w:p>
            <w:pPr>
              <w:widowControl/>
              <w:snapToGrid w:val="0"/>
              <w:spacing w:line="440" w:lineRule="exact"/>
              <w:jc w:val="center"/>
              <w:rPr>
                <w:rFonts w:ascii="Times New Roman" w:hAnsi="Times New Roman" w:eastAsia="仿宋_GB2312"/>
                <w:kern w:val="0"/>
                <w:sz w:val="24"/>
              </w:rPr>
            </w:pPr>
            <w:r>
              <w:rPr>
                <w:rFonts w:ascii="Times New Roman" w:hAnsi="Times New Roman" w:eastAsia="仿宋_GB2312"/>
                <w:kern w:val="0"/>
                <w:sz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782" w:type="dxa"/>
            <w:vMerge w:val="restart"/>
            <w:shd w:val="clear" w:color="auto" w:fill="E7E6E6"/>
            <w:vAlign w:val="center"/>
          </w:tcPr>
          <w:p>
            <w:pPr>
              <w:adjustRightInd w:val="0"/>
              <w:snapToGrid w:val="0"/>
              <w:spacing w:line="440" w:lineRule="exact"/>
              <w:jc w:val="center"/>
              <w:rPr>
                <w:rFonts w:ascii="Times New Roman" w:hAnsi="Times New Roman" w:eastAsia="仿宋_GB2312"/>
                <w:b/>
                <w:bCs/>
                <w:sz w:val="24"/>
              </w:rPr>
            </w:pPr>
            <w:r>
              <w:rPr>
                <w:rFonts w:ascii="Times New Roman" w:hAnsi="Times New Roman" w:eastAsia="仿宋_GB2312"/>
                <w:b/>
                <w:bCs/>
                <w:sz w:val="24"/>
              </w:rPr>
              <w:t>绿色低碳</w:t>
            </w:r>
          </w:p>
          <w:p>
            <w:pPr>
              <w:spacing w:line="440" w:lineRule="exact"/>
              <w:jc w:val="center"/>
              <w:rPr>
                <w:rFonts w:ascii="Times New Roman" w:hAnsi="Times New Roman" w:eastAsia="仿宋_GB2312"/>
                <w:b/>
                <w:bCs/>
                <w:sz w:val="24"/>
              </w:rPr>
            </w:pPr>
          </w:p>
        </w:tc>
        <w:tc>
          <w:tcPr>
            <w:tcW w:w="3243" w:type="dxa"/>
            <w:vAlign w:val="center"/>
          </w:tcPr>
          <w:p>
            <w:pPr>
              <w:adjustRightInd w:val="0"/>
              <w:snapToGrid w:val="0"/>
              <w:spacing w:line="440" w:lineRule="exact"/>
              <w:rPr>
                <w:rFonts w:ascii="Times New Roman" w:hAnsi="Times New Roman" w:eastAsia="仿宋_GB2312"/>
                <w:sz w:val="24"/>
              </w:rPr>
            </w:pPr>
            <w:r>
              <w:rPr>
                <w:rFonts w:ascii="Times New Roman" w:hAnsi="Times New Roman" w:eastAsia="仿宋_GB2312"/>
                <w:sz w:val="24"/>
              </w:rPr>
              <w:t>14</w:t>
            </w:r>
            <w:r>
              <w:rPr>
                <w:rFonts w:hint="eastAsia" w:ascii="Times New Roman" w:hAnsi="Times New Roman" w:eastAsia="仿宋_GB2312"/>
                <w:sz w:val="24"/>
              </w:rPr>
              <w:t>.细颗粒物（</w:t>
            </w:r>
            <w:r>
              <w:rPr>
                <w:rFonts w:ascii="Times New Roman" w:hAnsi="Times New Roman" w:eastAsia="仿宋_GB2312"/>
                <w:sz w:val="24"/>
              </w:rPr>
              <w:t>PM2</w:t>
            </w:r>
            <w:r>
              <w:rPr>
                <w:rFonts w:hint="eastAsia" w:ascii="Times New Roman" w:hAnsi="Times New Roman" w:eastAsia="仿宋_GB2312"/>
                <w:sz w:val="24"/>
              </w:rPr>
              <w:t>.</w:t>
            </w:r>
            <w:r>
              <w:rPr>
                <w:rFonts w:ascii="Times New Roman" w:hAnsi="Times New Roman" w:eastAsia="仿宋_GB2312"/>
                <w:sz w:val="24"/>
              </w:rPr>
              <w:t>5</w:t>
            </w:r>
            <w:r>
              <w:rPr>
                <w:rFonts w:hint="eastAsia" w:ascii="Times New Roman" w:hAnsi="Times New Roman" w:eastAsia="仿宋_GB2312"/>
                <w:sz w:val="24"/>
              </w:rPr>
              <w:t>）</w:t>
            </w:r>
            <w:r>
              <w:rPr>
                <w:rFonts w:ascii="Times New Roman" w:hAnsi="Times New Roman" w:eastAsia="仿宋_GB2312"/>
                <w:sz w:val="24"/>
              </w:rPr>
              <w:t>年均</w:t>
            </w:r>
            <w:r>
              <w:rPr>
                <w:rFonts w:hint="eastAsia" w:ascii="Times New Roman" w:hAnsi="Times New Roman" w:eastAsia="仿宋_GB2312"/>
                <w:sz w:val="24"/>
              </w:rPr>
              <w:t>浓度</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微克</w:t>
            </w:r>
            <w:r>
              <w:rPr>
                <w:rFonts w:ascii="Times New Roman" w:hAnsi="Times New Roman" w:eastAsia="仿宋_GB2312"/>
                <w:sz w:val="24"/>
              </w:rPr>
              <w:t>/</w:t>
            </w:r>
            <w:r>
              <w:rPr>
                <w:rFonts w:hint="eastAsia" w:ascii="Times New Roman" w:hAnsi="Times New Roman" w:eastAsia="仿宋_GB2312"/>
                <w:sz w:val="24"/>
              </w:rPr>
              <w:t>立方米</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1</w:t>
            </w:r>
            <w:r>
              <w:rPr>
                <w:rFonts w:ascii="Times New Roman" w:hAnsi="Times New Roman" w:eastAsia="仿宋_GB2312"/>
                <w:sz w:val="24"/>
              </w:rPr>
              <w:t>0.9</w:t>
            </w:r>
          </w:p>
        </w:tc>
        <w:tc>
          <w:tcPr>
            <w:tcW w:w="2252" w:type="dxa"/>
            <w:gridSpan w:val="2"/>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完成市下达的目标</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Merge w:val="continue"/>
            <w:vAlign w:val="center"/>
          </w:tcPr>
          <w:p>
            <w:pPr>
              <w:spacing w:line="440" w:lineRule="exact"/>
              <w:jc w:val="center"/>
              <w:rPr>
                <w:rFonts w:ascii="Times New Roman" w:hAnsi="Times New Roman" w:eastAsia="仿宋_GB2312"/>
                <w:sz w:val="24"/>
              </w:rPr>
            </w:pPr>
          </w:p>
        </w:tc>
        <w:tc>
          <w:tcPr>
            <w:tcW w:w="3243" w:type="dxa"/>
            <w:vAlign w:val="center"/>
          </w:tcPr>
          <w:p>
            <w:pPr>
              <w:spacing w:line="440" w:lineRule="exact"/>
              <w:jc w:val="left"/>
              <w:rPr>
                <w:rFonts w:ascii="Times New Roman" w:hAnsi="Times New Roman" w:eastAsia="仿宋_GB2312"/>
                <w:sz w:val="24"/>
              </w:rPr>
            </w:pPr>
            <w:r>
              <w:rPr>
                <w:rFonts w:ascii="Times New Roman" w:hAnsi="Times New Roman" w:eastAsia="仿宋_GB2312"/>
                <w:sz w:val="24"/>
              </w:rPr>
              <w:t>15</w:t>
            </w:r>
            <w:r>
              <w:rPr>
                <w:rFonts w:hint="eastAsia" w:ascii="Times New Roman" w:hAnsi="Times New Roman" w:eastAsia="仿宋_GB2312"/>
                <w:sz w:val="24"/>
              </w:rPr>
              <w:t>.地表水优良水体比例</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
                <w:sz w:val="24"/>
              </w:rPr>
              <w:t>%</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100</w:t>
            </w:r>
          </w:p>
        </w:tc>
        <w:tc>
          <w:tcPr>
            <w:tcW w:w="2252" w:type="dxa"/>
            <w:gridSpan w:val="2"/>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1</w:t>
            </w:r>
            <w:r>
              <w:rPr>
                <w:rFonts w:ascii="Times New Roman" w:hAnsi="Times New Roman" w:eastAsia="仿宋_GB2312"/>
                <w:sz w:val="24"/>
              </w:rPr>
              <w:t>00</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Merge w:val="continue"/>
            <w:vAlign w:val="center"/>
          </w:tcPr>
          <w:p>
            <w:pPr>
              <w:spacing w:line="440" w:lineRule="exact"/>
              <w:jc w:val="center"/>
              <w:rPr>
                <w:rFonts w:ascii="Times New Roman" w:hAnsi="Times New Roman" w:eastAsia="仿宋_GB2312"/>
                <w:sz w:val="24"/>
              </w:rPr>
            </w:pPr>
          </w:p>
        </w:tc>
        <w:tc>
          <w:tcPr>
            <w:tcW w:w="3243" w:type="dxa"/>
            <w:vAlign w:val="center"/>
          </w:tcPr>
          <w:p>
            <w:pPr>
              <w:spacing w:line="440" w:lineRule="exact"/>
              <w:jc w:val="left"/>
              <w:rPr>
                <w:rFonts w:ascii="Times New Roman" w:hAnsi="Times New Roman" w:eastAsia="仿宋_GB2312"/>
                <w:sz w:val="24"/>
              </w:rPr>
            </w:pPr>
            <w:r>
              <w:rPr>
                <w:rFonts w:ascii="Times New Roman" w:hAnsi="Times New Roman" w:eastAsia="仿宋_GB2312"/>
                <w:sz w:val="24"/>
              </w:rPr>
              <w:t>16.森林覆盖率</w:t>
            </w:r>
          </w:p>
        </w:tc>
        <w:tc>
          <w:tcPr>
            <w:tcW w:w="1004"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w:t>
            </w:r>
          </w:p>
        </w:tc>
        <w:tc>
          <w:tcPr>
            <w:tcW w:w="980" w:type="dxa"/>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仿宋_GB2312"/>
                <w:sz w:val="24"/>
              </w:rPr>
              <w:t>55.68</w:t>
            </w:r>
          </w:p>
        </w:tc>
        <w:tc>
          <w:tcPr>
            <w:tcW w:w="2252" w:type="dxa"/>
            <w:gridSpan w:val="2"/>
            <w:vAlign w:val="center"/>
          </w:tcPr>
          <w:p>
            <w:pPr>
              <w:adjustRightInd w:val="0"/>
              <w:snapToGrid w:val="0"/>
              <w:spacing w:line="440" w:lineRule="exact"/>
              <w:jc w:val="center"/>
              <w:rPr>
                <w:rFonts w:ascii="Times New Roman" w:hAnsi="Times New Roman" w:eastAsia="仿宋_GB2312"/>
                <w:sz w:val="24"/>
              </w:rPr>
            </w:pPr>
            <w:r>
              <w:rPr>
                <w:rFonts w:ascii="Times New Roman" w:hAnsi="Times New Roman" w:eastAsia="东文宋体"/>
                <w:sz w:val="24"/>
              </w:rPr>
              <w:t>≥</w:t>
            </w:r>
            <w:r>
              <w:rPr>
                <w:rFonts w:ascii="Times New Roman" w:hAnsi="Times New Roman" w:eastAsia="仿宋"/>
                <w:sz w:val="24"/>
              </w:rPr>
              <w:t>55.7</w:t>
            </w:r>
          </w:p>
        </w:tc>
        <w:tc>
          <w:tcPr>
            <w:tcW w:w="1151" w:type="dxa"/>
            <w:vAlign w:val="center"/>
          </w:tcPr>
          <w:p>
            <w:pPr>
              <w:adjustRightInd w:val="0"/>
              <w:snapToGrid w:val="0"/>
              <w:spacing w:line="440" w:lineRule="exact"/>
              <w:jc w:val="center"/>
              <w:rPr>
                <w:rFonts w:ascii="Times New Roman" w:hAnsi="Times New Roman" w:eastAsia="仿宋_GB2312"/>
                <w:sz w:val="24"/>
              </w:rPr>
            </w:pPr>
            <w:r>
              <w:rPr>
                <w:rFonts w:hint="eastAsia" w:ascii="Times New Roman" w:hAnsi="Times New Roman" w:eastAsia="仿宋_GB2312"/>
                <w:sz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shd w:val="clear" w:color="auto" w:fill="E7E6E6"/>
            <w:vAlign w:val="center"/>
          </w:tcPr>
          <w:p>
            <w:pPr>
              <w:adjustRightInd w:val="0"/>
              <w:snapToGrid w:val="0"/>
              <w:rPr>
                <w:rFonts w:ascii="Times New Roman" w:hAnsi="Times New Roman" w:eastAsia="仿宋_GB2312"/>
                <w:sz w:val="24"/>
              </w:rPr>
            </w:pPr>
            <w:r>
              <w:rPr>
                <w:rFonts w:ascii="Times New Roman" w:hAnsi="Times New Roman" w:eastAsia="仿宋"/>
                <w:b/>
                <w:bCs/>
                <w:sz w:val="24"/>
              </w:rPr>
              <w:t>安全保障</w:t>
            </w:r>
          </w:p>
        </w:tc>
        <w:tc>
          <w:tcPr>
            <w:tcW w:w="3243" w:type="dxa"/>
            <w:shd w:val="clear" w:color="auto" w:fill="auto"/>
            <w:vAlign w:val="center"/>
          </w:tcPr>
          <w:p>
            <w:pPr>
              <w:spacing w:line="440" w:lineRule="exact"/>
              <w:jc w:val="left"/>
              <w:rPr>
                <w:rFonts w:ascii="Times New Roman" w:hAnsi="Times New Roman" w:eastAsia="仿宋_GB2312"/>
                <w:sz w:val="24"/>
              </w:rPr>
            </w:pPr>
            <w:r>
              <w:rPr>
                <w:rFonts w:ascii="Times New Roman" w:hAnsi="Times New Roman" w:eastAsia="仿宋_GB2312"/>
                <w:sz w:val="24"/>
              </w:rPr>
              <w:t>17.粮食综合生产能力</w:t>
            </w:r>
          </w:p>
        </w:tc>
        <w:tc>
          <w:tcPr>
            <w:tcW w:w="1004" w:type="dxa"/>
            <w:shd w:val="clear" w:color="auto" w:fill="auto"/>
            <w:vAlign w:val="center"/>
          </w:tcPr>
          <w:p>
            <w:pPr>
              <w:spacing w:line="440" w:lineRule="exact"/>
              <w:jc w:val="center"/>
              <w:rPr>
                <w:rFonts w:ascii="Times New Roman" w:hAnsi="Times New Roman" w:eastAsia="仿宋_GB2312"/>
                <w:sz w:val="24"/>
              </w:rPr>
            </w:pPr>
            <w:r>
              <w:rPr>
                <w:rFonts w:ascii="Times New Roman" w:hAnsi="Times New Roman" w:eastAsia="仿宋_GB2312"/>
                <w:sz w:val="24"/>
              </w:rPr>
              <w:t>万吨</w:t>
            </w:r>
          </w:p>
        </w:tc>
        <w:tc>
          <w:tcPr>
            <w:tcW w:w="980" w:type="dxa"/>
            <w:shd w:val="clear" w:color="auto" w:fill="auto"/>
            <w:vAlign w:val="center"/>
          </w:tcPr>
          <w:p>
            <w:pPr>
              <w:spacing w:line="440" w:lineRule="exact"/>
              <w:jc w:val="center"/>
              <w:rPr>
                <w:rFonts w:ascii="Times New Roman" w:hAnsi="Times New Roman" w:eastAsia="仿宋_GB2312"/>
                <w:sz w:val="24"/>
              </w:rPr>
            </w:pPr>
            <w:r>
              <w:rPr>
                <w:rFonts w:ascii="Times New Roman" w:hAnsi="Times New Roman" w:eastAsia="仿宋_GB2312"/>
                <w:sz w:val="24"/>
              </w:rPr>
              <w:t>0.4</w:t>
            </w:r>
            <w:r>
              <w:rPr>
                <w:rFonts w:hint="eastAsia" w:ascii="Times New Roman" w:hAnsi="Times New Roman" w:eastAsia="仿宋_GB2312"/>
                <w:sz w:val="24"/>
                <w:lang w:val="en-US" w:eastAsia="zh-CN"/>
              </w:rPr>
              <w:t>3</w:t>
            </w:r>
          </w:p>
        </w:tc>
        <w:tc>
          <w:tcPr>
            <w:tcW w:w="2252" w:type="dxa"/>
            <w:gridSpan w:val="2"/>
            <w:shd w:val="clear" w:color="auto" w:fill="auto"/>
            <w:vAlign w:val="center"/>
          </w:tcPr>
          <w:p>
            <w:pPr>
              <w:spacing w:line="440" w:lineRule="exact"/>
              <w:jc w:val="center"/>
              <w:rPr>
                <w:rFonts w:ascii="Times New Roman" w:hAnsi="Times New Roman" w:eastAsia="仿宋_GB2312"/>
                <w:sz w:val="24"/>
              </w:rPr>
            </w:pPr>
            <w:r>
              <w:rPr>
                <w:rFonts w:ascii="Times New Roman" w:hAnsi="Times New Roman" w:eastAsia="仿宋_GB2312"/>
                <w:sz w:val="24"/>
              </w:rPr>
              <w:t>完成市级下达任务</w:t>
            </w:r>
          </w:p>
        </w:tc>
        <w:tc>
          <w:tcPr>
            <w:tcW w:w="1151" w:type="dxa"/>
            <w:shd w:val="clear" w:color="auto" w:fill="auto"/>
            <w:vAlign w:val="center"/>
          </w:tcPr>
          <w:p>
            <w:pPr>
              <w:spacing w:line="440" w:lineRule="exact"/>
              <w:jc w:val="center"/>
              <w:rPr>
                <w:rFonts w:ascii="Times New Roman" w:hAnsi="Times New Roman" w:eastAsia="仿宋_GB2312"/>
                <w:sz w:val="24"/>
              </w:rPr>
            </w:pPr>
            <w:r>
              <w:rPr>
                <w:rFonts w:ascii="Times New Roman" w:hAnsi="Times New Roman" w:eastAsia="仿宋_GB2312"/>
                <w:sz w:val="24"/>
              </w:rPr>
              <w:t>约束性</w:t>
            </w:r>
          </w:p>
        </w:tc>
      </w:tr>
    </w:tbl>
    <w:p>
      <w:pPr>
        <w:ind w:firstLine="320" w:firstLineChars="100"/>
        <w:rPr>
          <w:rFonts w:ascii="Times New Roman" w:hAnsi="Times New Roman"/>
          <w:sz w:val="32"/>
          <w:szCs w:val="32"/>
        </w:rPr>
      </w:pPr>
    </w:p>
    <w:p>
      <w:pPr>
        <w:widowControl/>
        <w:jc w:val="left"/>
        <w:rPr>
          <w:rFonts w:ascii="华文中宋" w:hAnsi="华文中宋" w:eastAsia="华文中宋" w:cs="宋体"/>
          <w:bCs/>
          <w:spacing w:val="-5"/>
          <w:kern w:val="44"/>
          <w:sz w:val="44"/>
          <w:szCs w:val="44"/>
        </w:rPr>
      </w:pPr>
      <w:bookmarkStart w:id="18" w:name="_Toc220742576"/>
      <w:bookmarkStart w:id="19" w:name="_Toc217846665"/>
      <w:r>
        <w:rPr>
          <w:rFonts w:ascii="华文中宋" w:hAnsi="华文中宋" w:eastAsia="华文中宋" w:cs="宋体"/>
          <w:b/>
          <w:bCs/>
          <w:spacing w:val="-5"/>
          <w:szCs w:val="44"/>
        </w:rPr>
        <w:br w:type="page"/>
      </w:r>
    </w:p>
    <w:p>
      <w:pPr>
        <w:pStyle w:val="3"/>
        <w:keepNext w:val="0"/>
        <w:keepLines w:val="0"/>
        <w:spacing w:before="0" w:after="0" w:line="640" w:lineRule="exact"/>
        <w:jc w:val="center"/>
        <w:rPr>
          <w:rFonts w:ascii="华文中宋" w:hAnsi="华文中宋" w:eastAsia="华文中宋" w:cs="宋体"/>
          <w:b w:val="0"/>
          <w:bCs/>
          <w:spacing w:val="-5"/>
          <w:szCs w:val="44"/>
        </w:rPr>
      </w:pPr>
      <w:bookmarkStart w:id="20" w:name="_Toc229555766"/>
      <w:r>
        <w:rPr>
          <w:rFonts w:hint="eastAsia" w:ascii="华文中宋" w:hAnsi="华文中宋" w:eastAsia="华文中宋" w:cs="宋体"/>
          <w:b w:val="0"/>
          <w:bCs/>
          <w:spacing w:val="-5"/>
          <w:szCs w:val="44"/>
        </w:rPr>
        <w:t>第二章 加快建设国际旅游消费中心核心引领区</w:t>
      </w:r>
      <w:bookmarkEnd w:id="18"/>
      <w:bookmarkEnd w:id="19"/>
      <w:bookmarkEnd w:id="20"/>
    </w:p>
    <w:p>
      <w:pPr>
        <w:spacing w:line="560" w:lineRule="exact"/>
        <w:rPr>
          <w:sz w:val="32"/>
          <w:szCs w:val="32"/>
        </w:rPr>
      </w:pPr>
    </w:p>
    <w:p>
      <w:pPr>
        <w:spacing w:line="560" w:lineRule="exact"/>
        <w:ind w:firstLine="640" w:firstLineChars="200"/>
        <w:rPr>
          <w:rFonts w:ascii="仿宋_GB2312" w:eastAsia="仿宋_GB2312"/>
          <w:sz w:val="32"/>
          <w:szCs w:val="32"/>
        </w:rPr>
      </w:pPr>
      <w:r>
        <w:rPr>
          <w:rFonts w:hint="eastAsia" w:ascii="仿宋_GB2312" w:eastAsia="仿宋_GB2312"/>
          <w:sz w:val="32"/>
          <w:szCs w:val="32"/>
        </w:rPr>
        <w:t>立足海南自由贸易港和三亚国际旅游消费中心核心区建设大局，打造自贸港旅游消费政策创新实践区。构建“一带多核”空间格局与五大核心业态融合发展的消费生态体系，实现景区、商圈、社区全域联动。全面推动旅游、酒店、购物、康养、会展等业态提质升级，拓展“旅游+”多元场景。高标准优化服务环境，完善智慧旅游与多语种服务体系。持续深化“三篇消费文章”，通过释放消费活力和扩大有效投资，全面激发市场潜力，塑造海棠区高端、智慧、便利的世界级旅游消费目的地形象。</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21" w:name="_Toc220742577"/>
      <w:bookmarkStart w:id="22" w:name="_Toc217846666"/>
      <w:bookmarkStart w:id="23" w:name="_Toc229555767"/>
      <w:r>
        <w:rPr>
          <w:rFonts w:hint="eastAsia" w:ascii="黑体" w:hAnsi="黑体" w:eastAsia="黑体" w:cs="黑体"/>
          <w:b w:val="0"/>
          <w:bCs w:val="0"/>
        </w:rPr>
        <w:t>第一节 打造自贸港旅游消费政策创新实践区</w:t>
      </w:r>
      <w:bookmarkEnd w:id="21"/>
      <w:bookmarkEnd w:id="22"/>
      <w:bookmarkEnd w:id="23"/>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（一）聚焦国际旅游消费领域的政策创新与实践</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立足三亚建设国际旅游消费中心核心区的总体部署，充分发挥海棠在离岛免税、高端度假、国际消费等方面的优势，主动承接 “零关税、低税率、简税制”等自贸港核心政策，依托三亚现代服务业产业园、琼港经济合作三亚示范区等重要平台载体，积极争取省市级层面支持，努力形成一批聚焦旅游消费领域的政策创新成果。</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（二）推动离岛免税政策体验升级</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在严格落实监管要求的前提下，积极争取成为离岛免税政策创新的“试验田”。推动免税商品品类动态拓展，争取引入更多高端定制、限量版、绿色智能类消费品。探索“免税+保税+跨境电商”模式创新，研究开展高端消费品保税展示交易、体验式销售、定制化服务等业务试点。</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（三）构建便利高效的消费要素跨境流动环境</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在依法合规、风险可控的前提下，争取在数据跨境流动安全管理试点中，探索为旅游消费领域的国际营销、客户服务、在线预订等业务提供数据流动便利。推动外汇管理便利化政策在旅游消费场景的广泛应用，支持符合条件的商户为境外游客提供移动支付、外币兑换、跨境人民币结算等多渠道支付便利。</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24" w:name="_Toc220742578"/>
      <w:bookmarkStart w:id="25" w:name="_Toc229555768"/>
      <w:bookmarkStart w:id="26" w:name="_Toc217846667"/>
      <w:r>
        <w:rPr>
          <w:rFonts w:hint="eastAsia" w:ascii="黑体" w:hAnsi="黑体" w:eastAsia="黑体" w:cs="黑体"/>
          <w:b w:val="0"/>
          <w:bCs w:val="0"/>
        </w:rPr>
        <w:t>第二节 构建“一带多核”多元融合旅游消费生态体系</w:t>
      </w:r>
      <w:bookmarkEnd w:id="24"/>
      <w:bookmarkEnd w:id="25"/>
      <w:bookmarkEnd w:id="26"/>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（一）构建多元融合的旅游消费五大核心业态</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坚持以国际化引领、品质化提升、数字化赋能为方向，完善高端酒店、休闲旅游、购物消费、医疗康养和会议会展五大核心业态全链条服务体系。通过高端酒店的集群与国际品牌协作，打造世界级度假区。依托免税经济和数字贸易，拓展全球消费市场。以医疗康养为突破口，构建健康旅居的新模式。以会议会展为平台，提升海棠国际交流与品牌传播的能力。同时，完善智慧旅游和消费便利体系，推动“旅游</w:t>
      </w:r>
      <w:r>
        <w:rPr>
          <w:rFonts w:ascii="仿宋_GB2312" w:eastAsia="仿宋_GB2312"/>
          <w:sz w:val="32"/>
          <w:szCs w:val="32"/>
        </w:rPr>
        <w:t>+</w:t>
      </w:r>
      <w:r>
        <w:rPr>
          <w:rFonts w:hint="eastAsia" w:ascii="仿宋_GB2312" w:eastAsia="仿宋_GB2312"/>
          <w:sz w:val="32"/>
          <w:szCs w:val="32"/>
        </w:rPr>
        <w:t>医疗</w:t>
      </w:r>
      <w:r>
        <w:rPr>
          <w:rFonts w:ascii="仿宋_GB2312" w:eastAsia="仿宋_GB2312"/>
          <w:sz w:val="32"/>
          <w:szCs w:val="32"/>
        </w:rPr>
        <w:t>+</w:t>
      </w:r>
      <w:r>
        <w:rPr>
          <w:rFonts w:hint="eastAsia" w:ascii="仿宋_GB2312" w:eastAsia="仿宋_GB2312"/>
          <w:sz w:val="32"/>
          <w:szCs w:val="32"/>
        </w:rPr>
        <w:t>会展</w:t>
      </w:r>
      <w:r>
        <w:rPr>
          <w:rFonts w:ascii="仿宋_GB2312" w:eastAsia="仿宋_GB2312"/>
          <w:sz w:val="32"/>
          <w:szCs w:val="32"/>
        </w:rPr>
        <w:t>+</w:t>
      </w:r>
      <w:r>
        <w:rPr>
          <w:rFonts w:hint="eastAsia" w:ascii="仿宋_GB2312" w:eastAsia="仿宋_GB2312"/>
          <w:sz w:val="32"/>
          <w:szCs w:val="32"/>
        </w:rPr>
        <w:t>文创</w:t>
      </w:r>
      <w:r>
        <w:rPr>
          <w:rFonts w:ascii="仿宋_GB2312" w:eastAsia="仿宋_GB2312"/>
          <w:sz w:val="32"/>
          <w:szCs w:val="32"/>
        </w:rPr>
        <w:t>+</w:t>
      </w:r>
      <w:r>
        <w:rPr>
          <w:rFonts w:hint="eastAsia" w:ascii="仿宋_GB2312" w:eastAsia="仿宋_GB2312"/>
          <w:sz w:val="32"/>
          <w:szCs w:val="32"/>
        </w:rPr>
        <w:t>数字”深度融合，全面塑造海棠作为国家海岸和海南自由贸易港国际旅游消费中心核心引领区的标杆形象。</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（二）打造“一带多核”的空间旅游消费格局</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带”即高标准建设贯穿南北的“国家海岸休闲活力带”，通过生态修复、景观提升与公共空间建设，融合滨海慢行、观景平台、文化节点与公共服务设施，植入艺术与演艺元素，常态化举办休闲活动，形成连续、开放、共享的国际化滨海公共空间。“多核”则聚焦五大特色功能集群。以三亚国际免税城为核心的国际时尚消费核，打造高端消费品集聚区。以解放军总医院海南医院为龙头的国际医疗康养核，构建高端诊疗、康复疗养、健康管理全产业链。以北山、湾坡等村落为载体的本土文化体验核，推动非遗工坊、乡村艺术聚落等沉浸式文化体验。以蜈支洲岛、后海为核心的滨海水上运动核，发展潜水、游艇等热带滨海运动。以椰子洲岛、蜈支洲岛等为载体的低空旅游体验核，规范发展直升机、滑翔伞和高空跳伞等低空旅游项目。通过“一带”联动“多核”，将海棠打造成功能互补、特色鲜明的世界级滨海旅游与消费高地。</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（三）形成“景区—商圈—社区”联动融合的全域旅游消费网络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景区为内容供给和客流引擎，持续提升蜈支洲岛、亚特兰蒂斯和水稻公园等重点景区产品内涵与体验品质，增强吸引力和复游率；以商圈为消费转化和功能延展载体，加强与景区的空间衔接和业态联动，推动文化、艺术、娱乐及休闲等多元场景融合发展；以社区和风情小镇（如林旺、青田）为生活体验和服务承载空间，在有序开放中完善公共空间和生活化业态，引导游客深度融入本地生活。通过强化功能互补、路径贯通和场景共建，使海棠形成“景区引流-商圈集聚-社区承载”的联动体系，最终形成主客共享、有机融合的全域旅游消费网络。</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27" w:name="_Toc217846668"/>
      <w:bookmarkStart w:id="28" w:name="_Toc229555769"/>
      <w:bookmarkStart w:id="29" w:name="_Toc220742579"/>
      <w:r>
        <w:rPr>
          <w:rFonts w:hint="eastAsia" w:ascii="黑体" w:hAnsi="黑体" w:eastAsia="黑体" w:cs="黑体"/>
          <w:b w:val="0"/>
          <w:bCs w:val="0"/>
        </w:rPr>
        <w:t>第三节 旅游业态提质升级</w:t>
      </w:r>
      <w:bookmarkEnd w:id="27"/>
      <w:bookmarkEnd w:id="28"/>
      <w:bookmarkEnd w:id="29"/>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（一）优化旅游产品供给</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升休闲度假区品质。全面释放海棠旅游度假区发展潜能，系统提升重点文旅项目品质，着力丰富休闲度假产品供给。推动存量酒店改造焕新，进一步打造高端滨海酒店集聚带，围绕商务、生活方式、艺术与电竞等主题，引导辖区酒店差异化、特色化升级。优化精品民宿发展布局，重点在风情小镇及后海等区域打造特色民宿集群，加强规范管理与服务提升，培育一批精品民宿。强化休闲旅游载体支撑与项目引领，系统推进三亚超级地中海等旅游度假项目的建设与功能升级。探索布局一批融入黎苗文化、疍家渔排生活和海洋生态等特色元素的小剧场、沉浸式演出空间及新型文化社交场所。</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推动景区景点提质升级，开展核心景观改造升级、文旅业态创新融合、安全管理规范提质等重点工作，打造一批标杆性旅游景区；促进乡村旅游扩容提质，培育一批主题鲜明、业态多元的乡村旅游目的地；健全旅游服务配套体系，高起点规划后海花语环岛旅游公路驿站，加快推进观景平台、游客服务中心、生态停车场和应急救援站点等配套设施建设落地见效。提升旅游环境的舒适度，牢固树立以服务品质赢口碑、树品牌的理念，把优质服务贯穿于游客旅游消费的全过程。</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（二）推动旅游业态融合升级</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加快培育多元化旅游业态，突出构建以海洋、康养、文化、体育、低空和乡村为核心的六大旅游产品体系。</w:t>
      </w:r>
      <w:r>
        <w:rPr>
          <w:rFonts w:hint="eastAsia" w:ascii="仿宋_GB2312" w:hAnsi="仿宋_GB2312" w:eastAsia="仿宋_GB2312" w:cs="仿宋_GB2312"/>
          <w:bCs/>
          <w:sz w:val="32"/>
          <w:szCs w:val="32"/>
        </w:rPr>
        <w:t>培育海洋旅游新业态，</w:t>
      </w:r>
      <w:r>
        <w:rPr>
          <w:rFonts w:hint="eastAsia" w:ascii="仿宋_GB2312" w:hAnsi="仿宋_GB2312" w:eastAsia="仿宋_GB2312" w:cs="仿宋_GB2312"/>
          <w:sz w:val="32"/>
          <w:szCs w:val="32"/>
        </w:rPr>
        <w:t>完善海上旅游基础设施，发展多样化海上观光模式，加快布局海洋旅游创新业态。探索深海旅游合作开发，推动冲浪、潜水规范化发展，积极拓展深海观光、海底潜器体验和海上综合娱乐平台等特色项目。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推动大健康与文旅产业深度融合，</w:t>
      </w:r>
      <w:r>
        <w:rPr>
          <w:rFonts w:hint="eastAsia" w:ascii="仿宋_GB2312" w:hAnsi="仿宋_GB2312" w:eastAsia="仿宋_GB2312" w:cs="仿宋_GB2312"/>
          <w:sz w:val="32"/>
          <w:szCs w:val="32"/>
        </w:rPr>
        <w:t>加快医疗健康城等重点项目建设，完善康养服务设施，丰富康养旅游产品，打造具有国际影响力的康养旅游目的地。依托本土中医优势，引进和培育国际医疗康养机构、养老机构及管理团队，创新开展健康管理、美容整形和互联网医疗等特色服务。积极发展“候鸟式”旅居度假，推动康养旅游向精细化、优质化、高端化升级。</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推动文旅产业提质增效，</w:t>
      </w:r>
      <w:r>
        <w:rPr>
          <w:rFonts w:hint="eastAsia" w:ascii="仿宋_GB2312" w:hAnsi="仿宋_GB2312" w:eastAsia="仿宋_GB2312" w:cs="仿宋_GB2312"/>
          <w:sz w:val="32"/>
          <w:szCs w:val="32"/>
        </w:rPr>
        <w:t>强化IP赋能与内容引进，积极引入国内外知名演艺IP及文化艺术团体，常态化举办音乐节、高端商业演艺和艺术展演等活动，打造滨海演艺集聚区与高品质实景演艺项目。加快推进</w:t>
      </w:r>
      <w:r>
        <w:rPr>
          <w:rFonts w:hint="eastAsia" w:ascii="仿宋_GB2312" w:hAnsi="仿宋_GB2312" w:eastAsia="仿宋_GB2312" w:cs="仿宋_GB2312"/>
          <w:color w:val="auto"/>
          <w:sz w:val="32"/>
          <w:szCs w:val="32"/>
        </w:rPr>
        <w:t>海棠演艺中心</w:t>
      </w:r>
      <w:r>
        <w:rPr>
          <w:rFonts w:hint="eastAsia" w:ascii="仿宋_GB2312" w:hAnsi="仿宋_GB2312" w:eastAsia="仿宋_GB2312" w:cs="仿宋_GB2312"/>
          <w:sz w:val="32"/>
          <w:szCs w:val="32"/>
        </w:rPr>
        <w:t>等重点项目建设，积极推动文体多功能中心落地。打造一批特色研学旅游基地，支持开发黎锦、椰雕、黎陶和竹木乐器等本土特色旅游商品，培育兼具文化内涵、视觉美感和互动体验的文旅消费新场景与网红打卡地。</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打造体育旅游品牌，</w:t>
      </w:r>
      <w:r>
        <w:rPr>
          <w:rFonts w:hint="eastAsia" w:ascii="仿宋_GB2312" w:hAnsi="仿宋_GB2312" w:eastAsia="仿宋_GB2312" w:cs="仿宋_GB2312"/>
          <w:sz w:val="32"/>
          <w:szCs w:val="32"/>
        </w:rPr>
        <w:t>以蜈支洲岛与后海等区域为基地，重点发展高空跳伞、深海潜水、冲浪、帆船等滨海体育项目，构建集竞技、观赏、体验于一体的体育节事体系。紧抓2026年亚沙会在三亚市举办的契机，大力发展沙滩田径、冲浪和摩托艇等赛事，提升区域体育旅游影响力。</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加快布局低空旅游</w:t>
      </w:r>
      <w:r>
        <w:rPr>
          <w:rFonts w:ascii="仿宋_GB2312" w:hAnsi="仿宋_GB2312" w:eastAsia="仿宋_GB2312" w:cs="仿宋_GB2312"/>
          <w:bCs/>
          <w:sz w:val="32"/>
          <w:szCs w:val="32"/>
        </w:rPr>
        <w:t>,</w:t>
      </w:r>
      <w:r>
        <w:rPr>
          <w:rFonts w:hint="eastAsia" w:ascii="仿宋_GB2312" w:hAnsi="仿宋_GB2312" w:eastAsia="仿宋_GB2312" w:cs="仿宋_GB2312"/>
          <w:sz w:val="32"/>
          <w:szCs w:val="32"/>
        </w:rPr>
        <w:t>打造“旅游+低空观光”融合业态，系统规划串联主要景区及环岛的低空游览网络，积极引进国内外滑翔伞比赛、航空模型表演，依托椰子洲岛等片区探索建设国内首个低空经济主题乐园。</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建设农旅融合发展区</w:t>
      </w:r>
      <w:r>
        <w:rPr>
          <w:rFonts w:hint="eastAsia" w:ascii="仿宋_GB2312" w:hAnsi="仿宋_GB2312" w:eastAsia="仿宋_GB2312" w:cs="仿宋_GB2312"/>
          <w:sz w:val="32"/>
          <w:szCs w:val="32"/>
        </w:rPr>
        <w:t>，通过精品化、主题化、体验式发展，促进热带农业、滨海乡村休闲与高端度假新业态深度融合。采取“度假区+乡村社区+共享农庄”等模式，推动南田片区和升昌村、北山村等农文旅融合的综合体建设。</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（三）构建高效能旅游监管生态</w:t>
      </w:r>
    </w:p>
    <w:p>
      <w:pPr>
        <w:pStyle w:val="18"/>
        <w:shd w:val="clear" w:color="auto" w:fill="FFFFFF"/>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问题导向，聚焦重点领域和关键环节，持续完善综合执法、专业执法与联合执法协同机制，提升违法违规行为发现和处置效率。强化价格监管，紧盯餐饮、购物、住宿和景区等重点领域，严厉查处价格欺诈、虚假宣传等违法行为。规范旅游市场经营秩序，依法整治非法经营主体和不规范经营行为，持续改善景区及周边环境。加强安全风险防控，常态化开展旅游设施、特种设备、食品卫生和消防安全检查，对人员密集场所实施风险隐患闭环管理，守牢安全发展底线。</w:t>
      </w:r>
    </w:p>
    <w:p>
      <w:pPr>
        <w:pStyle w:val="18"/>
        <w:shd w:val="clear" w:color="auto" w:fill="FFFFFF"/>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积极推进数字赋能旅游市场监管，探索数字技术与执法监管深度融合的新模式。健全旅游市场信用体系，完善市场主体和从业人员信用管理，推进分级分类监管，提升监管精准性。优化投诉受理和处置机制，强化快速响应和闭环管理，提高游客诉求解决效率。完善舆情监测和处置体系，组建由网信办、文旅、市场监管等部门组成的舆情专班，加强与主流媒体的沟通协作，及时回应社会关切，持续维护良好旅游市场秩序和城市形象。</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30" w:name="_Toc229555770"/>
      <w:bookmarkStart w:id="31" w:name="_Toc220742580"/>
      <w:r>
        <w:rPr>
          <w:rFonts w:hint="eastAsia" w:ascii="黑体" w:hAnsi="黑体" w:eastAsia="黑体" w:cs="黑体"/>
          <w:b w:val="0"/>
          <w:bCs w:val="0"/>
        </w:rPr>
        <w:t>第四节 扩大有效需求挖掘消费潜力</w:t>
      </w:r>
      <w:bookmarkEnd w:id="30"/>
      <w:bookmarkEnd w:id="31"/>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推动消费业态提质升级</w:t>
      </w:r>
    </w:p>
    <w:p>
      <w:pPr>
        <w:pStyle w:val="18"/>
        <w:widowControl/>
        <w:shd w:val="clear" w:color="auto" w:fill="FFFFFF"/>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持续深化高端购物、医疗、教育“三篇消费文章”，推动消费业态提质升级、融合发展。持续擦亮离岛免税“金字招牌”，充分发挥免税效应，推动“免税+”与酒店、会展及演艺等业态深度融合，加强岛外推介与国际品牌引进，支持精品国货与海南特色品牌入驻，打造品类齐全、体验优越的商业消费新高地。推动免税消费提质升级，以三亚国际免税城、万象城、海棠故事和三亚海棠湾金凤凰海岸珠宝城等重点项目为核心载体，加快消费多元化拓展。购物经济重点提升免税购物能级，着力打造黄金珠宝等新增长点；餐饮经济重点构建高端餐饮与国际品牌荟萃、特色餐饮与本土文化交融的餐饮服务体系，引入国际知名餐饮品牌，强化美食文化交流，提升区域国际化餐饮形象。挖掘本土特色，打造集餐饮、购物为一体的特色夜经济街区，搭建特色主题餐厅和精品小店，丰富个性化消费选择。以教育开放为支撑，积极引入优质教育资源，支持与国际高校开展合作办学，高质量推进国际化学校项目建设，打造研学游一体、产教融合的教育开放平台，为消费升级和人才集聚提供支撑。</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（二）着力释放消费活力</w:t>
      </w:r>
    </w:p>
    <w:p>
      <w:pPr>
        <w:pStyle w:val="18"/>
        <w:widowControl/>
        <w:shd w:val="clear" w:color="auto" w:fill="FFFFFF"/>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推动“旅游+消费”深度融合，提升婚庆、亲子与会展等传统优势消费，培育发展品牌首发与国潮文创等新型消费模式。完善城乡商业网络与旅游配套设施，加快推进南田片区基础设施建设，释放全域消费潜力。提升居民消费能力，强化普惠性补贴政策，增加民生保障支出，优化低收入群体动态管理，推广智慧超市与智慧商店。打造“步行街+新零售”模式，加快建设中免太古里及万象城等一批文旅消费综合体，推进海棠故事特色商业街区和海棠</w:t>
      </w:r>
      <w:r>
        <w:rPr>
          <w:rFonts w:ascii="仿宋_GB2312" w:hAnsi="仿宋_GB2312" w:eastAsia="仿宋_GB2312" w:cs="仿宋_GB2312"/>
          <w:sz w:val="32"/>
          <w:szCs w:val="32"/>
        </w:rPr>
        <w:t>68环球美食街</w:t>
      </w:r>
      <w:r>
        <w:rPr>
          <w:rFonts w:hint="eastAsia" w:ascii="仿宋_GB2312" w:hAnsi="仿宋_GB2312" w:eastAsia="仿宋_GB2312" w:cs="仿宋_GB2312"/>
          <w:sz w:val="32"/>
          <w:szCs w:val="32"/>
        </w:rPr>
        <w:t>提质升级。培育新型消费场景，</w:t>
      </w:r>
      <w:r>
        <w:rPr>
          <w:rFonts w:hint="eastAsia" w:ascii="仿宋_GB2312" w:hAnsi="仿宋_GB2312" w:eastAsia="仿宋_GB2312" w:cs="仿宋_GB2312"/>
          <w:bCs/>
          <w:sz w:val="32"/>
          <w:szCs w:val="32"/>
        </w:rPr>
        <w:t>包括</w:t>
      </w:r>
      <w:r>
        <w:rPr>
          <w:rFonts w:hint="eastAsia" w:ascii="仿宋_GB2312" w:hAnsi="仿宋_GB2312" w:eastAsia="仿宋_GB2312" w:cs="仿宋_GB2312"/>
          <w:sz w:val="32"/>
          <w:szCs w:val="32"/>
        </w:rPr>
        <w:t>以体验为导向的潮玩、宠物、游戏消费、健康养生、兴趣课程、解压疗愈和体验工坊等悦己新消费，以耐用品升级为导向的以旧换新消费，以及以科技导向的智能家居、AR和VR沉浸式体验科技新消费。大力优化消费环境，用好240小时过境免签及各类免签政策，积极拓展“一带一路”沿线国家地区尤其是东南亚国家以及韩国、东欧等客源市场，推动境外游客离境退税落地，吸引更多境外游客入境旅游消费。</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w:t>
      </w:r>
      <w:r>
        <w:rPr>
          <w:rFonts w:ascii="楷体" w:hAnsi="楷体" w:eastAsia="楷体" w:cs="楷体"/>
          <w:sz w:val="32"/>
          <w:szCs w:val="32"/>
        </w:rPr>
        <w:t>扩大有效投资</w:t>
      </w:r>
    </w:p>
    <w:p>
      <w:pPr>
        <w:pStyle w:val="18"/>
        <w:widowControl/>
        <w:shd w:val="clear" w:color="auto" w:fill="FFFFFF"/>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着力提升招商引资质量和效果,发挥</w:t>
      </w:r>
      <w:r>
        <w:rPr>
          <w:rFonts w:ascii="Times New Roman" w:hAnsi="Times New Roman" w:eastAsia="仿宋_GB2312"/>
          <w:sz w:val="32"/>
          <w:szCs w:val="32"/>
        </w:rPr>
        <w:t>琼港经济合作三亚示范区</w:t>
      </w:r>
      <w:r>
        <w:rPr>
          <w:rFonts w:hint="eastAsia" w:ascii="Times New Roman" w:hAnsi="Times New Roman" w:eastAsia="仿宋_GB2312"/>
          <w:sz w:val="32"/>
          <w:szCs w:val="32"/>
        </w:rPr>
        <w:t>等</w:t>
      </w:r>
      <w:r>
        <w:rPr>
          <w:rFonts w:hint="eastAsia" w:ascii="仿宋_GB2312" w:hAnsi="仿宋_GB2312" w:eastAsia="仿宋_GB2312" w:cs="仿宋_GB2312"/>
          <w:sz w:val="32"/>
          <w:szCs w:val="32"/>
        </w:rPr>
        <w:t>载体作用，着力引进引领性强、融合度高的优质项目，重点加强项目推进事前评估、事中服务、事后监管,不断提高项目签约率和开工率。优化政府投资结构，加大民生保障、公共服务及基础设施补短板等领域投入，顺应人口结构与流动趋势，优化区域内基础设施与公共服务布局，强化对人力资源开发和人的全面发展的长期投入。积极争取有效利用中央预算内投资、超长期特别国债与地方政府专项债券等政策性资金，重点投向旅游消费提质升级、现代化产业培育、新质生产力关联产业等关键领域，形成有效投资。常态化向民间资本推介优质项目，健全民营企业平等参与重大项目建设的长效机制，切实提升民间投资比重与活力。</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（四）优化营商环境</w:t>
      </w:r>
    </w:p>
    <w:p>
      <w:pPr>
        <w:pStyle w:val="18"/>
        <w:widowControl/>
        <w:shd w:val="clear" w:color="auto" w:fill="FFFFFF"/>
        <w:spacing w:beforeAutospacing="0" w:after="0" w:afterAutospacing="0" w:line="560" w:lineRule="exact"/>
        <w:ind w:firstLine="640" w:firstLineChars="200"/>
        <w:rPr>
          <w:rFonts w:ascii="仿宋_GB2312" w:hAnsi="仿宋_GB2312" w:eastAsia="仿宋_GB2312" w:cs="仿宋_GB2312"/>
          <w:sz w:val="32"/>
          <w:szCs w:val="32"/>
        </w:rPr>
      </w:pPr>
      <w:bookmarkStart w:id="32" w:name="_Toc220742581"/>
      <w:bookmarkStart w:id="33" w:name="_Toc19212"/>
      <w:r>
        <w:rPr>
          <w:rFonts w:hint="eastAsia" w:ascii="仿宋_GB2312" w:hAnsi="仿宋_GB2312" w:eastAsia="仿宋_GB2312" w:cs="仿宋_GB2312"/>
          <w:sz w:val="32"/>
          <w:szCs w:val="32"/>
        </w:rPr>
        <w:t>深化“放管服”改革，推进极简审批，提升政府的服务效能。积极推进“智慧海棠”建设，深化“一网通办”和“一件事一次办”改革，推动更多事项实现全网通办、跨域通办，实现政务服务“零跑动”事项可办率达100%。打造“棠心服务”品牌，聚焦“全生命周期服务”，为辖区市场主体打造“一站式”“全链条”服务闭环。</w:t>
      </w:r>
      <w:r>
        <w:rPr>
          <w:rFonts w:hint="eastAsia" w:ascii="仿宋_GB2312" w:hAnsi="仿宋_GB2312" w:eastAsia="仿宋_GB2312" w:cs="仿宋_GB2312"/>
          <w:color w:val="auto"/>
          <w:sz w:val="32"/>
          <w:szCs w:val="32"/>
        </w:rPr>
        <w:t>通过“清单化+分阶段”提速政务代办，运营阶段提供“线上引擎+人工政策计算器”精准推送政策、对接职能部门破解企业难题。</w:t>
      </w:r>
      <w:r>
        <w:rPr>
          <w:rFonts w:hint="eastAsia" w:ascii="仿宋_GB2312" w:hAnsi="仿宋_GB2312" w:eastAsia="仿宋_GB2312" w:cs="仿宋_GB2312"/>
          <w:sz w:val="32"/>
          <w:szCs w:val="32"/>
        </w:rPr>
        <w:t>完善企业服务和政企沟通机制。构建新型信用监管机制，构建覆盖全社会的信用评价体系，健全以信用为核心的分级分类监管体系和信用联合奖惩机制，依托省金椰分平台，健全海棠区信用应用场景“生态圈”，持续深化“互联网+监管”改革，构建更加高效的综合监管协同联动机制。</w:t>
      </w:r>
      <w:bookmarkEnd w:id="32"/>
      <w:bookmarkEnd w:id="33"/>
    </w:p>
    <w:p>
      <w:pPr>
        <w:pStyle w:val="4"/>
        <w:spacing w:before="326" w:beforeLines="100" w:after="326" w:afterLines="100" w:line="560" w:lineRule="exact"/>
        <w:ind w:firstLine="640" w:firstLineChars="200"/>
        <w:jc w:val="center"/>
        <w:rPr>
          <w:rFonts w:ascii="黑体" w:hAnsi="黑体" w:eastAsia="黑体" w:cs="黑体"/>
          <w:b w:val="0"/>
          <w:bCs w:val="0"/>
        </w:rPr>
      </w:pPr>
      <w:bookmarkStart w:id="34" w:name="_Toc220742582"/>
      <w:bookmarkStart w:id="35" w:name="_Toc217846669"/>
      <w:bookmarkStart w:id="36" w:name="_Toc229555771"/>
      <w:r>
        <w:rPr>
          <w:rFonts w:hint="eastAsia" w:ascii="黑体" w:hAnsi="黑体" w:eastAsia="黑体" w:cs="黑体"/>
          <w:b w:val="0"/>
          <w:bCs w:val="0"/>
        </w:rPr>
        <w:t>第五节 建设国际化便利化旅游消费服务环境</w:t>
      </w:r>
      <w:bookmarkEnd w:id="34"/>
      <w:bookmarkEnd w:id="35"/>
      <w:bookmarkEnd w:id="36"/>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（一）实施国际服务标准对标与认证工程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高端酒店、商业体及高等级景区等重点领域，结合海棠实际，推广国际公认的服务质量认证体系和相关规范，如旅游信息咨询服务、在线旅游机构（OTA）服务标准等。依托海南洛桑旅游大学酒店管理学院等平台，与国际权威认证机构合作，开展旅游酒店管理、奢侈品零售、高端康养护理和国际会展服务等领域的国际职业资格培训和认证，打造一支具备国际视野、专业素养和跨文化沟通能力的旅游服务人才后备队伍。系统性提升全区公共信息图形符号、交通标识、景区导览图、安全警示标志的规范性和国际化水平。</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（二）构建便利化智慧化服务环境</w:t>
      </w:r>
    </w:p>
    <w:p>
      <w:pPr>
        <w:spacing w:after="163" w:afterLines="50" w:line="560" w:lineRule="exact"/>
        <w:ind w:firstLine="640" w:firstLineChars="200"/>
        <w:rPr>
          <w:rFonts w:ascii="仿宋_GB2312" w:hAnsi="仿宋_GB2312" w:eastAsia="仿宋_GB2312" w:cs="仿宋_GB2312"/>
          <w:sz w:val="32"/>
          <w:szCs w:val="32"/>
        </w:rPr>
      </w:pPr>
      <w:r>
        <w:rPr>
          <w:rFonts w:hint="eastAsia" w:ascii="仿宋_GB2312" w:hAnsi="楷体" w:eastAsia="仿宋_GB2312" w:cs="楷体"/>
          <w:sz w:val="32"/>
          <w:szCs w:val="32"/>
        </w:rPr>
        <w:t>系统推进语言服务，建立覆盖英语、日语、韩语、俄语等多语种服务体系，推动公共服务窗口、旅游企业及宣传资料全面提供多语种支持。优化支付环境，推动全区商圈受理国际主流信用卡与移动支付工具，探索数字人民币跨境支付试点，便利境外游客开户与消费。完善智慧旅游基础设施，依托三亚“放心游”平台打造“一部手机游海棠”平台整合旅游资源，提供行程规划、智能票务、AR导航、智能客服与紧急求助等一站式数字化服务，提升国际旅游消费智能体验水平，打造高效、便捷、智慧、友好的国际旅游目的地。</w:t>
      </w:r>
    </w:p>
    <w:tbl>
      <w:tblPr>
        <w:tblStyle w:val="49"/>
        <w:tblW w:w="8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8835" w:type="dxa"/>
            <w:tcBorders>
              <w:top w:val="single" w:color="auto" w:sz="4" w:space="0"/>
              <w:left w:val="single" w:color="auto" w:sz="4" w:space="0"/>
              <w:bottom w:val="single" w:color="auto" w:sz="4" w:space="0"/>
              <w:right w:val="single" w:color="auto" w:sz="4" w:space="0"/>
            </w:tcBorders>
          </w:tcPr>
          <w:p>
            <w:pPr>
              <w:adjustRightInd w:val="0"/>
              <w:snapToGrid w:val="0"/>
              <w:spacing w:before="163" w:beforeLines="50" w:after="163" w:afterLines="50" w:line="400" w:lineRule="exact"/>
              <w:ind w:firstLine="560"/>
              <w:jc w:val="center"/>
              <w:rPr>
                <w:rFonts w:ascii="Times New Roman" w:hAnsi="Times New Roman" w:eastAsia="黑体"/>
                <w:sz w:val="32"/>
                <w:szCs w:val="32"/>
              </w:rPr>
            </w:pPr>
            <w:r>
              <w:rPr>
                <w:rFonts w:hint="eastAsia" w:ascii="Times New Roman" w:hAnsi="Times New Roman" w:eastAsia="黑体"/>
                <w:sz w:val="32"/>
                <w:szCs w:val="32"/>
              </w:rPr>
              <w:t>专栏</w:t>
            </w:r>
            <w:r>
              <w:rPr>
                <w:rFonts w:ascii="Times New Roman" w:hAnsi="Times New Roman" w:eastAsia="黑体"/>
                <w:bCs/>
                <w:sz w:val="32"/>
                <w:szCs w:val="32"/>
              </w:rPr>
              <w:t>2</w:t>
            </w:r>
            <w:r>
              <w:rPr>
                <w:rFonts w:hint="eastAsia" w:ascii="Times New Roman" w:hAnsi="Times New Roman" w:eastAsia="黑体"/>
                <w:sz w:val="32"/>
                <w:szCs w:val="32"/>
              </w:rPr>
              <w:t xml:space="preserve">  旅游消费业态提质升级重点工程项目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835" w:type="dxa"/>
            <w:tcBorders>
              <w:top w:val="single" w:color="auto" w:sz="4" w:space="0"/>
              <w:left w:val="single" w:color="auto" w:sz="4" w:space="0"/>
              <w:bottom w:val="single" w:color="auto" w:sz="4" w:space="0"/>
              <w:right w:val="single" w:color="auto" w:sz="4" w:space="0"/>
            </w:tcBorders>
          </w:tcPr>
          <w:p>
            <w:pPr>
              <w:pStyle w:val="48"/>
              <w:spacing w:before="163" w:after="0" w:afterLines="0" w:line="440" w:lineRule="exact"/>
              <w:ind w:firstLine="643"/>
              <w:rPr>
                <w:rFonts w:cs="Times New Roman"/>
                <w:sz w:val="32"/>
                <w:szCs w:val="32"/>
              </w:rPr>
            </w:pPr>
            <w:r>
              <w:rPr>
                <w:rFonts w:cs="Times New Roman"/>
                <w:b/>
                <w:bCs/>
                <w:sz w:val="32"/>
                <w:szCs w:val="32"/>
              </w:rPr>
              <w:t>1.</w:t>
            </w:r>
            <w:r>
              <w:rPr>
                <w:rFonts w:hint="eastAsia" w:cs="Times New Roman"/>
                <w:b/>
                <w:bCs/>
                <w:sz w:val="32"/>
                <w:szCs w:val="32"/>
              </w:rPr>
              <w:t>高端休闲度假区品质提升工程。</w:t>
            </w:r>
            <w:r>
              <w:rPr>
                <w:rFonts w:hint="eastAsia" w:cs="Times New Roman"/>
                <w:sz w:val="32"/>
                <w:szCs w:val="32"/>
              </w:rPr>
              <w:t>以海棠湾旅游度假区为核心，推进存量酒店改造焕新，保障丽晶、英迪格等酒店项目建成运营，引导酒店围绕商务、生活、艺术、电竞等主题开展差异化升级，全面提升休闲度假区综合承载能力。</w:t>
            </w:r>
            <w:r>
              <w:rPr>
                <w:rFonts w:hint="eastAsia" w:cs="Times New Roman"/>
                <w:bCs/>
                <w:sz w:val="32"/>
                <w:szCs w:val="32"/>
              </w:rPr>
              <w:t>以三亚蔚蓝动力运动休闲度假区建设为契机，系统培育水上运动、海洋运动和滨海体验等业态，打造集运动体验、度假休闲和品牌展示于一体的高端运动休闲度假区。</w:t>
            </w:r>
          </w:p>
          <w:p>
            <w:pPr>
              <w:pStyle w:val="48"/>
              <w:spacing w:before="163" w:after="0" w:afterLines="0" w:line="440" w:lineRule="exact"/>
              <w:ind w:firstLineChars="0"/>
              <w:rPr>
                <w:rFonts w:cs="Times New Roman"/>
                <w:b/>
                <w:bCs/>
                <w:sz w:val="32"/>
                <w:szCs w:val="32"/>
              </w:rPr>
            </w:pPr>
            <w:r>
              <w:rPr>
                <w:rFonts w:cs="Times New Roman"/>
                <w:b/>
                <w:bCs/>
                <w:sz w:val="32"/>
                <w:szCs w:val="32"/>
              </w:rPr>
              <w:t xml:space="preserve">   2.</w:t>
            </w:r>
            <w:r>
              <w:rPr>
                <w:rFonts w:hint="eastAsia" w:cs="Times New Roman"/>
                <w:b/>
                <w:bCs/>
                <w:sz w:val="32"/>
                <w:szCs w:val="32"/>
              </w:rPr>
              <w:t>高端商业综合体与特色消费街区建设工程。</w:t>
            </w:r>
            <w:r>
              <w:rPr>
                <w:rFonts w:cs="Times New Roman"/>
                <w:sz w:val="32"/>
                <w:szCs w:val="32"/>
              </w:rPr>
              <w:t>推进中免太古里、</w:t>
            </w:r>
            <w:r>
              <w:rPr>
                <w:rFonts w:hint="eastAsia" w:cs="Times New Roman"/>
                <w:sz w:val="32"/>
                <w:szCs w:val="32"/>
              </w:rPr>
              <w:t>万象城等高端文旅消费综合体建设，推动兰桂坊国际文娱街区等开业以及海棠故事特色商业街区和海棠</w:t>
            </w:r>
            <w:r>
              <w:rPr>
                <w:rFonts w:cs="Times New Roman"/>
                <w:sz w:val="32"/>
                <w:szCs w:val="32"/>
              </w:rPr>
              <w:t>68</w:t>
            </w:r>
            <w:r>
              <w:rPr>
                <w:rFonts w:hint="eastAsia" w:cs="Times New Roman"/>
                <w:sz w:val="32"/>
                <w:szCs w:val="32"/>
              </w:rPr>
              <w:t>环球美食街提质升级，构建集购物、餐饮、文化、休闲于一体的高品质消费集聚区，提升区域商业承载能力和消费吸引力。</w:t>
            </w:r>
          </w:p>
          <w:p>
            <w:pPr>
              <w:pStyle w:val="48"/>
              <w:spacing w:before="0" w:beforeLines="0" w:after="0" w:afterLines="0" w:line="440" w:lineRule="exact"/>
              <w:ind w:firstLine="643"/>
              <w:rPr>
                <w:rFonts w:cs="Times New Roman"/>
                <w:sz w:val="32"/>
                <w:szCs w:val="32"/>
              </w:rPr>
            </w:pPr>
            <w:r>
              <w:rPr>
                <w:rFonts w:cs="Times New Roman"/>
                <w:b/>
                <w:bCs/>
                <w:sz w:val="32"/>
                <w:szCs w:val="32"/>
              </w:rPr>
              <w:t>3.</w:t>
            </w:r>
            <w:r>
              <w:rPr>
                <w:rFonts w:hint="eastAsia" w:cs="Times New Roman"/>
                <w:b/>
                <w:bCs/>
                <w:sz w:val="32"/>
                <w:szCs w:val="32"/>
              </w:rPr>
              <w:t>海棠湾特色民宿集群工程。</w:t>
            </w:r>
            <w:r>
              <w:rPr>
                <w:rFonts w:hint="eastAsia" w:cs="Times New Roman"/>
                <w:sz w:val="32"/>
                <w:szCs w:val="32"/>
              </w:rPr>
              <w:t>在后海渔村、藤桥河沿岸、青田风情小镇等区域，通过改造提升与新建结合，打造黎族文化、温泉康养、滨海休闲等主题民宿群落。配套建设游客服务中心、特色餐饮街区及文创集市，引入专业化运营机构，推动民宿品质化、品牌化发展，形成与高端酒店错位互补的特色住宿体系。</w:t>
            </w:r>
          </w:p>
          <w:p>
            <w:pPr>
              <w:pStyle w:val="48"/>
              <w:spacing w:before="0" w:beforeLines="0" w:after="0" w:afterLines="0" w:line="440" w:lineRule="exact"/>
              <w:ind w:firstLine="643"/>
              <w:rPr>
                <w:rFonts w:cs="Times New Roman"/>
                <w:sz w:val="32"/>
                <w:szCs w:val="32"/>
              </w:rPr>
            </w:pPr>
            <w:r>
              <w:rPr>
                <w:rFonts w:cs="Times New Roman"/>
                <w:b/>
                <w:bCs/>
                <w:sz w:val="32"/>
                <w:szCs w:val="32"/>
              </w:rPr>
              <w:t>4.</w:t>
            </w:r>
            <w:r>
              <w:rPr>
                <w:rFonts w:hint="eastAsia" w:cs="Times New Roman"/>
                <w:b/>
                <w:bCs/>
                <w:sz w:val="32"/>
                <w:szCs w:val="32"/>
              </w:rPr>
              <w:t>新型消费场景培育项目。</w:t>
            </w:r>
            <w:r>
              <w:rPr>
                <w:rFonts w:hint="eastAsia" w:cs="Times New Roman"/>
                <w:sz w:val="32"/>
                <w:szCs w:val="32"/>
              </w:rPr>
              <w:t>依托免税城、商业综合体和特色街区，推动文旅内容、数字技术与商业空间深度融合，围绕体验型、悦己型和科技型消费需求，重点布局潮玩娱乐、</w:t>
            </w:r>
            <w:r>
              <w:rPr>
                <w:rFonts w:cs="Times New Roman"/>
                <w:sz w:val="32"/>
                <w:szCs w:val="32"/>
              </w:rPr>
              <w:t>IP</w:t>
            </w:r>
            <w:r>
              <w:rPr>
                <w:rFonts w:hint="eastAsia" w:cs="Times New Roman"/>
                <w:sz w:val="32"/>
                <w:szCs w:val="32"/>
              </w:rPr>
              <w:t>衍生、沉浸式体验、电竞游戏、宠物经济、</w:t>
            </w:r>
            <w:r>
              <w:rPr>
                <w:rFonts w:cs="Times New Roman"/>
                <w:sz w:val="32"/>
                <w:szCs w:val="32"/>
              </w:rPr>
              <w:t>AR/VR</w:t>
            </w:r>
            <w:r>
              <w:rPr>
                <w:rFonts w:hint="eastAsia" w:cs="Times New Roman"/>
                <w:sz w:val="32"/>
                <w:szCs w:val="32"/>
              </w:rPr>
              <w:t>等新型消费业态，打造多元复合的文旅消费新场景。</w:t>
            </w:r>
          </w:p>
          <w:p>
            <w:pPr>
              <w:pStyle w:val="48"/>
              <w:spacing w:before="0" w:beforeLines="0" w:after="0" w:afterLines="0" w:line="440" w:lineRule="exact"/>
              <w:ind w:firstLine="643"/>
              <w:rPr>
                <w:rFonts w:cs="Times New Roman"/>
                <w:sz w:val="32"/>
                <w:szCs w:val="32"/>
              </w:rPr>
            </w:pPr>
            <w:r>
              <w:rPr>
                <w:rFonts w:cs="Times New Roman"/>
                <w:b/>
                <w:sz w:val="32"/>
                <w:szCs w:val="32"/>
              </w:rPr>
              <w:t>5.</w:t>
            </w:r>
            <w:r>
              <w:rPr>
                <w:rFonts w:hint="eastAsia" w:cs="Times New Roman"/>
                <w:b/>
                <w:bCs/>
                <w:sz w:val="32"/>
                <w:szCs w:val="32"/>
              </w:rPr>
              <w:t>大型剧场演艺主题项目。</w:t>
            </w:r>
            <w:r>
              <w:rPr>
                <w:rFonts w:hint="eastAsia" w:cs="Times New Roman"/>
                <w:bCs/>
                <w:sz w:val="32"/>
                <w:szCs w:val="32"/>
              </w:rPr>
              <w:t>依托三亚旅游产业集群优势，引入“</w:t>
            </w:r>
            <w:r>
              <w:rPr>
                <w:rFonts w:hint="eastAsia" w:cs="Times New Roman"/>
                <w:bCs/>
                <w:color w:val="auto"/>
                <w:sz w:val="32"/>
                <w:szCs w:val="32"/>
              </w:rPr>
              <w:t>海棠演艺中心</w:t>
            </w:r>
            <w:r>
              <w:rPr>
                <w:rFonts w:hint="eastAsia" w:cs="Times New Roman"/>
                <w:bCs/>
                <w:sz w:val="32"/>
                <w:szCs w:val="32"/>
              </w:rPr>
              <w:t>”项目，融合高水准艺术创作与沉浸式舞台科技，打造具有国际影响力的标志性演艺</w:t>
            </w:r>
            <w:r>
              <w:rPr>
                <w:rFonts w:cs="Times New Roman"/>
                <w:bCs/>
                <w:sz w:val="32"/>
                <w:szCs w:val="32"/>
              </w:rPr>
              <w:t>IP</w:t>
            </w:r>
            <w:r>
              <w:rPr>
                <w:rFonts w:hint="eastAsia" w:cs="Times New Roman"/>
                <w:bCs/>
                <w:sz w:val="32"/>
                <w:szCs w:val="32"/>
              </w:rPr>
              <w:t>，丰富高端文化旅游消费供给，提升海棠区文旅产业集聚度和品牌能级。</w:t>
            </w:r>
          </w:p>
          <w:p>
            <w:pPr>
              <w:pStyle w:val="48"/>
              <w:spacing w:before="0" w:beforeLines="0" w:after="163" w:line="440" w:lineRule="exact"/>
              <w:ind w:firstLine="643"/>
              <w:rPr>
                <w:b/>
                <w:bCs/>
                <w:sz w:val="32"/>
                <w:szCs w:val="32"/>
              </w:rPr>
            </w:pPr>
            <w:r>
              <w:rPr>
                <w:rFonts w:cs="Times New Roman"/>
                <w:b/>
                <w:bCs/>
                <w:sz w:val="32"/>
                <w:szCs w:val="32"/>
              </w:rPr>
              <w:t>6.</w:t>
            </w:r>
            <w:r>
              <w:rPr>
                <w:rFonts w:hint="eastAsia" w:cs="Times New Roman"/>
                <w:b/>
                <w:bCs/>
                <w:sz w:val="32"/>
                <w:szCs w:val="32"/>
              </w:rPr>
              <w:t>旅游公共服务国际化提升项目。</w:t>
            </w:r>
            <w:r>
              <w:rPr>
                <w:rFonts w:hint="eastAsia" w:cs="Times New Roman"/>
                <w:sz w:val="32"/>
                <w:szCs w:val="32"/>
              </w:rPr>
              <w:t>推进多国语言标识建设；升级海棠区游客集散中心服务设施；开展多语种服务人员专项培训；完善便民服务设施。</w:t>
            </w:r>
          </w:p>
        </w:tc>
      </w:tr>
    </w:tbl>
    <w:p>
      <w:pPr>
        <w:pStyle w:val="18"/>
        <w:spacing w:before="163" w:beforeLines="50" w:beforeAutospacing="0" w:after="0" w:afterAutospacing="0" w:line="560" w:lineRule="exact"/>
        <w:ind w:firstLine="640" w:firstLineChars="200"/>
        <w:rPr>
          <w:rFonts w:ascii="仿宋_GB2312" w:eastAsia="仿宋_GB2312" w:hAnsiTheme="minorHAnsi" w:cstheme="minorBidi"/>
          <w:sz w:val="32"/>
          <w:szCs w:val="32"/>
        </w:rPr>
      </w:pPr>
    </w:p>
    <w:p>
      <w:pPr>
        <w:widowControl/>
        <w:jc w:val="left"/>
        <w:rPr>
          <w:rFonts w:ascii="华文中宋" w:hAnsi="华文中宋" w:eastAsia="华文中宋" w:cs="方正小标宋_GBK"/>
          <w:bCs/>
          <w:kern w:val="44"/>
          <w:sz w:val="44"/>
          <w:szCs w:val="44"/>
        </w:rPr>
      </w:pPr>
      <w:bookmarkStart w:id="37" w:name="_Toc217846671"/>
      <w:bookmarkStart w:id="38" w:name="_Toc220742583"/>
      <w:r>
        <w:rPr>
          <w:rFonts w:ascii="华文中宋" w:hAnsi="华文中宋" w:eastAsia="华文中宋" w:cs="方正小标宋_GBK"/>
          <w:b/>
          <w:bCs/>
          <w:szCs w:val="44"/>
        </w:rPr>
        <w:br w:type="page"/>
      </w:r>
    </w:p>
    <w:p>
      <w:pPr>
        <w:pStyle w:val="3"/>
        <w:spacing w:before="0" w:after="0" w:line="640" w:lineRule="exact"/>
        <w:jc w:val="center"/>
        <w:rPr>
          <w:rFonts w:ascii="华文中宋" w:hAnsi="华文中宋" w:eastAsia="华文中宋" w:cs="方正小标宋_GBK"/>
          <w:b w:val="0"/>
          <w:bCs/>
          <w:szCs w:val="44"/>
        </w:rPr>
      </w:pPr>
      <w:bookmarkStart w:id="39" w:name="_Toc229555772"/>
      <w:r>
        <w:rPr>
          <w:rFonts w:hint="eastAsia" w:ascii="华文中宋" w:hAnsi="华文中宋" w:eastAsia="华文中宋" w:cs="方正小标宋_GBK"/>
          <w:b w:val="0"/>
          <w:bCs/>
          <w:szCs w:val="44"/>
        </w:rPr>
        <w:t>第</w:t>
      </w:r>
      <w:r>
        <w:rPr>
          <w:rFonts w:hint="eastAsia" w:ascii="华文中宋" w:hAnsi="华文中宋" w:eastAsia="华文中宋" w:cs="宋体"/>
          <w:b w:val="0"/>
          <w:bCs/>
          <w:szCs w:val="44"/>
        </w:rPr>
        <w:t>三</w:t>
      </w:r>
      <w:r>
        <w:rPr>
          <w:rFonts w:hint="eastAsia" w:ascii="华文中宋" w:hAnsi="华文中宋" w:eastAsia="华文中宋" w:cs="方正小标宋_GBK"/>
          <w:b w:val="0"/>
          <w:bCs/>
          <w:szCs w:val="44"/>
        </w:rPr>
        <w:t>章 构建具有海棠特色的现代化产业体系</w:t>
      </w:r>
      <w:bookmarkEnd w:id="37"/>
      <w:bookmarkEnd w:id="38"/>
      <w:bookmarkEnd w:id="39"/>
    </w:p>
    <w:p>
      <w:pPr>
        <w:spacing w:line="560" w:lineRule="exact"/>
        <w:rPr>
          <w:sz w:val="30"/>
          <w:szCs w:val="30"/>
        </w:rPr>
      </w:pPr>
    </w:p>
    <w:p>
      <w:pPr>
        <w:spacing w:line="560" w:lineRule="exact"/>
        <w:ind w:firstLine="640" w:firstLineChars="200"/>
        <w:rPr>
          <w:rFonts w:ascii="仿宋_GB2312" w:eastAsia="仿宋_GB2312"/>
          <w:sz w:val="32"/>
          <w:szCs w:val="30"/>
        </w:rPr>
      </w:pPr>
      <w:r>
        <w:rPr>
          <w:rFonts w:hint="eastAsia" w:ascii="仿宋_GB2312" w:eastAsia="仿宋_GB2312"/>
          <w:sz w:val="32"/>
          <w:szCs w:val="30"/>
        </w:rPr>
        <w:t>立足海棠区资源禀赋和发展基础，坚持生态优先和特色引领，坚持科技创新与产业创新深度融合，坚定不移发展实体经济，加快促进农业转型升级，做强旅游业和现代服务业，谋划布局特色新兴产业和未来产业，构建以医疗康养、会议会展、特色新兴产业和热带特色高效农业为支柱的海棠特色现代化产业体系。</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40" w:name="_Toc217846675"/>
      <w:bookmarkStart w:id="41" w:name="_Toc229555773"/>
      <w:bookmarkStart w:id="42" w:name="_Toc220742587"/>
      <w:r>
        <w:rPr>
          <w:rFonts w:hint="eastAsia" w:ascii="黑体" w:hAnsi="黑体" w:eastAsia="黑体" w:cs="黑体"/>
          <w:b w:val="0"/>
          <w:bCs w:val="0"/>
        </w:rPr>
        <w:t>第一节 做优热带特色高效农业</w:t>
      </w:r>
      <w:bookmarkEnd w:id="40"/>
      <w:bookmarkEnd w:id="41"/>
      <w:bookmarkEnd w:id="42"/>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（一）推进热带特色农业提质升级</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聚焦“优品种、优品质、优品牌”，大力发展以热带优异果蔬为核心的高效农业。围绕同纬度热带地区的优势资源，引进和筛选适宜本地推广的新品种、新品系，持续扩大“新奇特优”果蔬规模化、标准化种植。加快推动热带水果品种更新和生产方式升级，完善良种良法配套，促进释迦、凤梨和榴莲蜜等特色产业向精品化与品牌化方向发展。统筹推进种养结构优化，引导南田片区发展集约化与生态化畜禽养殖，提升农业综合效益和稳定供给能力，精心培育并推广“耘物海棠”区域公共品牌，主动融入三亚市农产品区域公共品牌体系，更好服务海棠以及三亚市城市保供体系和高端消费市场。</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（二）提升热带高效农业科技化水平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积极对接海南省和三亚市“向种图强”战略，推动南繁成果就地转化，充分发挥南繁科研育种基地核心优势，建设1-2个农业科技示范展示基地，搭建产学研合作平台。鼓励农业企业与科研单位合作，加速现代种业与绿色农业等技术成果在海棠转化应用。加快农业设施装备现代化改造，推进设施农业、智慧渔业和标准化种养基地建设，推广物联网、大数据和智能装备在农业生产中的应用，提升农业生产效率和精细化管理水平。</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（三）培育热带高效农业新业态</w:t>
      </w:r>
    </w:p>
    <w:p>
      <w:pPr>
        <w:spacing w:after="163" w:after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挥海棠区农业社会化服务平台作用，整合技术指导、生产托管、品牌培育和市场对接等功能，深化农业“接二连三”行动，推动农业服务由“单一生产型”向“全链条赋能型”转变。引导热带特色农业与旅游、康养和消费场景融合发展，推动优质农产品进入高端酒店、医疗康养机构和免税商业体系，探索发展农业观光、科普研学和特色农产品体验等新业态。依托自贸港政策优势，积极探索农产品品牌国际推广和跨境流通模式，提升海棠热带特色农业的市场竞争力和附加值。实施农产品加工业提升行动，在产地初加工和预冷保鲜基础上，鼓励企业开展热带水果精深加工，研发如NFC果汁、保健品等高附加值产品，延长产业链，提升综合产值</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（四）深化农业对外合作</w:t>
      </w:r>
    </w:p>
    <w:p>
      <w:pPr>
        <w:spacing w:after="163" w:after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依托自贸港政策优势，积极参与省"全球热带农业中心"建设；探索在海棠区设立热带农业研学实训基地，吸引国际合作；拓展热带特色农产品向东南亚国家的出口贸易渠道，将"耘物海棠"品牌推向国际市场，以农业对外开放赋能旅游消费产业链延伸。</w:t>
      </w:r>
    </w:p>
    <w:tbl>
      <w:tblPr>
        <w:tblStyle w:val="49"/>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adjustRightInd w:val="0"/>
              <w:snapToGrid w:val="0"/>
              <w:spacing w:before="163" w:beforeLines="50" w:after="163" w:afterLines="50" w:line="400" w:lineRule="exact"/>
              <w:ind w:firstLine="560"/>
              <w:jc w:val="center"/>
              <w:rPr>
                <w:rFonts w:ascii="Times New Roman" w:hAnsi="Times New Roman" w:eastAsia="黑体"/>
                <w:sz w:val="32"/>
                <w:szCs w:val="32"/>
              </w:rPr>
            </w:pPr>
            <w:r>
              <w:rPr>
                <w:rFonts w:hint="eastAsia" w:ascii="Times New Roman" w:hAnsi="Times New Roman" w:eastAsia="黑体"/>
                <w:sz w:val="32"/>
                <w:szCs w:val="32"/>
              </w:rPr>
              <w:t>专栏</w:t>
            </w:r>
            <w:r>
              <w:rPr>
                <w:rFonts w:ascii="Times New Roman" w:hAnsi="Times New Roman" w:eastAsia="黑体"/>
                <w:bCs/>
                <w:sz w:val="32"/>
                <w:szCs w:val="32"/>
              </w:rPr>
              <w:t>3</w:t>
            </w:r>
            <w:r>
              <w:rPr>
                <w:rFonts w:hint="eastAsia" w:ascii="Times New Roman" w:hAnsi="Times New Roman" w:eastAsia="黑体"/>
                <w:sz w:val="32"/>
                <w:szCs w:val="32"/>
              </w:rPr>
              <w:t xml:space="preserve">  海棠特色高效农业重点培育工程项目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pStyle w:val="48"/>
              <w:spacing w:before="163" w:after="163" w:line="440" w:lineRule="exact"/>
              <w:ind w:firstLine="643"/>
              <w:rPr>
                <w:rFonts w:ascii="楷体" w:hAnsi="楷体"/>
                <w:b/>
                <w:bCs/>
                <w:sz w:val="32"/>
                <w:szCs w:val="32"/>
              </w:rPr>
            </w:pPr>
            <w:r>
              <w:rPr>
                <w:rFonts w:hint="eastAsia" w:ascii="楷体" w:hAnsi="楷体"/>
                <w:b/>
                <w:bCs/>
                <w:sz w:val="32"/>
                <w:szCs w:val="32"/>
              </w:rPr>
              <w:t>1</w:t>
            </w:r>
            <w:r>
              <w:rPr>
                <w:rFonts w:ascii="楷体" w:hAnsi="楷体"/>
                <w:b/>
                <w:bCs/>
                <w:sz w:val="32"/>
                <w:szCs w:val="32"/>
              </w:rPr>
              <w:t>.</w:t>
            </w:r>
            <w:r>
              <w:rPr>
                <w:rFonts w:hint="eastAsia" w:ascii="楷体" w:hAnsi="楷体"/>
                <w:b/>
                <w:bCs/>
                <w:sz w:val="32"/>
                <w:szCs w:val="32"/>
              </w:rPr>
              <w:t>热带优新品种集成基地项目。</w:t>
            </w:r>
            <w:r>
              <w:rPr>
                <w:rFonts w:hint="eastAsia" w:ascii="楷体" w:hAnsi="楷体"/>
                <w:bCs/>
                <w:sz w:val="32"/>
                <w:szCs w:val="32"/>
              </w:rPr>
              <w:t>依托南繁育种科研资源，建设集品种选育、试验示范、展示推广于一体的现代化热带特色高效基地。重点围绕释迦、凤梨、榴莲蜜等本地特色品种，推动生产标准化与产品品质提升，为区域特色农业品牌建设提供核心支撑。</w:t>
            </w:r>
          </w:p>
          <w:p>
            <w:pPr>
              <w:pStyle w:val="48"/>
              <w:spacing w:before="163" w:after="163" w:line="440" w:lineRule="exact"/>
              <w:ind w:firstLine="643"/>
              <w:rPr>
                <w:rFonts w:ascii="楷体" w:hAnsi="楷体"/>
                <w:sz w:val="32"/>
                <w:szCs w:val="32"/>
              </w:rPr>
            </w:pPr>
            <w:r>
              <w:rPr>
                <w:rFonts w:ascii="楷体" w:hAnsi="楷体"/>
                <w:b/>
                <w:bCs/>
                <w:sz w:val="32"/>
                <w:szCs w:val="32"/>
              </w:rPr>
              <w:t>2.</w:t>
            </w:r>
            <w:r>
              <w:rPr>
                <w:rFonts w:hint="eastAsia" w:ascii="楷体" w:hAnsi="楷体"/>
                <w:b/>
                <w:bCs/>
                <w:sz w:val="32"/>
                <w:szCs w:val="32"/>
              </w:rPr>
              <w:t>现代设施农业与智慧农业提升项目。</w:t>
            </w:r>
            <w:r>
              <w:rPr>
                <w:rFonts w:hint="eastAsia" w:ascii="楷体" w:hAnsi="楷体"/>
                <w:sz w:val="32"/>
                <w:szCs w:val="32"/>
              </w:rPr>
              <w:t>加快设施农业、智慧渔业和标准化种养基地建设，推进老旧农业设施改造升级。推广物联网、大数据、智能装备等技术在农业生产中的应用，提升精准管理和资源利用效率，推动农业生产由经验型向数字化、智能化转变，全面提高单位产出和综合效益。</w:t>
            </w:r>
          </w:p>
          <w:p>
            <w:pPr>
              <w:pStyle w:val="48"/>
              <w:spacing w:before="163" w:after="163" w:line="440" w:lineRule="exact"/>
              <w:ind w:firstLine="643"/>
              <w:rPr>
                <w:sz w:val="32"/>
                <w:szCs w:val="32"/>
              </w:rPr>
            </w:pPr>
            <w:r>
              <w:rPr>
                <w:rFonts w:ascii="楷体" w:hAnsi="楷体"/>
                <w:b/>
                <w:bCs/>
                <w:sz w:val="32"/>
                <w:szCs w:val="32"/>
              </w:rPr>
              <w:t>3.</w:t>
            </w:r>
            <w:r>
              <w:rPr>
                <w:rFonts w:hint="eastAsia" w:ascii="楷体" w:hAnsi="楷体"/>
                <w:b/>
                <w:bCs/>
                <w:sz w:val="32"/>
                <w:szCs w:val="32"/>
              </w:rPr>
              <w:t>农产品精深加工与品牌提升项目。</w:t>
            </w:r>
            <w:r>
              <w:rPr>
                <w:rFonts w:hint="eastAsia" w:ascii="楷体" w:hAnsi="楷体"/>
                <w:sz w:val="32"/>
                <w:szCs w:val="32"/>
              </w:rPr>
              <w:t>实施农产品加工业提升行动，依托产地初加工和预冷保鲜体系，发展热带水果精深加工，研发功能性食品等高附加值产品。加强“耘物海棠”区域公共品牌培育，推动农业与旅游消费、医药康养等深度融合，延伸产业链条，提升农业附加值和市场影响力。</w:t>
            </w:r>
          </w:p>
        </w:tc>
      </w:tr>
    </w:tbl>
    <w:p>
      <w:pPr>
        <w:pStyle w:val="4"/>
        <w:spacing w:before="326" w:beforeLines="100" w:after="326" w:afterLines="100" w:line="560" w:lineRule="exact"/>
        <w:ind w:firstLine="640" w:firstLineChars="200"/>
        <w:jc w:val="center"/>
        <w:rPr>
          <w:rFonts w:ascii="黑体" w:hAnsi="黑体" w:eastAsia="黑体" w:cs="黑体"/>
          <w:b w:val="0"/>
          <w:bCs w:val="0"/>
        </w:rPr>
      </w:pPr>
      <w:bookmarkStart w:id="43" w:name="_Toc229555774"/>
      <w:bookmarkStart w:id="44" w:name="_Toc220742584"/>
      <w:bookmarkStart w:id="45" w:name="_Toc217846672"/>
      <w:r>
        <w:rPr>
          <w:rFonts w:hint="eastAsia" w:ascii="黑体" w:hAnsi="黑体" w:eastAsia="黑体" w:cs="黑体"/>
          <w:b w:val="0"/>
          <w:bCs w:val="0"/>
        </w:rPr>
        <w:t>第二节 持续发展医疗康养产业</w:t>
      </w:r>
      <w:bookmarkEnd w:id="43"/>
      <w:bookmarkEnd w:id="44"/>
      <w:bookmarkEnd w:id="45"/>
    </w:p>
    <w:p>
      <w:pPr>
        <w:spacing w:line="560" w:lineRule="exact"/>
        <w:ind w:firstLine="640" w:firstLineChars="200"/>
        <w:jc w:val="left"/>
        <w:rPr>
          <w:rFonts w:ascii="楷体" w:hAnsi="楷体" w:eastAsia="楷体" w:cs="楷体"/>
          <w:sz w:val="32"/>
          <w:szCs w:val="32"/>
        </w:rPr>
      </w:pPr>
      <w:bookmarkStart w:id="46" w:name="_Toc327008484"/>
      <w:r>
        <w:rPr>
          <w:rFonts w:hint="eastAsia" w:ascii="楷体" w:hAnsi="楷体" w:eastAsia="楷体" w:cs="楷体"/>
          <w:sz w:val="32"/>
          <w:szCs w:val="32"/>
        </w:rPr>
        <w:t>（一）构建生态型医疗康养产业集群</w:t>
      </w:r>
      <w:bookmarkEnd w:id="46"/>
    </w:p>
    <w:p>
      <w:pPr>
        <w:spacing w:line="560" w:lineRule="exact"/>
        <w:ind w:firstLine="640" w:firstLineChars="200"/>
        <w:jc w:val="left"/>
        <w:rPr>
          <w:rFonts w:ascii="仿宋_GB2312" w:hAnsi="宋体" w:eastAsia="仿宋_GB2312" w:cs="宋体"/>
          <w:sz w:val="32"/>
          <w:szCs w:val="32"/>
        </w:rPr>
      </w:pPr>
      <w:r>
        <w:rPr>
          <w:rFonts w:hint="eastAsia" w:ascii="仿宋_GB2312" w:hAnsi="宋体" w:eastAsia="仿宋_GB2312" w:cs="宋体"/>
          <w:bCs/>
          <w:sz w:val="32"/>
          <w:szCs w:val="32"/>
        </w:rPr>
        <w:t>引入涵盖预防保健、医疗诊疗、康复养护及产业创新的全链条康养业态，包括健康管理、免疫治疗、医美抗衰、康养度假及医疗研发孵化等，</w:t>
      </w:r>
      <w:r>
        <w:rPr>
          <w:rFonts w:hint="eastAsia" w:ascii="仿宋_GB2312" w:hAnsi="宋体" w:eastAsia="仿宋_GB2312" w:cs="宋体"/>
          <w:sz w:val="32"/>
          <w:szCs w:val="32"/>
        </w:rPr>
        <w:t>形成本区生态型医养产业集群。</w:t>
      </w:r>
      <w:r>
        <w:rPr>
          <w:rFonts w:hint="eastAsia" w:ascii="仿宋_GB2312" w:hAnsi="宋体" w:eastAsia="仿宋_GB2312" w:cs="宋体"/>
          <w:bCs/>
          <w:sz w:val="32"/>
          <w:szCs w:val="32"/>
        </w:rPr>
        <w:t>推动健康管理、高端医疗和中西医养生业</w:t>
      </w:r>
      <w:r>
        <w:rPr>
          <w:rFonts w:hint="eastAsia" w:ascii="仿宋_GB2312" w:hAnsi="宋体" w:eastAsia="仿宋_GB2312" w:cs="宋体"/>
          <w:sz w:val="32"/>
          <w:szCs w:val="32"/>
        </w:rPr>
        <w:t>综合发展，</w:t>
      </w:r>
      <w:r>
        <w:rPr>
          <w:rFonts w:hint="eastAsia" w:ascii="仿宋_GB2312" w:hAnsi="仿宋_GB2312" w:eastAsia="仿宋_GB2312" w:cs="仿宋_GB2312"/>
          <w:sz w:val="32"/>
          <w:szCs w:val="32"/>
        </w:rPr>
        <w:t>开发推广个性化医养技术与创新服务模式。</w:t>
      </w:r>
      <w:r>
        <w:rPr>
          <w:rFonts w:hint="eastAsia" w:ascii="仿宋_GB2312" w:hAnsi="仿宋_GB2312" w:eastAsia="仿宋_GB2312" w:cs="仿宋_GB2312"/>
          <w:bCs/>
          <w:sz w:val="32"/>
          <w:szCs w:val="32"/>
        </w:rPr>
        <w:t>推动医养业区际联动</w:t>
      </w:r>
      <w:r>
        <w:rPr>
          <w:rFonts w:hint="eastAsia" w:ascii="仿宋_GB2312" w:hAnsi="仿宋_GB2312" w:eastAsia="仿宋_GB2312" w:cs="仿宋_GB2312"/>
          <w:sz w:val="32"/>
          <w:szCs w:val="32"/>
        </w:rPr>
        <w:t>，探索与博鳌医疗先行区联动发展，形成医疗器械和康养服务一体化运营服务。</w:t>
      </w:r>
      <w:r>
        <w:rPr>
          <w:rFonts w:hint="eastAsia" w:ascii="仿宋_GB2312" w:hAnsi="仿宋_GB2312" w:eastAsia="仿宋_GB2312" w:cs="仿宋_GB2312"/>
          <w:bCs/>
          <w:sz w:val="32"/>
          <w:szCs w:val="32"/>
        </w:rPr>
        <w:t>整合医养、酒店、旅游和购物等</w:t>
      </w:r>
      <w:r>
        <w:rPr>
          <w:rFonts w:hint="eastAsia" w:ascii="仿宋_GB2312" w:hAnsi="仿宋_GB2312" w:eastAsia="仿宋_GB2312" w:cs="仿宋_GB2312"/>
          <w:sz w:val="32"/>
          <w:szCs w:val="32"/>
        </w:rPr>
        <w:t>，实施淡旺季协调发展，开展周期性的国际医美论坛、康养论坛等。</w:t>
      </w:r>
      <w:r>
        <w:rPr>
          <w:rFonts w:hint="eastAsia" w:ascii="仿宋_GB2312" w:hAnsi="仿宋_GB2312" w:eastAsia="仿宋_GB2312" w:cs="仿宋_GB2312"/>
          <w:bCs/>
          <w:sz w:val="32"/>
          <w:szCs w:val="32"/>
        </w:rPr>
        <w:t>统筹高端医疗康复养老资源与区卫生院、社区卫生服务站、村卫生室和养老院协调发展，建立共建共管机制。</w:t>
      </w:r>
    </w:p>
    <w:p>
      <w:pPr>
        <w:spacing w:line="560" w:lineRule="exact"/>
        <w:ind w:firstLine="640" w:firstLineChars="200"/>
        <w:jc w:val="left"/>
        <w:rPr>
          <w:rFonts w:ascii="楷体" w:hAnsi="楷体" w:eastAsia="楷体" w:cs="楷体"/>
          <w:sz w:val="32"/>
          <w:szCs w:val="32"/>
        </w:rPr>
      </w:pPr>
      <w:r>
        <w:rPr>
          <w:rFonts w:hint="eastAsia" w:ascii="楷体" w:hAnsi="楷体" w:eastAsia="楷体" w:cs="楷体"/>
          <w:sz w:val="32"/>
          <w:szCs w:val="32"/>
        </w:rPr>
        <w:t>（二）推动海棠特色的中医康复产业发展</w:t>
      </w:r>
    </w:p>
    <w:p>
      <w:pPr>
        <w:spacing w:line="560" w:lineRule="exact"/>
        <w:ind w:firstLine="640" w:firstLineChars="200"/>
        <w:rPr>
          <w:rFonts w:ascii="仿宋_GB2312" w:hAnsi="仿宋_GB2312" w:eastAsia="仿宋_GB2312" w:cs="仿宋_GB2312"/>
          <w:spacing w:val="5"/>
          <w:sz w:val="32"/>
          <w:szCs w:val="32"/>
        </w:rPr>
      </w:pPr>
      <w:r>
        <w:rPr>
          <w:rFonts w:hint="eastAsia" w:ascii="仿宋_GB2312" w:hAnsi="仿宋_GB2312" w:eastAsia="仿宋_GB2312" w:cs="仿宋_GB2312"/>
          <w:bCs/>
          <w:sz w:val="32"/>
          <w:szCs w:val="32"/>
        </w:rPr>
        <w:t>以“主动健康”为核心理念</w:t>
      </w:r>
      <w:r>
        <w:rPr>
          <w:rFonts w:hint="eastAsia" w:ascii="仿宋_GB2312" w:hAnsi="仿宋_GB2312" w:eastAsia="仿宋_GB2312" w:cs="仿宋_GB2312"/>
          <w:sz w:val="32"/>
          <w:szCs w:val="32"/>
        </w:rPr>
        <w:t>，支持建设中医药产业集群，以中医药产业、健康服务业为依托，打造集成中医药会展、中医文化展示、休闲度假、智慧医疗服务（含互联网健康咨询、慢性病在线复诊、“人工智能+”远程医疗等）于一体的融合发展模式，打造健康管理、养生与医疗康复等协同发展的中医康养生态区，通过引入具有代表性的中医药服务项目，打造重点中医药产业基地。探索联合中国中医科学院或中国中医药联合研究生院等在海棠区设立研学基地。</w:t>
      </w:r>
      <w:r>
        <w:rPr>
          <w:rFonts w:hint="eastAsia" w:ascii="仿宋_GB2312" w:hAnsi="仿宋_GB2312" w:eastAsia="仿宋_GB2312" w:cs="仿宋_GB2312"/>
          <w:bCs/>
          <w:sz w:val="32"/>
          <w:szCs w:val="32"/>
        </w:rPr>
        <w:t>优化国际合作模式，</w:t>
      </w:r>
      <w:r>
        <w:rPr>
          <w:rStyle w:val="24"/>
          <w:rFonts w:hint="eastAsia" w:ascii="仿宋_GB2312" w:hAnsi="仿宋_GB2312" w:eastAsia="仿宋_GB2312" w:cs="仿宋_GB2312"/>
          <w:b w:val="0"/>
          <w:sz w:val="32"/>
          <w:szCs w:val="32"/>
          <w:shd w:val="clear" w:color="auto" w:fill="FFFFFF"/>
        </w:rPr>
        <w:t>发展跨境医疗旅游，</w:t>
      </w:r>
      <w:r>
        <w:rPr>
          <w:rStyle w:val="24"/>
          <w:rFonts w:hint="eastAsia" w:ascii="仿宋_GB2312" w:hAnsi="仿宋_GB2312" w:eastAsia="仿宋_GB2312" w:cs="仿宋_GB2312"/>
          <w:b w:val="0"/>
          <w:bCs w:val="0"/>
          <w:sz w:val="32"/>
          <w:szCs w:val="32"/>
          <w:shd w:val="clear" w:color="auto" w:fill="FFFFFF"/>
        </w:rPr>
        <w:t>与国际知名医疗康养医院</w:t>
      </w:r>
      <w:r>
        <w:rPr>
          <w:rFonts w:hint="eastAsia" w:ascii="仿宋_GB2312" w:hAnsi="仿宋_GB2312" w:eastAsia="仿宋_GB2312" w:cs="仿宋_GB2312"/>
          <w:spacing w:val="5"/>
          <w:sz w:val="32"/>
          <w:szCs w:val="32"/>
        </w:rPr>
        <w:t>合作，在海棠区开设分院，推出“医疗+康养+旅游”套餐。推动中医药文化的国际化，比如联合国外著名疗养城市打造“传统医药疗愈之旅”等。</w:t>
      </w:r>
    </w:p>
    <w:p>
      <w:pPr>
        <w:spacing w:line="560" w:lineRule="exact"/>
        <w:ind w:firstLine="640" w:firstLineChars="200"/>
        <w:jc w:val="left"/>
        <w:rPr>
          <w:rFonts w:ascii="楷体" w:hAnsi="楷体" w:eastAsia="楷体" w:cs="楷体"/>
          <w:sz w:val="32"/>
          <w:szCs w:val="32"/>
        </w:rPr>
      </w:pPr>
      <w:r>
        <w:rPr>
          <w:rFonts w:hint="eastAsia" w:ascii="楷体" w:hAnsi="楷体" w:eastAsia="楷体" w:cs="楷体"/>
          <w:sz w:val="32"/>
          <w:szCs w:val="32"/>
        </w:rPr>
        <w:t>（三）打造“山海联动、康养共建”的跨区域协同示范区</w:t>
      </w:r>
    </w:p>
    <w:p>
      <w:pPr>
        <w:spacing w:after="163" w:afterLines="50" w:line="560" w:lineRule="exact"/>
        <w:ind w:firstLine="660" w:firstLineChars="200"/>
        <w:rPr>
          <w:rFonts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充分发挥滨海区位、三亚经济圈一体化和自贸港政策叠加优势，深化与周边山地生态资源的跨区域协同发展，构建“海岸医疗服务与山地生态康养协同”的立体化健康产业格局。依托解放军总医院海南医院等高水平医疗机构，重点发展国际医疗、康复疗养、高端医疗美容和健康管理等业态，打造面向国际的医疗健康服务高地。同时加强与保亭、五指山等区域森林、温泉和热带雨林等山地康养资源的功能衔接，拓展康复休养、慢病管理和生态疗愈等延伸服务场景，形成滨海诊疗与山地调养有机衔接的服务链条。探索建设跨区域医疗康养协作平台，推动专家资源共享、康复转诊衔接和服务互认，创新医疗健康与旅游融合产品供给，通过政策协同、品牌共建和平台招商，推动产业要素高效集聚，打造自由贸易港医疗康养产业发展的先行区。</w:t>
      </w:r>
    </w:p>
    <w:tbl>
      <w:tblPr>
        <w:tblStyle w:val="49"/>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Pr>
          <w:p>
            <w:pPr>
              <w:adjustRightInd w:val="0"/>
              <w:snapToGrid w:val="0"/>
              <w:spacing w:before="163" w:beforeLines="50" w:after="163" w:afterLines="50" w:line="400" w:lineRule="exact"/>
              <w:ind w:firstLine="560"/>
              <w:jc w:val="center"/>
              <w:rPr>
                <w:rFonts w:ascii="Times New Roman" w:hAnsi="Times New Roman" w:eastAsia="黑体"/>
                <w:sz w:val="30"/>
                <w:szCs w:val="30"/>
              </w:rPr>
            </w:pPr>
            <w:r>
              <w:rPr>
                <w:rFonts w:hint="eastAsia" w:ascii="黑体" w:hAnsi="黑体" w:eastAsia="黑体" w:cs="黑体"/>
                <w:sz w:val="32"/>
                <w:szCs w:val="32"/>
              </w:rPr>
              <w:t>专栏</w:t>
            </w:r>
            <w:r>
              <w:rPr>
                <w:rFonts w:hint="eastAsia" w:ascii="黑体" w:hAnsi="黑体" w:eastAsia="黑体" w:cs="黑体"/>
                <w:bCs/>
                <w:sz w:val="32"/>
                <w:szCs w:val="32"/>
              </w:rPr>
              <w:t>4</w:t>
            </w:r>
            <w:r>
              <w:rPr>
                <w:rFonts w:hint="eastAsia" w:ascii="黑体" w:hAnsi="黑体" w:eastAsia="黑体" w:cs="黑体"/>
                <w:sz w:val="32"/>
                <w:szCs w:val="32"/>
              </w:rPr>
              <w:t xml:space="preserve">  医疗康养产业发展项目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Pr>
          <w:p>
            <w:pPr>
              <w:pStyle w:val="48"/>
              <w:spacing w:before="163" w:after="0" w:afterLines="0" w:line="400" w:lineRule="exact"/>
              <w:ind w:firstLine="643"/>
              <w:rPr>
                <w:rFonts w:ascii="楷体" w:hAnsi="楷体"/>
                <w:b/>
                <w:bCs/>
                <w:sz w:val="32"/>
                <w:szCs w:val="32"/>
              </w:rPr>
            </w:pPr>
            <w:r>
              <w:rPr>
                <w:rFonts w:hint="eastAsia" w:ascii="楷体" w:hAnsi="楷体"/>
                <w:b/>
                <w:bCs/>
                <w:sz w:val="32"/>
                <w:szCs w:val="32"/>
              </w:rPr>
              <w:t>1.高端医疗康养健康城项目。</w:t>
            </w:r>
            <w:r>
              <w:rPr>
                <w:rFonts w:hint="eastAsia" w:ascii="楷体" w:hAnsi="楷体"/>
                <w:sz w:val="32"/>
                <w:szCs w:val="32"/>
              </w:rPr>
              <w:t>打造以高端医院、医疗康养为核心，以商务酒店、高端生活社区、健康养生中心等业态为一体的健康城，引进全国知名医疗资源，推动三亚医疗服务、旅居康养、健康管理等产业的全面提升发展。</w:t>
            </w:r>
          </w:p>
          <w:p>
            <w:pPr>
              <w:pStyle w:val="48"/>
              <w:spacing w:before="0" w:beforeLines="0" w:after="0" w:afterLines="0" w:line="400" w:lineRule="exact"/>
              <w:ind w:firstLine="643"/>
              <w:rPr>
                <w:rFonts w:ascii="楷体" w:hAnsi="楷体"/>
                <w:sz w:val="32"/>
                <w:szCs w:val="32"/>
              </w:rPr>
            </w:pPr>
            <w:r>
              <w:rPr>
                <w:rFonts w:hint="eastAsia" w:ascii="楷体" w:hAnsi="楷体"/>
                <w:b/>
                <w:bCs/>
                <w:sz w:val="32"/>
                <w:szCs w:val="32"/>
              </w:rPr>
              <w:t>2.中医药康养产业示范基地项目。</w:t>
            </w:r>
            <w:r>
              <w:rPr>
                <w:rFonts w:hint="eastAsia" w:ascii="楷体" w:hAnsi="楷体"/>
                <w:sz w:val="32"/>
                <w:szCs w:val="32"/>
              </w:rPr>
              <w:t>依托解放军总医院海南医院及热带药用植物资源，建设集中医诊疗、康复理疗、温泉养生、药膳食疗及研发培训于一体的综合园区。设立名医工作室、亚健康调理中心及黎苗医药体验基地，开发“中医药+旅游”特色套餐，引入国际认证体系，打造面向全球的高端中医药康养目的地。</w:t>
            </w:r>
          </w:p>
          <w:p>
            <w:pPr>
              <w:pStyle w:val="48"/>
              <w:spacing w:before="0" w:beforeLines="0" w:after="163" w:line="400" w:lineRule="exact"/>
              <w:ind w:firstLine="643"/>
            </w:pPr>
            <w:r>
              <w:rPr>
                <w:rFonts w:hint="eastAsia" w:ascii="楷体" w:hAnsi="楷体"/>
                <w:b/>
                <w:bCs/>
                <w:sz w:val="32"/>
                <w:szCs w:val="32"/>
              </w:rPr>
              <w:t>3.“山海康养走廊”跨区域合作项目。</w:t>
            </w:r>
            <w:r>
              <w:rPr>
                <w:rFonts w:hint="eastAsia" w:ascii="楷体" w:hAnsi="楷体"/>
                <w:bCs/>
                <w:sz w:val="32"/>
                <w:szCs w:val="32"/>
              </w:rPr>
              <w:t>加强与周边具有丰富山地生态康养资源的区县协同，拓展康复休养、慢病管理和生态疗愈等服务场景，构建滨海诊疗与山地调养有机衔接的服务体系。探索跨区域医疗康养协作平台，推动资源共享、转诊衔接和服务互认。</w:t>
            </w:r>
          </w:p>
        </w:tc>
      </w:tr>
    </w:tbl>
    <w:p>
      <w:pPr>
        <w:pStyle w:val="4"/>
        <w:spacing w:before="326" w:beforeLines="100" w:after="326" w:afterLines="100" w:line="560" w:lineRule="exact"/>
        <w:ind w:firstLine="640" w:firstLineChars="200"/>
        <w:jc w:val="center"/>
        <w:rPr>
          <w:rFonts w:ascii="黑体" w:hAnsi="黑体" w:eastAsia="黑体" w:cs="黑体"/>
          <w:b w:val="0"/>
          <w:bCs w:val="0"/>
        </w:rPr>
      </w:pPr>
      <w:bookmarkStart w:id="47" w:name="_Toc220742585"/>
      <w:bookmarkStart w:id="48" w:name="_Toc217846673"/>
      <w:bookmarkStart w:id="49" w:name="_Toc229555775"/>
      <w:r>
        <w:rPr>
          <w:rFonts w:hint="eastAsia" w:ascii="黑体" w:hAnsi="黑体" w:eastAsia="黑体" w:cs="黑体"/>
          <w:b w:val="0"/>
          <w:bCs w:val="0"/>
        </w:rPr>
        <w:t>第三节 发展壮大会议会展产业</w:t>
      </w:r>
      <w:bookmarkEnd w:id="47"/>
      <w:bookmarkEnd w:id="48"/>
      <w:bookmarkEnd w:id="49"/>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（一）打造高端特色会议会展产业集聚区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会议产业主要依托保利国际博览中心及一线海景酒店集群，优化会议设施与服务标准，重点承接国际商业峰会、行业论坛及企业年会等高端会议，打造“品牌发布+战略会议+高端社交”一体化目的地，构建博览中心+高端酒店会议核心区。会展产业创新利用滨海绿廊、海棠河生态公园和艺术场馆等特色空间，发展时尚秀、艺术展与品牌路演等“轻量化、强体验”活动，构建“全域、全时、全场景”的会展生态，构建特色场景体验核心区。</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（二）深化“会展+”产业价值融合工程</w:t>
      </w:r>
    </w:p>
    <w:p>
      <w:pPr>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实施“会展+医疗康养”融合工程，整合海棠湾高端康养机构资源，为参会人员定制“会展间隙康养体验”活动，涵盖中医理疗、健康体检及温泉疗养等服务，打造高端商务康养新场景。实施“会展+热带农业”赋能工程，推动本地特色农产品与文创产品进入展会现场，设立展销专区，实现“展会采购+产地直购”双向引流，助力热带特色农业品牌推广。实施“会展+文旅”体验延伸工程，结合海棠湾蜈支洲岛与亚特兰蒂斯水世界等文旅地标，设计“会展+短途游”精品线路，推出“白天参会、晚上游玩”“会前会后度假”等灵活产品；依托滨海绿廊与海棠河生态公园，策划户外音乐会等夜间文旅活动，丰富参会人员的休闲体验，延长参展参会人员的停留时间与消费链条。</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50" w:name="_Toc220742586"/>
      <w:bookmarkStart w:id="51" w:name="_Toc229555776"/>
      <w:bookmarkStart w:id="52" w:name="_Toc217846674"/>
      <w:r>
        <w:rPr>
          <w:rFonts w:hint="eastAsia" w:ascii="黑体" w:hAnsi="黑体" w:eastAsia="黑体" w:cs="黑体"/>
          <w:b w:val="0"/>
          <w:bCs w:val="0"/>
        </w:rPr>
        <w:t>第四节 培育海棠特色新兴产业</w:t>
      </w:r>
      <w:bookmarkEnd w:id="50"/>
      <w:bookmarkEnd w:id="51"/>
      <w:bookmarkEnd w:id="52"/>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（一）高质量发展低空旅游产业</w:t>
      </w:r>
    </w:p>
    <w:p>
      <w:pPr>
        <w:spacing w:line="560" w:lineRule="exact"/>
        <w:ind w:firstLine="604" w:firstLineChars="18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创新低空旅游应用模式。充分利用海棠低空旅游经济的先发优势和市场规模，在政策条件允许下，在辖区特定区域探索低空旅游试点和低空拍摄等创新应用模式。鼓励结合景区景点、高端酒店、旅游岛屿和特色村镇等点位飞行需求，重点发展通航旅游、低空摄影、低空婚庆活动和空中表演等特色产业。同时，结合当地文化特色，鼓励企业研发低空飞行与地面活动相结合的旅游产品，如空中观赏黎苗村落、海洋生态飞行探险等，打造差异化与高品质的低空旅游产品体系，提升旅游消费体验和产业附加值。打造低空旅游经济产业集群。</w:t>
      </w:r>
    </w:p>
    <w:p>
      <w:pPr>
        <w:spacing w:line="560" w:lineRule="exact"/>
        <w:ind w:firstLine="604" w:firstLineChars="18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依托</w:t>
      </w:r>
      <w:bookmarkStart w:id="53" w:name="OLE_LINK10"/>
      <w:bookmarkStart w:id="54" w:name="OLE_LINK9"/>
      <w:r>
        <w:rPr>
          <w:rFonts w:hint="eastAsia" w:ascii="仿宋_GB2312" w:hAnsi="仿宋_GB2312" w:eastAsia="仿宋_GB2312" w:cs="仿宋_GB2312"/>
          <w:kern w:val="0"/>
          <w:sz w:val="32"/>
          <w:szCs w:val="32"/>
        </w:rPr>
        <w:t>椰子洲岛、蜈支洲岛</w:t>
      </w:r>
      <w:bookmarkEnd w:id="53"/>
      <w:bookmarkEnd w:id="54"/>
      <w:r>
        <w:rPr>
          <w:rFonts w:hint="eastAsia" w:ascii="仿宋_GB2312" w:hAnsi="仿宋_GB2312" w:eastAsia="仿宋_GB2312" w:cs="仿宋_GB2312"/>
          <w:kern w:val="0"/>
          <w:sz w:val="32"/>
          <w:szCs w:val="32"/>
        </w:rPr>
        <w:t>及周边重点区域，统筹规划建设低空旅游经济产业载体，引导通航企业、低空旅游企业、低空旅游服务平台及培训机构等集聚发展。重点围绕低空旅游应用场景，完善运营服务、技术支撑和管理体系，推动形成覆盖研发应用、运营服务和配套保障的产业链条，逐步构建具有示范效应的低空旅游经济集聚区。</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强低空旅游的基础设施建设。包括直升机基地、跳伞场地和起降点等，确保低空旅游活动的顺利开展。完善交通网络，提高低空旅游项目的可达性和便利性。建立健全管理体系和服务标准，加强产业规划、安全监管和环境保护，保障游客的安全和权益。加强人工智能技术应用，提升低空旅游的智能化水平。加强低空旅游从业人员的培训和管理，提高服务人员的专业素质和服务意识。</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（二）加快培育游艇经济</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游艇经济重点发展游艇旅游娱乐、游艇维修保养和游艇展览销售。依托观光、海钓、潜水等重点业态，开发面向休闲旅游、婚庆摄影、亲子娱乐等领域的精品化游艇旅游娱乐产品。联合酒店、餐饮、康养等相关主体，探索共乘、共游等短线游艇消费业务产品。探索引入游艇改装优质服务商，构建定期检查、故障诊断、维修更换及保养清洁等维修保养全链条的游艇维修保养服务。依托免税城等重点消费载体，常态化开设游艇展销窗口。联动园区内会议会展产业，布局打造国际年度高端游艇专业展会，积极引入游艇主题赛事活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统筹推进游艇配套基础设施建设。有序推进后海、海棠湾内河公共游艇码头建设，完善区域基础停泊与服务能力。协同推进藤桥港泊区改造与功能提升，规划建设藤桥河口公共游艇码头和俱乐部码头，增强区域协同与服务覆盖能力。结合蜈支洲岛等热门景区旅游需求，配套建设专业化滨海旅游码头，完善游艇游船临时停靠、游客接驳及基础服务功能，全面提升区域游艇接待与服务品质。</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探索打造“海棠河-铁炉港”游艇产业经济带。依托铁炉港游艇码头，规划建设游艇维护中心、临时仓储空间、销售试驾中心、加油站、培训中心与水上运动中心等配套设施，形成维护、保养、培训及展示等各类设施齐全的服务基地。依托海棠河码头现有水面、商业及景点资源，完善游艇停泊、供油供水、商务休闲与餐饮住宿等服务功能，建设功能复合的游艇综合服务中心。两者联动发展“游艇+旅游”产业，培育海钓、潜水观光及登岛探险等新业态，设计开发内河、海上“一程多站”旅游线路，丰富提升游艇旅游体验。支持举办国际游艇帆船体育竞赛、设计大赛及旅游推介会等活动，全面提升海棠湾游艇产业知名度。</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（三）培育“旅游+”加工贸易产业</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立足海南自贸港“一线放开、二线管住”的特殊税收与贸易政策，充分发挥海棠区作为国际旅游消费中心核心引领区的特色优势，前瞻性布局并培育“文创产品加工贸易”特色产业。打造面向国内外市场的文化消费品设计、加工和跨境贸易中心，有效延伸旅游消费价值链，提升海棠产业发展韧性。</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依托自贸港“零关税”“加工增值免关税”等政策优势，构建“前店后厂”的加工贸易新模式。前端面向全球采购高品质原材料，推动黎锦纹样、海洋元素等本土文化IP的时尚化、商业化转化。中端着力构建海棠湾国际文化创意产品加工产业体系，发展高端珠宝镶嵌、时尚饰品、文创礼品、艺术衍生品及定制包装等高附加值加工制造，形成产业集聚。后端通过免税零售、国内销售和跨境电商等渠道，构建多元化全球销售体系。加强与国内外知名设计院校和专业机构协作，完善从创意设计、产品打样到知识产权保护的全链条服务，打造“海棠智造”沉浸式体验工坊，发展“文旅+直播电商”等新业态，推动文化创意产业集聚化、品牌化和国际化发展。</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（四）培育绿色经济和海洋经济新增长点</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向绿图强，加快发展绿色经济产业。大力推广太阳能、氢能等可再生能源在公共建筑、酒店集群及旅游设施中的应用。规划建设智慧微电网示范项目，提升区域能源自给与调节能力。鼓励酒店、景区开展综合能源管理，实施节能改造。推广节能减排技术和绿色生产工艺，支持绿色能源装备制造和循环经济示范项目发展。依托海棠湾国家海岸休闲园区，开展近零碳园区示范建设，打造绿色旅游和低碳生活片区，推动绿色技术创新和绿色消费模式培育，逐步形成低碳产业链、供应链和价值链。绿色旅游升级，制定海棠湾旅游业绿色标准体系，推广“无废酒店”认证。依托水稻国家公园等生态资源，开发生态研学、自然教育等深度体验产品。</w:t>
      </w:r>
    </w:p>
    <w:p>
      <w:pPr>
        <w:spacing w:after="163" w:afterLines="50"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向海图强，培育海洋经济新增长点。以蜈支洲岛及周边海域为基地，推广珊瑚礁、渔业资源保护与修复的成功经验，开发高端生态潜水观光、海底景观修复参观和海洋生物追踪观测等特色产品。设计串联滨海公园、河口湿地与离岛资源的海洋生态旅游线路，打造国际知名的海洋生态旅游目的地。利用优质海域条件，引进专业机构，建设集培训、考核及认证于一体的潜水教学基地，发展潜水教练培训与青少年海洋运动教育等产业。提升现有海洋场馆科普功能，规划建设沉浸式海洋科技体验馆。挖掘</w:t>
      </w:r>
      <w:r>
        <w:rPr>
          <w:rFonts w:hint="eastAsia" w:ascii="仿宋_GB2312" w:hAnsi="仿宋_GB2312" w:eastAsia="仿宋_GB2312" w:cs="仿宋_GB2312"/>
          <w:sz w:val="32"/>
          <w:szCs w:val="32"/>
        </w:rPr>
        <w:t>疍</w:t>
      </w:r>
      <w:r>
        <w:rPr>
          <w:rFonts w:hint="eastAsia" w:ascii="仿宋_GB2312" w:hAnsi="仿宋_GB2312" w:eastAsia="仿宋_GB2312" w:cs="仿宋_GB2312"/>
          <w:kern w:val="0"/>
          <w:sz w:val="32"/>
          <w:szCs w:val="32"/>
        </w:rPr>
        <w:t>家文化与海洋传说等资源，开发影视、动漫和文创产品，举办海洋艺术节与音乐节等活动，丰富海洋经济文化内涵。打造集海洋生态修复、科研监测、可持续渔业、生态旅游及科普教育于一体的海洋综合示范区。</w:t>
      </w:r>
    </w:p>
    <w:tbl>
      <w:tblPr>
        <w:tblStyle w:val="49"/>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adjustRightInd w:val="0"/>
              <w:snapToGrid w:val="0"/>
              <w:spacing w:before="163" w:beforeLines="50" w:after="163" w:afterLines="50" w:line="400" w:lineRule="exact"/>
              <w:ind w:firstLine="560"/>
              <w:jc w:val="center"/>
              <w:rPr>
                <w:rFonts w:ascii="Times New Roman" w:hAnsi="Times New Roman" w:eastAsia="黑体"/>
                <w:sz w:val="32"/>
                <w:szCs w:val="32"/>
              </w:rPr>
            </w:pPr>
            <w:r>
              <w:rPr>
                <w:rFonts w:hint="eastAsia" w:ascii="Times New Roman" w:hAnsi="Times New Roman" w:eastAsia="黑体"/>
                <w:sz w:val="32"/>
                <w:szCs w:val="32"/>
              </w:rPr>
              <w:t>专栏</w:t>
            </w:r>
            <w:r>
              <w:rPr>
                <w:rFonts w:ascii="Times New Roman" w:hAnsi="Times New Roman" w:eastAsia="黑体"/>
                <w:bCs/>
                <w:sz w:val="32"/>
                <w:szCs w:val="32"/>
              </w:rPr>
              <w:t>5</w:t>
            </w:r>
            <w:r>
              <w:rPr>
                <w:rFonts w:hint="eastAsia" w:ascii="Times New Roman" w:hAnsi="Times New Roman" w:eastAsia="黑体"/>
                <w:sz w:val="32"/>
                <w:szCs w:val="32"/>
              </w:rPr>
              <w:t xml:space="preserve">  海棠低空产业重点培育工程项目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pStyle w:val="48"/>
              <w:spacing w:before="163" w:after="0" w:afterLines="0" w:line="440" w:lineRule="exact"/>
              <w:ind w:firstLine="643"/>
              <w:rPr>
                <w:b/>
                <w:bCs/>
                <w:sz w:val="32"/>
                <w:szCs w:val="32"/>
              </w:rPr>
            </w:pPr>
            <w:r>
              <w:rPr>
                <w:rFonts w:cs="Times New Roman"/>
                <w:b/>
                <w:bCs/>
                <w:sz w:val="32"/>
                <w:szCs w:val="32"/>
              </w:rPr>
              <w:t>1</w:t>
            </w:r>
            <w:r>
              <w:rPr>
                <w:rFonts w:hint="eastAsia" w:ascii="楷体_GB2312" w:hAnsi="楷体_GB2312" w:eastAsia="楷体_GB2312" w:cs="楷体_GB2312"/>
                <w:b/>
                <w:bCs/>
                <w:sz w:val="32"/>
                <w:szCs w:val="32"/>
              </w:rPr>
              <w:t>.</w:t>
            </w:r>
            <w:r>
              <w:rPr>
                <w:rFonts w:hint="eastAsia"/>
                <w:b/>
                <w:bCs/>
                <w:sz w:val="32"/>
                <w:szCs w:val="32"/>
              </w:rPr>
              <w:t>低空旅游产业园区建设项目。</w:t>
            </w:r>
            <w:r>
              <w:rPr>
                <w:rFonts w:hint="eastAsia"/>
                <w:sz w:val="32"/>
                <w:szCs w:val="32"/>
              </w:rPr>
              <w:t>围绕服务高端度假、滨海旅游和特色消费需求，引导低空旅游运营、通航服务、低空装备保障、数字化运营平台及配套服务企业集聚发展，形成与高端酒店集群、景区景点和特色旅游岛屿相协同的产业空间布局。推动低空飞行体验与滨海度假、海岛观光和高端消费场景深度融合，打造具有海棠特色和国际辨识度的低空旅游产业集聚区。</w:t>
            </w:r>
          </w:p>
          <w:p>
            <w:pPr>
              <w:pStyle w:val="48"/>
              <w:spacing w:before="163" w:after="163" w:line="440" w:lineRule="exact"/>
              <w:ind w:firstLine="643"/>
              <w:rPr>
                <w:sz w:val="32"/>
                <w:szCs w:val="32"/>
              </w:rPr>
            </w:pPr>
            <w:r>
              <w:rPr>
                <w:rFonts w:cs="Times New Roman"/>
                <w:b/>
                <w:bCs/>
                <w:sz w:val="32"/>
                <w:szCs w:val="32"/>
              </w:rPr>
              <w:t>2</w:t>
            </w:r>
            <w:r>
              <w:rPr>
                <w:rFonts w:hint="eastAsia" w:ascii="楷体_GB2312" w:hAnsi="楷体_GB2312" w:eastAsia="楷体_GB2312" w:cs="楷体_GB2312"/>
                <w:b/>
                <w:bCs/>
                <w:sz w:val="32"/>
                <w:szCs w:val="32"/>
              </w:rPr>
              <w:t>.</w:t>
            </w:r>
            <w:r>
              <w:rPr>
                <w:rFonts w:hint="eastAsia"/>
                <w:b/>
                <w:sz w:val="32"/>
                <w:szCs w:val="32"/>
              </w:rPr>
              <w:t>低空旅游综合运营项目。</w:t>
            </w:r>
            <w:r>
              <w:rPr>
                <w:rFonts w:hint="eastAsia"/>
                <w:sz w:val="32"/>
                <w:szCs w:val="32"/>
              </w:rPr>
              <w:t>围绕低空旅游商业化运营，建设集线路设计、票务管理、游客组织和服务保障于一体的综合运营体系，打造一批成熟稳定的低空旅游产品线路，并形成可复制推广的低空旅游运营模式。</w:t>
            </w:r>
          </w:p>
          <w:p>
            <w:pPr>
              <w:pStyle w:val="48"/>
              <w:spacing w:before="163" w:after="163" w:line="440" w:lineRule="exact"/>
              <w:ind w:firstLine="643"/>
              <w:rPr>
                <w:sz w:val="32"/>
                <w:szCs w:val="32"/>
              </w:rPr>
            </w:pPr>
            <w:r>
              <w:rPr>
                <w:rFonts w:hint="eastAsia" w:cs="Times New Roman"/>
                <w:b/>
                <w:bCs/>
                <w:sz w:val="32"/>
                <w:szCs w:val="32"/>
              </w:rPr>
              <w:t>3</w:t>
            </w:r>
            <w:r>
              <w:rPr>
                <w:rFonts w:cs="Times New Roman"/>
                <w:b/>
                <w:bCs/>
                <w:sz w:val="32"/>
                <w:szCs w:val="32"/>
              </w:rPr>
              <w:t>.</w:t>
            </w:r>
            <w:r>
              <w:rPr>
                <w:rFonts w:hint="eastAsia" w:cs="Times New Roman"/>
                <w:b/>
                <w:bCs/>
                <w:sz w:val="32"/>
                <w:szCs w:val="32"/>
              </w:rPr>
              <w:t>低空产业服务人才支撑项目。</w:t>
            </w:r>
            <w:r>
              <w:rPr>
                <w:rFonts w:hint="eastAsia" w:cs="Times New Roman"/>
                <w:bCs/>
                <w:sz w:val="32"/>
                <w:szCs w:val="32"/>
              </w:rPr>
              <w:t>围绕低空产业发展需求，引入并培养低空旅游专业操作人才、通航管理人才、飞行指导员和安全管理人员等，建立系统化培训课程和实训基地，形成可持续的人才保障和服务支撑机制，为海棠区低空旅游产业高质量发展提供长期保障。</w:t>
            </w:r>
          </w:p>
        </w:tc>
      </w:tr>
    </w:tbl>
    <w:p/>
    <w:p>
      <w:pPr>
        <w:widowControl/>
        <w:jc w:val="left"/>
        <w:rPr>
          <w:rFonts w:ascii="华文中宋" w:hAnsi="华文中宋" w:eastAsia="华文中宋" w:cs="___WRD_EMBED_SUB_45"/>
          <w:bCs/>
          <w:kern w:val="44"/>
          <w:sz w:val="44"/>
          <w:szCs w:val="44"/>
        </w:rPr>
      </w:pPr>
      <w:r>
        <w:rPr>
          <w:rFonts w:ascii="华文中宋" w:hAnsi="华文中宋" w:eastAsia="华文中宋" w:cs="___WRD_EMBED_SUB_45"/>
          <w:b/>
          <w:bCs/>
          <w:szCs w:val="44"/>
        </w:rPr>
        <w:br w:type="page"/>
      </w:r>
    </w:p>
    <w:p>
      <w:pPr>
        <w:pStyle w:val="3"/>
        <w:keepNext w:val="0"/>
        <w:keepLines w:val="0"/>
        <w:spacing w:before="0" w:after="0" w:line="560" w:lineRule="exact"/>
        <w:jc w:val="center"/>
        <w:rPr>
          <w:rFonts w:ascii="华文中宋" w:hAnsi="华文中宋" w:eastAsia="华文中宋" w:cs="___WRD_EMBED_SUB_45"/>
          <w:b w:val="0"/>
          <w:bCs/>
          <w:szCs w:val="44"/>
        </w:rPr>
      </w:pPr>
      <w:bookmarkStart w:id="55" w:name="_Toc229555777"/>
      <w:r>
        <w:rPr>
          <w:rFonts w:hint="eastAsia" w:ascii="华文中宋" w:hAnsi="华文中宋" w:eastAsia="华文中宋" w:cs="___WRD_EMBED_SUB_45"/>
          <w:b w:val="0"/>
          <w:bCs/>
          <w:szCs w:val="44"/>
        </w:rPr>
        <w:t>第四章 大力提升城市功能品质</w:t>
      </w:r>
      <w:bookmarkEnd w:id="55"/>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r>
        <w:rPr>
          <w:rFonts w:hint="eastAsia" w:ascii="仿宋_GB2312" w:eastAsia="仿宋_GB2312"/>
          <w:sz w:val="32"/>
          <w:szCs w:val="32"/>
        </w:rPr>
        <w:t>构建高效畅达的交通网络，推进重点片区城市更新与基础设施改造，加强智慧水务和智能电网等新型基建，完善绿色空间体系，打造贯通山海、层次丰富的生态景观网络。全面增强城市运行效率、防灾韧性及生态品质，塑造具有热带特色、宜居宜游的高品质城市环境。</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56" w:name="_Toc229555778"/>
      <w:r>
        <w:rPr>
          <w:rFonts w:hint="eastAsia" w:ascii="黑体" w:hAnsi="黑体" w:eastAsia="黑体" w:cs="黑体"/>
          <w:b w:val="0"/>
          <w:bCs w:val="0"/>
        </w:rPr>
        <w:t>第一节 加快构建高效畅达的城市交通网络</w:t>
      </w:r>
      <w:bookmarkEnd w:id="5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聚焦区内交通短板，积极争取推动椰林路延长段、南田大道和龙江安置区配套市政道路等骨干路网建设；创新“政府统筹+垦地协作+社会参与”机制，破解南田片区路网瓶颈，畅通区域微循环。深化慢行系统建设，重点推进G223国道东侧公共绿地改造，打造集休闲步道、骑行绿廊与景观节点于一体的慢行空间，构建安全舒适的慢行交通体系。优化城乡客运网络，加密农村客运班次，推进公交线路向偏远村庄延伸，确保城乡居民出行“安全便捷、经济高效”，助力乡村振兴与城乡融合发展。</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57" w:name="_Toc229555779"/>
      <w:r>
        <w:rPr>
          <w:rFonts w:hint="eastAsia" w:ascii="黑体" w:hAnsi="黑体" w:eastAsia="黑体" w:cs="黑体"/>
          <w:b w:val="0"/>
          <w:bCs w:val="0"/>
        </w:rPr>
        <w:t>第二节 持续推进城市更新行动</w:t>
      </w:r>
      <w:bookmarkEnd w:id="57"/>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林旺和南田等片区为重点，实施城市有机更新计划，充分盘活存量闲置房屋和低效用地，因地制宜嵌入社区服务中心、便民商业网点及口袋公园等公共服务设施，提升片区综合服务功能。加强“四好”（好房子、好小区、好社区、好城区）建设，推动住房、社区、城市协同高质量发展。强化水资源保障，推进城乡供水一体化工程，优化区域供水网络布局，同步建设智慧水务系统，提升水资源利用效率与应急保障能力。深化海绵城市建设，</w:t>
      </w:r>
      <w:r>
        <w:rPr>
          <w:rFonts w:hint="eastAsia" w:ascii="仿宋_GB2312" w:eastAsia="仿宋_GB2312" w:cs="仿宋_GB2312"/>
          <w:color w:val="auto"/>
          <w:sz w:val="32"/>
          <w:szCs w:val="32"/>
          <w:lang w:bidi="ar"/>
        </w:rPr>
        <w:t>充分衔接全省自然灾害综合风险普查成果，</w:t>
      </w:r>
      <w:r>
        <w:rPr>
          <w:rFonts w:hint="eastAsia" w:ascii="仿宋_GB2312" w:hAnsi="仿宋_GB2312" w:eastAsia="仿宋_GB2312" w:cs="仿宋_GB2312"/>
          <w:color w:val="auto"/>
          <w:sz w:val="32"/>
          <w:szCs w:val="32"/>
        </w:rPr>
        <w:t>系统推进防洪排涝设施改造，</w:t>
      </w:r>
      <w:r>
        <w:rPr>
          <w:rFonts w:hint="eastAsia" w:ascii="仿宋_GB2312" w:eastAsia="仿宋_GB2312" w:cs="仿宋_GB2312"/>
          <w:color w:val="auto"/>
          <w:sz w:val="32"/>
          <w:szCs w:val="32"/>
          <w:lang w:bidi="ar"/>
        </w:rPr>
        <w:t>结合国土空间规划，科学选址和配置“平急两用”设施</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提升城市防灾减灾韧性。加快变电站新建与配电网智能化改造，完成农村电网升级攻坚行动，构建抗台风、抗灾害的坚强电网。协同推进水电气直抄到户改革，打通服务群众“最后一米”。加强园林绿化精细化管养，推进林荫道路建设与立体绿化提升，打造“绿荫环绕、清凉舒适”的生态城区。</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58" w:name="_Toc229555780"/>
      <w:r>
        <w:rPr>
          <w:rFonts w:hint="eastAsia" w:ascii="黑体" w:hAnsi="黑体" w:eastAsia="黑体" w:cs="黑体"/>
          <w:b w:val="0"/>
          <w:bCs w:val="0"/>
        </w:rPr>
        <w:t>第三节 加强城市新型基础设施建设</w:t>
      </w:r>
      <w:bookmarkEnd w:id="58"/>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构建清洁能源服务体系，推动三亚东天然气发电等项目建设。协调配合电网智能化升级，推动充电基础设施与智能电网、分布式光伏、智能交通融合发展。加强通信基础设施网络建设，实施信息基础设施高质量发展专项行动，积极开展万兆光网试点建设，配合推进5G网络向5G-A升级演进，探索6G商用试点。深化智慧应用场景建设，推动智慧交通、智慧水务与智慧社区等一体化发展，为海棠区数字化转型与智慧旅游赋能。</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59" w:name="_Toc229555781"/>
      <w:r>
        <w:rPr>
          <w:rFonts w:hint="eastAsia" w:ascii="黑体" w:hAnsi="黑体" w:eastAsia="黑体" w:cs="黑体"/>
          <w:b w:val="0"/>
          <w:bCs w:val="0"/>
        </w:rPr>
        <w:t>第四节 全面提升城市生态品质</w:t>
      </w:r>
      <w:bookmarkEnd w:id="59"/>
    </w:p>
    <w:p>
      <w:pPr>
        <w:spacing w:after="163" w:after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东部滨海地区为重点，打造贯通城市与海洋的滨海活力绿带，通过推进滨海沙滩和防护林生态化修复，完善公共休闲设施，塑造连续开放、特色鲜明的滨海公共空间。依托藤桥东河与藤桥西河等重要水系，构建滨水生态休闲环，强化河道自然形态修复和滨水空间塑造，推动绿道、公园与城市功能有机融合。在城市功能片区和居住片区，统筹布局滨海公园和口袋公园，形成覆盖均衡、便捷可达的“多园”体系，满足居民和游客多层次、多样化的休闲游憩需求。城市园林绿化优先选用椰子、榕树和凤凰木等具有地域特色的乡土植物，营造具有热带风貌和生态韧性的城市景观体系。实现景观功能、生态功能与城市品质的有机统一。</w:t>
      </w:r>
    </w:p>
    <w:tbl>
      <w:tblPr>
        <w:tblStyle w:val="49"/>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835" w:type="dxa"/>
            <w:tcBorders>
              <w:top w:val="single" w:color="auto" w:sz="4" w:space="0"/>
              <w:left w:val="single" w:color="auto" w:sz="4" w:space="0"/>
              <w:bottom w:val="single" w:color="auto" w:sz="4" w:space="0"/>
              <w:right w:val="single" w:color="auto" w:sz="4" w:space="0"/>
            </w:tcBorders>
          </w:tcPr>
          <w:p>
            <w:pPr>
              <w:adjustRightInd w:val="0"/>
              <w:snapToGrid w:val="0"/>
              <w:spacing w:before="163" w:beforeLines="50" w:after="163" w:afterLines="50" w:line="400" w:lineRule="exact"/>
              <w:ind w:firstLine="560"/>
              <w:jc w:val="center"/>
              <w:rPr>
                <w:rFonts w:ascii="Times New Roman" w:hAnsi="Times New Roman" w:eastAsia="黑体"/>
                <w:sz w:val="32"/>
                <w:szCs w:val="32"/>
              </w:rPr>
            </w:pPr>
            <w:r>
              <w:rPr>
                <w:rFonts w:hint="eastAsia" w:ascii="Times New Roman" w:hAnsi="Times New Roman" w:eastAsia="黑体"/>
                <w:sz w:val="32"/>
                <w:szCs w:val="32"/>
              </w:rPr>
              <w:t>专栏</w:t>
            </w:r>
            <w:r>
              <w:rPr>
                <w:rFonts w:ascii="Times New Roman" w:hAnsi="Times New Roman" w:eastAsia="黑体"/>
                <w:bCs/>
                <w:sz w:val="32"/>
                <w:szCs w:val="32"/>
              </w:rPr>
              <w:t>6</w:t>
            </w:r>
            <w:r>
              <w:rPr>
                <w:rFonts w:hint="eastAsia" w:ascii="Times New Roman" w:hAnsi="Times New Roman" w:eastAsia="黑体"/>
                <w:sz w:val="32"/>
                <w:szCs w:val="32"/>
              </w:rPr>
              <w:t xml:space="preserve">  城市更新与基础设施重点工程项目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pStyle w:val="48"/>
              <w:spacing w:before="163" w:after="163" w:line="440" w:lineRule="exact"/>
              <w:ind w:firstLine="643"/>
              <w:rPr>
                <w:rFonts w:ascii="楷体" w:hAnsi="楷体"/>
                <w:b/>
                <w:bCs/>
                <w:sz w:val="32"/>
                <w:szCs w:val="32"/>
              </w:rPr>
            </w:pPr>
            <w:r>
              <w:rPr>
                <w:rFonts w:hint="eastAsia" w:ascii="楷体" w:hAnsi="楷体"/>
                <w:b/>
                <w:bCs/>
                <w:sz w:val="32"/>
                <w:szCs w:val="32"/>
              </w:rPr>
              <w:t>1.城市更新与安居工程项目。</w:t>
            </w:r>
            <w:r>
              <w:rPr>
                <w:rFonts w:hint="eastAsia" w:ascii="楷体" w:hAnsi="楷体"/>
                <w:bCs/>
                <w:sz w:val="32"/>
                <w:szCs w:val="32"/>
              </w:rPr>
              <w:t>包括三亚市海棠区林旺片区城市更新项目（启动区）、南田片区城市更新项目，以及三亚市海棠湾林旺中安置区（二期）项目、三亚市海棠湾青田片区危旧房改造（安居工程）项目三期等。</w:t>
            </w:r>
          </w:p>
          <w:p>
            <w:pPr>
              <w:pStyle w:val="48"/>
              <w:spacing w:before="163" w:after="163" w:line="440" w:lineRule="exact"/>
              <w:ind w:firstLine="643"/>
              <w:rPr>
                <w:rFonts w:ascii="楷体" w:hAnsi="楷体"/>
                <w:b/>
                <w:bCs/>
                <w:sz w:val="32"/>
                <w:szCs w:val="32"/>
              </w:rPr>
            </w:pPr>
            <w:r>
              <w:rPr>
                <w:rFonts w:ascii="楷体" w:hAnsi="楷体"/>
                <w:b/>
                <w:bCs/>
                <w:sz w:val="32"/>
                <w:szCs w:val="32"/>
              </w:rPr>
              <w:t>2.</w:t>
            </w:r>
            <w:r>
              <w:rPr>
                <w:rFonts w:hint="eastAsia" w:ascii="楷体" w:hAnsi="楷体"/>
                <w:b/>
                <w:bCs/>
                <w:sz w:val="32"/>
                <w:szCs w:val="32"/>
              </w:rPr>
              <w:t>交通基础设施建设工程项目。</w:t>
            </w:r>
            <w:r>
              <w:rPr>
                <w:rFonts w:hint="eastAsia" w:ascii="楷体" w:hAnsi="楷体"/>
                <w:bCs/>
                <w:sz w:val="32"/>
                <w:szCs w:val="32"/>
              </w:rPr>
              <w:t>三亚市现代服务业产业园基础设施配套海棠路北延下穿隧道项目、三亚海棠湾国家海岸休闲园区基础设施配套海棠路南延下穿绕九号度假酒店隧道工程、三亚海棠湾国家海岸休闲园区基础设施配套铁炉港通道工程、三亚市现代服务业产业园基础设施配套椰风路二期、椰风路三期、南田片区路网建设工程等。</w:t>
            </w:r>
          </w:p>
          <w:p>
            <w:pPr>
              <w:pStyle w:val="48"/>
              <w:spacing w:before="163" w:after="163" w:line="440" w:lineRule="exact"/>
              <w:ind w:firstLine="643"/>
              <w:rPr>
                <w:rFonts w:ascii="楷体" w:hAnsi="楷体"/>
                <w:bCs/>
                <w:sz w:val="32"/>
                <w:szCs w:val="32"/>
              </w:rPr>
            </w:pPr>
            <w:r>
              <w:rPr>
                <w:rFonts w:ascii="楷体" w:hAnsi="楷体"/>
                <w:b/>
                <w:bCs/>
                <w:sz w:val="32"/>
                <w:szCs w:val="32"/>
              </w:rPr>
              <w:t>3.</w:t>
            </w:r>
            <w:r>
              <w:rPr>
                <w:rFonts w:hint="eastAsia" w:ascii="楷体" w:hAnsi="楷体"/>
                <w:b/>
                <w:bCs/>
                <w:sz w:val="32"/>
                <w:szCs w:val="32"/>
              </w:rPr>
              <w:t>水网建设工程项目。包括</w:t>
            </w:r>
            <w:r>
              <w:rPr>
                <w:rFonts w:hint="eastAsia" w:ascii="楷体" w:hAnsi="楷体"/>
                <w:bCs/>
                <w:sz w:val="32"/>
                <w:szCs w:val="32"/>
              </w:rPr>
              <w:t>三亚市海棠湾片区供水管网更新改造工程、三亚市海棠湾排水管网补齐及提升工程（一期）、三亚市海棠湾第二水质净化厂扩建提标工程等。</w:t>
            </w:r>
          </w:p>
          <w:p>
            <w:pPr>
              <w:pStyle w:val="48"/>
              <w:spacing w:before="163" w:after="163" w:line="440" w:lineRule="exact"/>
              <w:ind w:firstLine="643"/>
              <w:rPr>
                <w:rFonts w:ascii="楷体" w:hAnsi="楷体"/>
                <w:bCs/>
                <w:sz w:val="32"/>
                <w:szCs w:val="32"/>
              </w:rPr>
            </w:pPr>
            <w:r>
              <w:rPr>
                <w:rFonts w:hint="eastAsia" w:ascii="楷体" w:hAnsi="楷体"/>
                <w:b/>
                <w:bCs/>
                <w:sz w:val="32"/>
                <w:szCs w:val="32"/>
              </w:rPr>
              <w:t>4</w:t>
            </w:r>
            <w:r>
              <w:rPr>
                <w:rFonts w:ascii="楷体" w:hAnsi="楷体"/>
                <w:b/>
                <w:bCs/>
                <w:sz w:val="32"/>
                <w:szCs w:val="32"/>
              </w:rPr>
              <w:t>.</w:t>
            </w:r>
            <w:r>
              <w:rPr>
                <w:rFonts w:hint="eastAsia" w:ascii="楷体" w:hAnsi="楷体"/>
                <w:b/>
                <w:bCs/>
                <w:sz w:val="32"/>
                <w:szCs w:val="32"/>
              </w:rPr>
              <w:t>其它基础设施工程项目。</w:t>
            </w:r>
            <w:r>
              <w:rPr>
                <w:rFonts w:hint="eastAsia" w:ascii="楷体" w:hAnsi="楷体"/>
                <w:bCs/>
                <w:sz w:val="32"/>
                <w:szCs w:val="32"/>
              </w:rPr>
              <w:t>包括海棠湾高铁TOD项目、301北侧绿地及停车场项目等。</w:t>
            </w:r>
          </w:p>
        </w:tc>
      </w:tr>
    </w:tbl>
    <w:p>
      <w:pPr>
        <w:pStyle w:val="3"/>
        <w:keepNext w:val="0"/>
        <w:keepLines w:val="0"/>
        <w:numPr>
          <w:ilvl w:val="255"/>
          <w:numId w:val="0"/>
        </w:numPr>
        <w:spacing w:before="0" w:after="0" w:line="560" w:lineRule="exact"/>
        <w:jc w:val="center"/>
        <w:rPr>
          <w:rFonts w:ascii="华文中宋" w:hAnsi="华文中宋" w:eastAsia="华文中宋" w:cs="___WRD_EMBED_SUB_45"/>
          <w:b w:val="0"/>
          <w:bCs/>
          <w:szCs w:val="44"/>
        </w:rPr>
      </w:pPr>
      <w:r>
        <w:br w:type="page"/>
      </w:r>
      <w:bookmarkStart w:id="60" w:name="_Toc229555782"/>
      <w:r>
        <w:rPr>
          <w:rFonts w:hint="eastAsia" w:ascii="华文中宋" w:hAnsi="华文中宋" w:eastAsia="华文中宋" w:cs="___WRD_EMBED_SUB_45"/>
          <w:b w:val="0"/>
          <w:bCs/>
          <w:szCs w:val="44"/>
        </w:rPr>
        <w:t>第五章 扎实推进乡村全面振兴</w:t>
      </w:r>
      <w:bookmarkEnd w:id="60"/>
    </w:p>
    <w:p>
      <w:pPr>
        <w:spacing w:line="560" w:lineRule="exact"/>
        <w:ind w:firstLine="640" w:firstLineChars="200"/>
        <w:rPr>
          <w:rFonts w:ascii="楷体" w:hAnsi="楷体" w:eastAsia="楷体" w:cs="楷体"/>
          <w:sz w:val="32"/>
          <w:szCs w:val="32"/>
        </w:rPr>
      </w:pPr>
    </w:p>
    <w:p>
      <w:pPr>
        <w:spacing w:line="560" w:lineRule="exact"/>
        <w:ind w:firstLine="640" w:firstLineChars="200"/>
        <w:rPr>
          <w:rFonts w:ascii="楷体" w:hAnsi="楷体" w:eastAsia="楷体" w:cs="楷体"/>
          <w:sz w:val="32"/>
          <w:szCs w:val="32"/>
        </w:rPr>
      </w:pPr>
      <w:r>
        <w:rPr>
          <w:rFonts w:hint="eastAsia" w:ascii="仿宋_GB2312" w:hAnsi="楷体" w:eastAsia="仿宋_GB2312" w:cs="楷体"/>
          <w:sz w:val="32"/>
          <w:szCs w:val="32"/>
        </w:rPr>
        <w:t>坚持稳产保供与质量安全并重，严守耕地保护和粮食安全底线，夯实农业基础设施。统筹推进农村人居环境整治、基础设施补短板和数字乡村建设，绘就宜居宜业和美乡村新画卷。深化农村改革、发展壮大集体经济与创新垦地融合模式，持续拓宽农民增收渠道。强化乡土人才培育和利益联结机制，健全防止返贫长效机制，探索共同富裕实践路径。</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61" w:name="_Toc229555783"/>
      <w:r>
        <w:rPr>
          <w:rFonts w:hint="eastAsia" w:ascii="黑体" w:hAnsi="黑体" w:eastAsia="黑体" w:cs="黑体"/>
          <w:b w:val="0"/>
          <w:bCs w:val="0"/>
        </w:rPr>
        <w:t>第一节 加强农产品供给与质量安全保障</w:t>
      </w:r>
      <w:bookmarkEnd w:id="61"/>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（一）夯实保障粮食与重要农产品供给的基础</w:t>
      </w:r>
    </w:p>
    <w:p>
      <w:pPr>
        <w:spacing w:line="560" w:lineRule="exact"/>
        <w:ind w:firstLine="510"/>
        <w:rPr>
          <w:rFonts w:ascii="仿宋_GB2312" w:hAnsi="仿宋_GB2312" w:eastAsia="仿宋_GB2312" w:cs="仿宋_GB2312"/>
          <w:sz w:val="32"/>
          <w:szCs w:val="32"/>
        </w:rPr>
      </w:pPr>
      <w:r>
        <w:rPr>
          <w:rFonts w:hint="eastAsia" w:ascii="仿宋_GB2312" w:hAnsi="仿宋_GB2312" w:eastAsia="仿宋_GB2312" w:cs="仿宋_GB2312"/>
          <w:sz w:val="32"/>
          <w:szCs w:val="32"/>
        </w:rPr>
        <w:t>落实稳产保供责任。坚决落实粮食安全党政同责，全面压实耕地保护及田长制责任。严格执行耕地用途管制，持续整治耕地“非粮化”“非农化”及撂荒地，确保耕地保有量稳定。推广稻菜轮作与稻虾共生等“钱粮双丰收”模式，保障粮食播种面积稳定，单产稳中有进。强化农业基础设施。扎实推进高标准农田建设与改造提升，重点完善南繁保护区周边灌排渠系与田间道路。制定设施农业推广计划，普及微喷滴灌与水肥一体化等节水增效技术。实施农机社会化服务提升行动，推广小型机械和植保无人机。</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（二）筑牢农业安全底线</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强化农产品质量安全。完善区级农产品质量安全检测站基础设施，着力提升检验检测能力，确保农产品质量安全例行监测合格率稳定在98%以上。加强渔业和畜禽安全监管，全面落实强制免疫制度。筑牢农业生态安全防线。加强农业面源污染防治与外来入侵物种监测预警。实施化肥农药减量增效行动，累计认定绿色、有机农产品3个以上。</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62" w:name="_Toc229555784"/>
      <w:r>
        <w:rPr>
          <w:rFonts w:hint="eastAsia" w:ascii="黑体" w:hAnsi="黑体" w:eastAsia="黑体" w:cs="黑体"/>
          <w:b w:val="0"/>
          <w:bCs w:val="0"/>
        </w:rPr>
        <w:t>第二节 绘就宜居宜业和美画卷</w:t>
      </w:r>
      <w:bookmarkEnd w:id="62"/>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（一）提升乡村人居环境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打造和美乡村示范样板。高水平、分批次推进和美乡村示范村建设，巩固提升升昌与藤海等建设成果，着力推动后续批次创建。补齐基础设施短板。推进“四好农村路”高质量发展，加快路网提档升级，推动垦区生产道路建设。实施农村饮水安全巩固提升及污水治理工程，积极推进现代宜居农房与美丽庭院建设，配合推进农村电网、通信和燃气等设施升级。</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（二）繁荣乡村文化，提升现代治理水平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弘扬特色乡村文明。持续举办升昌百年大集年货节，精心谋划特色品牌活动，打造“一村一文化”格局。广泛开展“村BA”和“健康跑”等群众性文体活动。构建现代化治理体系。全面强化农村基层党组织建设，健全村民自治制度。深化垦地融合发展，推动长海、红旗社区综合服务中心建设，支持农垦居民点布局优化，实现规划、产业与公共服务一体化。</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63" w:name="_Toc229555785"/>
      <w:r>
        <w:rPr>
          <w:rFonts w:hint="eastAsia" w:ascii="黑体" w:hAnsi="黑体" w:eastAsia="黑体" w:cs="黑体"/>
          <w:b w:val="0"/>
          <w:bCs w:val="0"/>
        </w:rPr>
        <w:t>第三节 激活乡村发展内生动力</w:t>
      </w:r>
      <w:bookmarkEnd w:id="63"/>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（一）深化农村改革，激发资源活力</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稳妥推进第二轮土地承包到期后再延长30年试点。探索农村集体经营性建设用地入市与闲置农房盘活利用机制，深化农村集体产权制度改革，加强“三资”监管。探索开展农村集体经济经理人试点和“组资源村统筹”模式，积极探索村村、村企“跨村联建” 发展壮大农村集体经济，推动行政村（含涉农社区）村集体经济稳步提升。</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（二）培育乡土人才，强化内生动力</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本土人才培育。着力培养“新农人”、产业带头人和乡村电商人才，创建乡村创新创业孵化平台。深化与南繁科研团队合作，提升农民科技素养。完善“村集体+企业+农户”等利益联结机制，鼓励农民通过入股、务工、经营等多种方式参与产业链，分享增值收益。深化“村办物业”模式，充分发挥海棠区农村集体经济行业联建党委指导作用，开拓新型农村集体经济规模化经营格局。</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（三）健全防止返贫机制，聚焦共同富裕</w:t>
      </w:r>
    </w:p>
    <w:p>
      <w:pPr>
        <w:spacing w:line="560" w:lineRule="exact"/>
        <w:ind w:firstLine="640" w:firstLineChars="200"/>
        <w:rPr>
          <w:rFonts w:ascii="华文中宋" w:hAnsi="华文中宋" w:eastAsia="华文中宋" w:cs="___WRD_EMBED_SUB_45"/>
          <w:bCs/>
          <w:kern w:val="44"/>
          <w:sz w:val="44"/>
          <w:szCs w:val="44"/>
        </w:rPr>
      </w:pPr>
      <w:r>
        <w:rPr>
          <w:rFonts w:hint="eastAsia" w:ascii="仿宋_GB2312" w:hAnsi="仿宋_GB2312" w:eastAsia="仿宋_GB2312" w:cs="仿宋_GB2312"/>
          <w:sz w:val="32"/>
          <w:szCs w:val="32"/>
        </w:rPr>
        <w:t>守牢防止规模性返贫底线。健全防止返贫动态监测和帮扶机制，对存在风险的农户精准落实产业、就业等开发式帮扶和综合保障政策，坚决守住底线。打造共同富裕样板，建设洪李鳄鱼、田湾薏米和湾坡鸭等特色农业示范园区，总结产业增收、服务提升与治理经验，形成可复制推广的“海棠模式”。</w:t>
      </w:r>
      <w:bookmarkStart w:id="64" w:name="_Toc220742600"/>
      <w:bookmarkStart w:id="65" w:name="_Toc217846689"/>
      <w:r>
        <w:rPr>
          <w:rFonts w:ascii="华文中宋" w:hAnsi="华文中宋" w:eastAsia="华文中宋" w:cs="___WRD_EMBED_SUB_45"/>
          <w:b/>
          <w:bCs/>
          <w:szCs w:val="44"/>
        </w:rPr>
        <w:br w:type="page"/>
      </w:r>
    </w:p>
    <w:p>
      <w:pPr>
        <w:pStyle w:val="3"/>
        <w:keepNext w:val="0"/>
        <w:keepLines w:val="0"/>
        <w:numPr>
          <w:ilvl w:val="255"/>
          <w:numId w:val="0"/>
        </w:numPr>
        <w:spacing w:before="0" w:after="0" w:line="560" w:lineRule="exact"/>
        <w:jc w:val="center"/>
        <w:rPr>
          <w:rFonts w:ascii="华文中宋" w:hAnsi="华文中宋" w:eastAsia="华文中宋" w:cs="___WRD_EMBED_SUB_45"/>
          <w:b w:val="0"/>
          <w:bCs/>
          <w:szCs w:val="44"/>
        </w:rPr>
      </w:pPr>
      <w:bookmarkStart w:id="66" w:name="_Toc229555786"/>
      <w:r>
        <w:rPr>
          <w:rFonts w:hint="eastAsia" w:ascii="华文中宋" w:hAnsi="华文中宋" w:eastAsia="华文中宋" w:cs="___WRD_EMBED_SUB_45"/>
          <w:b w:val="0"/>
          <w:bCs/>
          <w:szCs w:val="44"/>
        </w:rPr>
        <w:t>第六章 聚力统筹区域协调发展</w:t>
      </w:r>
      <w:bookmarkEnd w:id="64"/>
      <w:bookmarkEnd w:id="65"/>
      <w:bookmarkEnd w:id="66"/>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海棠湾为核心构建“双轴联动”发展格局，推动城乡、垦地深度融合发展。通过“旅游+”赋能、资源共享与产业联动，促进滨海繁荣与乡村发展共进。积极融入三亚经济圈，在医疗康养、现代农业、低空经济与旅游度假等领域深化跨区域产业协作与设施互联，高标准推进琼港经济合作三亚示范区建设，实现区域共赢发展。</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67" w:name="_Toc220742601"/>
      <w:bookmarkStart w:id="68" w:name="_Toc229555787"/>
      <w:bookmarkStart w:id="69" w:name="_Toc217846690"/>
      <w:r>
        <w:rPr>
          <w:rFonts w:hint="eastAsia" w:ascii="黑体" w:hAnsi="黑体" w:eastAsia="黑体" w:cs="黑体"/>
          <w:b w:val="0"/>
          <w:bCs w:val="0"/>
        </w:rPr>
        <w:t>第一节 优化城镇空间布局</w:t>
      </w:r>
      <w:bookmarkEnd w:id="67"/>
      <w:bookmarkEnd w:id="68"/>
      <w:bookmarkEnd w:id="69"/>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（一）构建以海棠湾为核心的双轴联动城镇空间结构</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全市“东精、南联、西拓、北抬、中优”的空间发展战略，做精国际旅游消费中心核心区，突出国际旅游消费要素最集聚、品牌效应最强、环境品质最高的发展优势。以海棠湾现代服务业集聚区为核心，重点发展高端酒店、休闲旅游、购物消费、医疗康养和会议会展等特色产业，加快培育低空经济、绿色经济等新增长点。持续提升高品质旅居度假、国际生活服务配套等城市综合服务功能，增强对全区发展的辐射带动能力。依托风塘片区良好的滨海生态资源和重大项目集聚优势，打造国际旅游消费顶级体验区、世界级演艺游乐集聚区和自贸港滨海旅居度假示范区，进一步提升海棠湾国际旅游消费承载能力和全球吸引力。双轴联动主要依托海棠湾滨海通道和藤桥河流域，打造滨海发展轴和城乡融合发展轴；滨海发展轴重点串联高端酒店群、旅游度假设施与公共开放空间，塑造世界级滨海旅游带；城乡融合发展轴依托主要交通廊道与生态水系，促进沿线城镇组团、乡村社区与垦区的功能连接与产业互动。</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（二）坚持城乡融合与垦地融合一体推进</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统筹垦区与周边城镇、乡村协同发展。将垦区土地利用、产业布局、公共服务和基础设施纳入全区国土空间和城镇发展一体规划，推动垦区与城镇在空间结构、功能配置和发展方向上的深度衔接，</w:t>
      </w:r>
      <w:r>
        <w:rPr>
          <w:rFonts w:hint="eastAsia" w:ascii="仿宋_GB2312" w:hAnsi="仿宋_GB2312" w:eastAsia="仿宋_GB2312" w:cs="仿宋_GB2312"/>
          <w:color w:val="auto"/>
          <w:sz w:val="32"/>
          <w:szCs w:val="32"/>
        </w:rPr>
        <w:t>稳步推进三亚市南田垦地融合示范区建设。统筹推进垦区更新改造与项目开发，支持盘活垦区优质土地资源，保障垦区更新改造项目用地。</w:t>
      </w:r>
      <w:r>
        <w:rPr>
          <w:rFonts w:hint="eastAsia" w:ascii="仿宋_GB2312" w:hAnsi="仿宋_GB2312" w:eastAsia="仿宋_GB2312" w:cs="仿宋_GB2312"/>
          <w:sz w:val="32"/>
          <w:szCs w:val="32"/>
        </w:rPr>
        <w:t>引导垦区在保障农业生产功能的基础上，积极融入现代农业、乡村旅游和康养服务等产业体系，促进垦区土地节约集约利用和功能复合开发。同步推进医疗、教育、文化与产业等公共资源跨区域统筹配置，推动基础设施和公共服务网络向乡村和垦区延伸，为海棠区拓展高质量发展新空间提供支撑。</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（三）深入推进以人为本的新型城镇化</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升常住人口公共服务保障水平，稳步推动农业转移人口和垦区居民在社会保障、住房保障、随迁子女义务教育等方面享有市民权利。加快藤桥和林旺等安置区及垦区聚居点建设，深化“村庄+垦区”联动发展机制，优化风情小镇与垦区社区功能布局，强化公共服务覆盖。持续补齐基础设施短板，建立人才、信息与技术双向流动机制，提升城乡人居环境与生活便捷度，实现发展成果共建共享。</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70" w:name="_Toc229555788"/>
      <w:bookmarkStart w:id="71" w:name="_Toc220742602"/>
      <w:r>
        <w:rPr>
          <w:rFonts w:hint="eastAsia" w:ascii="黑体" w:hAnsi="黑体" w:eastAsia="黑体" w:cs="黑体"/>
          <w:b w:val="0"/>
          <w:bCs w:val="0"/>
        </w:rPr>
        <w:t>第二节 促进滨海繁荣与乡村发展共进</w:t>
      </w:r>
      <w:bookmarkEnd w:id="70"/>
      <w:bookmarkEnd w:id="71"/>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（一）推动产业联动发展</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“旅游+”赋能乡村发展，</w:t>
      </w:r>
      <w:r>
        <w:rPr>
          <w:rFonts w:hint="eastAsia" w:ascii="仿宋_GB2312" w:hAnsi="仿宋_GB2312" w:eastAsia="仿宋_GB2312" w:cs="仿宋_GB2312"/>
          <w:kern w:val="0"/>
          <w:sz w:val="32"/>
          <w:szCs w:val="32"/>
        </w:rPr>
        <w:t>实施“景村联动”计划，引导高端酒店的游客向和美乡村分流，发展乡村民宿、农家乐、农耕体验和康养旅居等业态；将北山、田湾和藤海等村庄打造为旅游服务配套区和特色风情体验点。推动“农业+加工+旅游购物”融合，开发伴手礼和文创农产品，在滨海免税城和酒店设立销售专区。</w:t>
      </w:r>
      <w:r>
        <w:rPr>
          <w:rFonts w:hint="eastAsia" w:ascii="仿宋_GB2312" w:hAnsi="仿宋_GB2312" w:eastAsia="仿宋_GB2312" w:cs="仿宋_GB2312"/>
          <w:bCs/>
          <w:kern w:val="0"/>
          <w:sz w:val="32"/>
          <w:szCs w:val="32"/>
        </w:rPr>
        <w:t>培育特色文化产业，</w:t>
      </w:r>
      <w:r>
        <w:rPr>
          <w:rFonts w:hint="eastAsia" w:ascii="仿宋_GB2312" w:hAnsi="仿宋_GB2312" w:eastAsia="仿宋_GB2312" w:cs="仿宋_GB2312"/>
          <w:kern w:val="0"/>
          <w:sz w:val="32"/>
          <w:szCs w:val="32"/>
        </w:rPr>
        <w:t>深入挖掘北部黎族藤编、黎锦和制陶等非物质文化遗产，引入现代设计理念，打造“海棠文创”品牌。引导湾区涉旅企业引入海棠区特色非遗产品，将文化资源转化为经济效益。</w:t>
      </w:r>
    </w:p>
    <w:p>
      <w:pPr>
        <w:spacing w:line="560" w:lineRule="exact"/>
        <w:ind w:left="420" w:leftChars="200"/>
        <w:rPr>
          <w:rFonts w:ascii="楷体" w:hAnsi="楷体" w:eastAsia="楷体" w:cs="楷体"/>
          <w:kern w:val="0"/>
          <w:sz w:val="32"/>
          <w:szCs w:val="32"/>
        </w:rPr>
      </w:pPr>
      <w:r>
        <w:rPr>
          <w:rFonts w:hint="eastAsia" w:ascii="楷体" w:hAnsi="楷体" w:eastAsia="楷体" w:cs="楷体"/>
          <w:kern w:val="0"/>
          <w:sz w:val="32"/>
          <w:szCs w:val="32"/>
        </w:rPr>
        <w:t>（二）强化资源共享联动机制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kern w:val="0"/>
          <w:sz w:val="32"/>
          <w:szCs w:val="32"/>
        </w:rPr>
        <w:t>加快推进乡村的道路、水电、燃气、污水处理和5G网络等基础设施提质升级，实现与主城区的无缝对接。</w:t>
      </w:r>
      <w:r>
        <w:rPr>
          <w:rFonts w:hint="eastAsia" w:ascii="仿宋_GB2312" w:hAnsi="仿宋_GB2312" w:eastAsia="仿宋_GB2312" w:cs="仿宋_GB2312"/>
          <w:kern w:val="0"/>
          <w:sz w:val="32"/>
          <w:szCs w:val="32"/>
        </w:rPr>
        <w:t>深入开展辖区公交站点调研，优化区内公交线路，推进公共交通设施建设。推动公交站点设施提升改造工程项目实施，补齐设施短板。</w:t>
      </w:r>
      <w:r>
        <w:rPr>
          <w:rFonts w:hint="eastAsia" w:ascii="仿宋_GB2312" w:hAnsi="仿宋_GB2312" w:eastAsia="仿宋_GB2312" w:cs="仿宋_GB2312"/>
          <w:bCs/>
          <w:kern w:val="0"/>
          <w:sz w:val="32"/>
          <w:szCs w:val="32"/>
        </w:rPr>
        <w:t>推动城市公共服务向乡村延伸</w:t>
      </w:r>
      <w:r>
        <w:rPr>
          <w:rFonts w:hint="eastAsia" w:ascii="仿宋_GB2312" w:hAnsi="仿宋_GB2312" w:eastAsia="仿宋_GB2312" w:cs="仿宋_GB2312"/>
          <w:kern w:val="0"/>
          <w:sz w:val="32"/>
          <w:szCs w:val="32"/>
        </w:rPr>
        <w:t>。探索建立跨片区的教育集团和医疗联合体，提升学校和卫生院的软硬件水平。</w:t>
      </w:r>
      <w:r>
        <w:rPr>
          <w:rFonts w:hint="eastAsia" w:ascii="仿宋_GB2312" w:hAnsi="仿宋_GB2312" w:eastAsia="仿宋_GB2312" w:cs="仿宋_GB2312"/>
          <w:bCs/>
          <w:kern w:val="0"/>
          <w:sz w:val="32"/>
          <w:szCs w:val="32"/>
        </w:rPr>
        <w:t>推动就业与游客资源共享联动</w:t>
      </w:r>
      <w:r>
        <w:rPr>
          <w:rFonts w:hint="eastAsia" w:ascii="仿宋_GB2312" w:hAnsi="仿宋_GB2312" w:eastAsia="仿宋_GB2312" w:cs="仿宋_GB2312"/>
          <w:kern w:val="0"/>
          <w:sz w:val="32"/>
          <w:szCs w:val="32"/>
        </w:rPr>
        <w:t>，鼓励旅游与现代服务业相关企业为乡村居民提供更多就业岗位和技能培训；同时，乡村的生态环境、农业资源和田园体验作为滨海度假区游客的新增长点。</w:t>
      </w:r>
      <w:r>
        <w:rPr>
          <w:rFonts w:hint="eastAsia" w:ascii="仿宋_GB2312" w:hAnsi="仿宋_GB2312" w:eastAsia="仿宋_GB2312" w:cs="仿宋_GB2312"/>
          <w:bCs/>
          <w:kern w:val="0"/>
          <w:sz w:val="32"/>
          <w:szCs w:val="32"/>
        </w:rPr>
        <w:t>建设农旅融合的直通车，</w:t>
      </w:r>
      <w:r>
        <w:rPr>
          <w:rFonts w:hint="eastAsia" w:ascii="仿宋_GB2312" w:hAnsi="仿宋_GB2312" w:eastAsia="仿宋_GB2312" w:cs="仿宋_GB2312"/>
          <w:kern w:val="0"/>
          <w:sz w:val="32"/>
          <w:szCs w:val="32"/>
        </w:rPr>
        <w:t>开设从滨海度假区至乡村区的一体化的旅游线路，游客在海滨度假之后，可体验农耕生活、乡村康养和夜宿田园，实现滨海休闲与乡村体验的有机衔接。</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72" w:name="_Toc229555789"/>
      <w:bookmarkStart w:id="73" w:name="_Toc220742603"/>
      <w:bookmarkStart w:id="74" w:name="_Toc217846691"/>
      <w:r>
        <w:rPr>
          <w:rFonts w:hint="eastAsia" w:ascii="黑体" w:hAnsi="黑体" w:eastAsia="黑体" w:cs="黑体"/>
          <w:b w:val="0"/>
          <w:bCs w:val="0"/>
        </w:rPr>
        <w:t>第三节 深度融入三亚经济圈一体化发展</w:t>
      </w:r>
      <w:bookmarkEnd w:id="72"/>
      <w:bookmarkEnd w:id="73"/>
      <w:bookmarkEnd w:id="74"/>
    </w:p>
    <w:p>
      <w:pPr>
        <w:spacing w:line="560" w:lineRule="exact"/>
        <w:ind w:firstLine="640" w:firstLineChars="200"/>
        <w:rPr>
          <w:rFonts w:ascii="楷体" w:hAnsi="楷体" w:eastAsia="楷体" w:cs="楷体"/>
          <w:kern w:val="0"/>
          <w:sz w:val="32"/>
          <w:szCs w:val="32"/>
        </w:rPr>
      </w:pPr>
      <w:r>
        <w:rPr>
          <w:rFonts w:hint="eastAsia" w:ascii="楷体" w:hAnsi="楷体" w:eastAsia="楷体" w:cs="楷体"/>
          <w:sz w:val="32"/>
          <w:szCs w:val="32"/>
        </w:rPr>
        <w:t>（一）</w:t>
      </w:r>
      <w:r>
        <w:rPr>
          <w:rFonts w:hint="eastAsia" w:ascii="楷体" w:hAnsi="楷体" w:eastAsia="楷体" w:cs="楷体"/>
          <w:kern w:val="0"/>
          <w:sz w:val="32"/>
          <w:szCs w:val="32"/>
        </w:rPr>
        <w:t>产业协作共赢，构建山海产业链条</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积极融入全国统一大市场，深度参与三亚经济圈一体化建设，围绕构建区域协同发展的产业体系，海棠区以医疗康养、现代农业和低空经济为重点，深化与周边市县的功能联动与资源协作。在医疗康养领域，依托海棠湾高端度假酒店和优质医疗资源，加强与周边市县的雨林、温泉和民族文化等特色资源的产品衔接，联合开发跨区域精品旅游线路，探索形成“前端检查在海棠、深度疗养在雨林”的医养游融合模式，并以“海棠总部+腹地基地”方式拓展康养产业空间。在现代农业领域，发挥海棠区市场、品牌和流通优势，探索与周边市县共建数字化订单农业和农产品加工协作体系，推动优质热带农产品以“海棠品牌”进入高端消费市场，实现农业价值链延伸。在低空旅游领域，以海棠湾为重要节点，探索跨区域低空飞行和服务网络建设，拓展低空观光、应急保障和物流配送等应用场景，推动低空产业由点状布局向网络化协同发展升级。</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（二）“双湾”协同发展，打造世界级旅游度假区</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kern w:val="0"/>
          <w:sz w:val="32"/>
          <w:szCs w:val="32"/>
        </w:rPr>
        <w:t>在省、市旅游主管部门的统一部署下，探索海棠湾、亚龙湾的旅游资源，持续丰富旅游产品与服务供给，加强旅游宣传推介，联合申报世界级旅游度假区。打造双湾的“一站式”消费体验。依托两地高端酒店群、免税店和特色景区景点等丰富旅游资源，协同开发跨业态创新产品，有效引导客流延伸消费。强化“商务+休闲”功能的协同。依托保利国际博览中心等高端会展设施承接大型会议、展览与论坛，联动亚龙湾开展协同营销，通过为商务客群量身定制团队建设和高管度假等会后休闲产品，推动参会嘉宾向休闲游客转化。</w:t>
      </w:r>
      <w:r>
        <w:rPr>
          <w:rFonts w:hint="eastAsia" w:ascii="仿宋_GB2312" w:hAnsi="宋体" w:eastAsia="仿宋_GB2312" w:cs="宋体"/>
          <w:kern w:val="0"/>
          <w:sz w:val="32"/>
          <w:szCs w:val="32"/>
        </w:rPr>
        <w:t>完善跨湾会展的服务保障体系，提供一体化会展服务，</w:t>
      </w:r>
      <w:r>
        <w:rPr>
          <w:rFonts w:hint="eastAsia" w:ascii="仿宋_GB2312" w:eastAsia="仿宋_GB2312"/>
          <w:sz w:val="32"/>
          <w:szCs w:val="32"/>
        </w:rPr>
        <w:t>以跨湾资源禀赋为依托，以高品质场景打造为抓手，构建多元融合的特色场景体系，赋能区域高质量发展。</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（三）跨区域设施互联，打通要素流动通道</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快推进G98环岛高速大三亚段扩容工程、山海高速（S28）延伸线与海棠区路网的衔接，规划研究海棠湾至保亭方向的快速通道或旅游公路，有效缩短时空距离。积极配合推进环岛高铁海棠湾站新建工程项目建设，提升海棠区对外交通便利性，支撑全市高铁运输需求。推进绿色平安交通建设。积极开展绿色公路和美丽公路等创建活动，提升生态功能和景观品质。加强交通设施安全隐患排查，逐步推广智慧公路检测监测系统。探索“双湾”基础设施互联互通。</w:t>
      </w:r>
      <w:r>
        <w:rPr>
          <w:rFonts w:hint="eastAsia" w:ascii="仿宋_GB2312" w:hAnsi="仿宋_GB2312" w:eastAsia="仿宋_GB2312" w:cs="仿宋_GB2312"/>
          <w:color w:val="000000"/>
          <w:kern w:val="0"/>
          <w:sz w:val="32"/>
          <w:szCs w:val="32"/>
          <w:lang w:bidi="ar"/>
        </w:rPr>
        <w:t>以交通与旅游融合发展为导向，构建水上、空中与陆上立体式多元化旅游交通体系</w:t>
      </w:r>
      <w:r>
        <w:rPr>
          <w:rFonts w:hint="eastAsia" w:ascii="仿宋_GB2312" w:hAnsi="仿宋_GB2312" w:eastAsia="仿宋_GB2312" w:cs="仿宋_GB2312"/>
          <w:kern w:val="0"/>
          <w:sz w:val="32"/>
          <w:szCs w:val="32"/>
        </w:rPr>
        <w:t xml:space="preserve">。探索“亚龙湾-海棠湾”旅游穿梭巴士，串联海棠湾重点酒店群、亚龙湾重点酒店群以及三亚国际免税城、蜈支洲岛等核心景点。前瞻性谋划低空旅游经济，推进低空旅游航线布局，发展直升机和水上飞机等多元化低空交通体验。探索推行“两湾全日通票”和“海陆一票通”等服务模式，提升公共交通整体效能。 </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（四）资源共享，促进公共服务均等化</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探索建立跨区域的教育、医疗合作联盟。支持解放军总医院海南医院与周边市县医院建立医联体，开展远程会诊、人才培训和双向转诊。推动海棠区优质教育资源与腹地学校结对帮扶，共享线上课程资源。共同举办区域性文化、体育和节庆活动，促进人才、信息和技术的双向流动。</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75" w:name="_Toc217846693"/>
      <w:bookmarkStart w:id="76" w:name="_Toc229555790"/>
      <w:bookmarkStart w:id="77" w:name="_Toc220742604"/>
      <w:r>
        <w:rPr>
          <w:rFonts w:hint="eastAsia" w:ascii="黑体" w:hAnsi="黑体" w:eastAsia="黑体" w:cs="黑体"/>
          <w:b w:val="0"/>
          <w:bCs w:val="0"/>
        </w:rPr>
        <w:t>第四节 高标准推进琼港经济合作三亚示范区建设</w:t>
      </w:r>
      <w:bookmarkEnd w:id="75"/>
      <w:bookmarkEnd w:id="76"/>
      <w:bookmarkEnd w:id="77"/>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（一）深化产业与平台协作</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充分发挥海棠区自贸港政策和产业优势，以琼港经济合作三亚示范区为核心载体，主动对接香港在旅游、消费、贸易和专业服务等领域的先进经验与高端资源。积极引进香港优质企业、资本和人才，重点吸引香港在高端消费、文化旅游、医疗健康、法律会计和离岸贸易等领域的知名机构设立区域总部或业务中心，推动示范区注册企业数量与企业营收迈上新台阶。同步推进示范区空间优化与功能提升，建立健全港企全生命周期落地服务机制，谋划开通投促中心跨境数据安全流动专线，探索跨境数据有序流通的创新管理实践，全面提升示范区投资促进与综合服务能级，力争打造一批具有示范效应的琼港经济合作项目。</w:t>
      </w:r>
    </w:p>
    <w:p>
      <w:pPr>
        <w:spacing w:line="560" w:lineRule="exact"/>
        <w:ind w:left="420" w:leftChars="200"/>
        <w:rPr>
          <w:rFonts w:ascii="楷体" w:hAnsi="楷体" w:eastAsia="楷体" w:cs="楷体"/>
          <w:kern w:val="0"/>
          <w:sz w:val="32"/>
          <w:szCs w:val="32"/>
        </w:rPr>
      </w:pPr>
      <w:r>
        <w:rPr>
          <w:rFonts w:hint="eastAsia" w:ascii="楷体" w:hAnsi="楷体" w:eastAsia="楷体" w:cs="楷体"/>
          <w:kern w:val="0"/>
          <w:sz w:val="32"/>
          <w:szCs w:val="32"/>
        </w:rPr>
        <w:t>（二）拓展人才交流合作</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深化琼港在青年创新创业与人才交流领域的合作，加快推进海南港澳青年创新创业服务中心三亚分中心在海棠区揭牌运营，依托区内文旅消费与高新技术产业基础，积极建设集孵化、培训、展示及对接于一体的港澳青年创新创业基地。重点打造“港商之家”服务品牌，为香港创业者及企业提供政策咨询、法律协助与市场对接等一站式服务。建立健全常态化琼港澳青年人才互动交流机制，通过实习计划、专题论坛与文化体验等多种形式，促进人才、技术与项目资源的深度对接与融合，将海棠区建设成为琼港合作成果集中展示区与香港人才融入海南发展的先行区。</w:t>
      </w:r>
    </w:p>
    <w:p>
      <w:pPr>
        <w:widowControl/>
        <w:jc w:val="left"/>
        <w:rPr>
          <w:rFonts w:ascii="华文中宋" w:hAnsi="华文中宋" w:eastAsia="华文中宋" w:cs="___WRD_EMBED_SUB_45"/>
          <w:bCs/>
          <w:kern w:val="44"/>
          <w:sz w:val="44"/>
          <w:szCs w:val="44"/>
        </w:rPr>
      </w:pPr>
      <w:r>
        <w:rPr>
          <w:rFonts w:ascii="华文中宋" w:hAnsi="华文中宋" w:eastAsia="华文中宋" w:cs="___WRD_EMBED_SUB_45"/>
          <w:b/>
          <w:bCs/>
          <w:szCs w:val="44"/>
        </w:rPr>
        <w:br w:type="page"/>
      </w:r>
    </w:p>
    <w:p>
      <w:pPr>
        <w:pStyle w:val="3"/>
        <w:keepNext w:val="0"/>
        <w:keepLines w:val="0"/>
        <w:numPr>
          <w:ilvl w:val="255"/>
          <w:numId w:val="0"/>
        </w:numPr>
        <w:spacing w:before="0" w:after="0" w:line="560" w:lineRule="exact"/>
        <w:jc w:val="center"/>
        <w:rPr>
          <w:rFonts w:ascii="华文中宋" w:hAnsi="华文中宋" w:eastAsia="华文中宋" w:cs="___WRD_EMBED_SUB_45"/>
          <w:b w:val="0"/>
          <w:bCs/>
          <w:szCs w:val="44"/>
        </w:rPr>
      </w:pPr>
      <w:bookmarkStart w:id="78" w:name="_Toc229555791"/>
      <w:r>
        <w:rPr>
          <w:rFonts w:hint="eastAsia" w:ascii="华文中宋" w:hAnsi="华文中宋" w:eastAsia="华文中宋" w:cs="___WRD_EMBED_SUB_45"/>
          <w:b w:val="0"/>
          <w:bCs/>
          <w:szCs w:val="44"/>
        </w:rPr>
        <w:t>第七章 持续加强生态文明建设</w:t>
      </w:r>
      <w:bookmarkEnd w:id="78"/>
    </w:p>
    <w:p>
      <w:pPr>
        <w:spacing w:line="560" w:lineRule="exact"/>
        <w:ind w:firstLine="640" w:firstLineChars="200"/>
        <w:rPr>
          <w:rFonts w:ascii="仿宋_GB2312" w:eastAsia="仿宋_GB2312"/>
          <w:sz w:val="32"/>
          <w:szCs w:val="30"/>
        </w:rPr>
      </w:pPr>
    </w:p>
    <w:p>
      <w:pPr>
        <w:spacing w:line="560" w:lineRule="exact"/>
        <w:ind w:firstLine="640" w:firstLineChars="200"/>
        <w:rPr>
          <w:rFonts w:ascii="仿宋_GB2312" w:eastAsia="仿宋_GB2312"/>
          <w:sz w:val="32"/>
          <w:szCs w:val="30"/>
        </w:rPr>
      </w:pPr>
      <w:r>
        <w:rPr>
          <w:rFonts w:hint="eastAsia" w:ascii="仿宋_GB2312" w:eastAsia="仿宋_GB2312"/>
          <w:sz w:val="32"/>
          <w:szCs w:val="30"/>
        </w:rPr>
        <w:t>强化生态保护与绿色发展，打好蓝天、碧水、净土保卫战，推进生态系统修复和“两山”转化。加快旅游业低碳转型，构建循环型社会与低碳消费体系，推广绿色生活方式。同时，加强生态文化宣传与教育基地建设，巩固生态文明成果，推动美丽海棠建设。</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79" w:name="_Toc229555792"/>
      <w:r>
        <w:rPr>
          <w:rFonts w:hint="eastAsia" w:ascii="黑体" w:hAnsi="黑体" w:eastAsia="黑体" w:cs="黑体"/>
          <w:b w:val="0"/>
          <w:bCs w:val="0"/>
        </w:rPr>
        <w:t>第一节 强化生态保护屏障与绿色发展底线</w:t>
      </w:r>
      <w:bookmarkEnd w:id="79"/>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（一）持续加强生态环境治理</w:t>
      </w:r>
    </w:p>
    <w:p>
      <w:pPr>
        <w:widowControl/>
        <w:spacing w:line="560" w:lineRule="exact"/>
        <w:ind w:firstLine="640" w:firstLineChars="200"/>
        <w:rPr>
          <w:rFonts w:ascii="仿宋_GB2312" w:hAnsi="宋体" w:eastAsia="仿宋_GB2312" w:cs="宋体"/>
          <w:b/>
          <w:bCs/>
          <w:kern w:val="0"/>
          <w:sz w:val="32"/>
          <w:szCs w:val="32"/>
        </w:rPr>
      </w:pPr>
      <w:r>
        <w:rPr>
          <w:rFonts w:hint="eastAsia" w:ascii="仿宋_GB2312" w:hAnsi="宋体" w:eastAsia="仿宋_GB2312" w:cs="宋体"/>
          <w:kern w:val="0"/>
          <w:sz w:val="32"/>
          <w:szCs w:val="32"/>
        </w:rPr>
        <w:t>持续打好蓝天保卫战。抓好秸秆焚烧和烟花爆竹禁燃禁放，强化各类施工工地扬尘污染管控，规范餐饮业商户油烟排放，强化油烟净化设施安装和运行监管。持续打好碧水保卫战。推进城镇生活污水管网系统提质升级，全面摸排修复雨污混接、错接</w:t>
      </w:r>
      <w:r>
        <w:rPr>
          <w:rFonts w:hint="eastAsia" w:eastAsia="仿宋_GB2312" w:cs="Calibri"/>
          <w:kern w:val="0"/>
          <w:sz w:val="32"/>
          <w:szCs w:val="32"/>
        </w:rPr>
        <w:t>和</w:t>
      </w:r>
      <w:r>
        <w:rPr>
          <w:rFonts w:hint="eastAsia" w:ascii="仿宋_GB2312" w:hAnsi="宋体" w:eastAsia="仿宋_GB2312" w:cs="宋体"/>
          <w:kern w:val="0"/>
          <w:sz w:val="32"/>
          <w:szCs w:val="32"/>
        </w:rPr>
        <w:t>漏接等问题，因地制宜推动农村生活污水应纳尽纳，全面提升污水收集率；持续做好赤田水库饮用水水源地保护，深化水源地规范化建设。持续打好净土保卫战。加强农业面源污染源头治理，优化农业种植结构调整，推进化肥农药减量增效；持续开展裸地动态更新排查与分类整治。强化噪声污染防治。严格噪声污染源头治理，加强</w:t>
      </w:r>
      <w:r>
        <w:rPr>
          <w:rFonts w:hint="eastAsia" w:ascii="仿宋_GB2312" w:hAnsi="宋体" w:eastAsia="仿宋_GB2312" w:cs="宋体"/>
          <w:kern w:val="0"/>
          <w:sz w:val="32"/>
          <w:szCs w:val="32"/>
          <w:lang w:bidi="ar"/>
        </w:rPr>
        <w:t>公共场所和营业场所噪声整治管控；严控夜间连续施工许可审批，加强夜间施工噪声监管和非现场执法监督。大力提升海域综合治理力度。严格落实省市养殖水域滩涂规划，扎实推进海水养殖排查整改；持续常态化开展海上环卫作业。</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（二）推进生态系统修复</w:t>
      </w:r>
    </w:p>
    <w:p>
      <w:pPr>
        <w:spacing w:line="560" w:lineRule="exact"/>
        <w:ind w:firstLine="640" w:firstLineChars="200"/>
        <w:rPr>
          <w:rFonts w:ascii="仿宋_GB2312" w:hAnsi="仿宋_GB2312" w:eastAsia="仿宋_GB2312" w:cs="仿宋_GB2312"/>
          <w:b/>
          <w:bCs/>
          <w:kern w:val="0"/>
          <w:sz w:val="32"/>
          <w:szCs w:val="32"/>
        </w:rPr>
      </w:pPr>
      <w:r>
        <w:rPr>
          <w:rFonts w:hint="eastAsia" w:ascii="仿宋_GB2312" w:eastAsia="仿宋_GB2312"/>
          <w:sz w:val="32"/>
          <w:szCs w:val="32"/>
        </w:rPr>
        <w:t>严格落实生态保护红线制度。对蜈支洲岛、藤桥河、铁炉港和甘什岭等重要生态空间，落实最严格用途管控政策，坚决防止建设性占用。落实最严格的围填海河岸线开发管控措施，守牢海洋生态环保底线。加大生态环境保护和修复力度。统筹推进山水林田湖草沙一体化保护和系统治理，巩固并深化海棠河水系综合治理工程项目、铁炉港红树林湿地保护修复项目和藤桥河生态修复项目等南部山水工程成果；实施沿海防护林修复与提质改造，促进沿海防护林体系结构优化和功能提升；实施古树名木全域精准保护，健全“一树一档”动态检测体系。积极探索“两山”转化路径，立足于辖区GEP价值核算体系，推动拓宽蜈支洲岛海洋牧场“生态保护修复+休闲渔业”拓展海洋生态产品价值转化路径；向绿图强，</w:t>
      </w:r>
      <w:r>
        <w:rPr>
          <w:rFonts w:ascii="Times New Roman" w:hAnsi="Times New Roman" w:eastAsia="仿宋_GB2312"/>
          <w:sz w:val="32"/>
          <w:szCs w:val="32"/>
        </w:rPr>
        <w:t>积极探索生态产品价值实现机制</w:t>
      </w:r>
      <w:r>
        <w:rPr>
          <w:rFonts w:hint="eastAsia" w:ascii="Times New Roman" w:hAnsi="Times New Roman" w:eastAsia="仿宋_GB2312"/>
          <w:sz w:val="32"/>
          <w:szCs w:val="32"/>
        </w:rPr>
        <w:t>。深化水土流失防治，强化水土保持措施。立足海棠区水土流失特征与治理需求，通过“日常巡查+在线监测”相结合的方式，开展辖区在建项目水土保持监管，全面落实“三同时”制度，以海棠河水土流失相对严重、具有重要生态功能的区域为重点，开展生态清洁小流域建设，探索海棠河生态价值综合实现。</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（三）健全生态环境监管体系</w:t>
      </w:r>
    </w:p>
    <w:p>
      <w:pPr>
        <w:pStyle w:val="18"/>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建立健全污染物风险识别监管机制。依托南部山水工程生态环境本底调查成果，加快完成全域本底调查、生态毒性和健康毒性识别、环境风险筛查和评估；深化林长制、河长制等日常监管制度，强化一线人员污染物识别能力。强化数字赋能监管。推动完善智慧水务平台建设，驱动水务管理数字化升级；持续完善餐饮油烟在线监控系统，促进油烟治理提质升级。</w:t>
      </w:r>
      <w:r>
        <w:rPr>
          <w:rFonts w:hint="eastAsia" w:ascii="仿宋_GB2312" w:eastAsia="仿宋_GB2312"/>
          <w:bCs/>
          <w:sz w:val="32"/>
          <w:szCs w:val="32"/>
        </w:rPr>
        <w:t>健全生态环境保护督察机制。</w:t>
      </w:r>
      <w:r>
        <w:rPr>
          <w:rFonts w:hint="eastAsia" w:ascii="仿宋_GB2312" w:eastAsia="仿宋_GB2312"/>
          <w:sz w:val="32"/>
          <w:szCs w:val="32"/>
        </w:rPr>
        <w:t>加强中央和省级生态环境保护督</w:t>
      </w:r>
      <w:r>
        <w:rPr>
          <w:rFonts w:hint="eastAsia" w:ascii="仿宋_GB2312" w:eastAsia="仿宋_GB2312"/>
          <w:bCs/>
          <w:sz w:val="32"/>
          <w:szCs w:val="32"/>
        </w:rPr>
        <w:t>察</w:t>
      </w:r>
      <w:r>
        <w:rPr>
          <w:rFonts w:hint="eastAsia" w:ascii="仿宋_GB2312" w:eastAsia="仿宋_GB2312"/>
          <w:sz w:val="32"/>
          <w:szCs w:val="32"/>
        </w:rPr>
        <w:t>问题整改，健全督</w:t>
      </w:r>
      <w:r>
        <w:rPr>
          <w:rFonts w:hint="eastAsia" w:ascii="仿宋_GB2312" w:eastAsia="仿宋_GB2312"/>
          <w:bCs/>
          <w:sz w:val="32"/>
          <w:szCs w:val="32"/>
        </w:rPr>
        <w:t>察</w:t>
      </w:r>
      <w:r>
        <w:rPr>
          <w:rFonts w:hint="eastAsia" w:ascii="仿宋_GB2312" w:eastAsia="仿宋_GB2312"/>
          <w:sz w:val="32"/>
          <w:szCs w:val="32"/>
        </w:rPr>
        <w:t>整改调度、督办等机制，强化督</w:t>
      </w:r>
      <w:r>
        <w:rPr>
          <w:rFonts w:hint="eastAsia" w:ascii="仿宋_GB2312" w:eastAsia="仿宋_GB2312"/>
          <w:bCs/>
          <w:sz w:val="32"/>
          <w:szCs w:val="32"/>
        </w:rPr>
        <w:t>察</w:t>
      </w:r>
      <w:r>
        <w:rPr>
          <w:rFonts w:hint="eastAsia" w:ascii="仿宋_GB2312" w:eastAsia="仿宋_GB2312"/>
          <w:sz w:val="32"/>
          <w:szCs w:val="32"/>
        </w:rPr>
        <w:t>结果运用，完善与绩效考核挂钩机制。建立健全部门协同责任体系。强化生态环境、交通、公安、应急管理、消防救援</w:t>
      </w:r>
      <w:r>
        <w:rPr>
          <w:rFonts w:hint="eastAsia" w:eastAsia="仿宋_GB2312" w:cs="Calibri"/>
          <w:sz w:val="32"/>
          <w:szCs w:val="32"/>
        </w:rPr>
        <w:t>和</w:t>
      </w:r>
      <w:r>
        <w:rPr>
          <w:rFonts w:hint="eastAsia" w:ascii="仿宋_GB2312" w:eastAsia="仿宋_GB2312"/>
          <w:sz w:val="32"/>
          <w:szCs w:val="32"/>
        </w:rPr>
        <w:t>水务林业等多部门联动的环境风险防范体系；完善突发环境事件应急管理制度，加强预案管理与信息化建设相结合，强化应急物资储备，提升应急装备智能化水平，提高应急监测预警能力，全面提升生态环境治理现代化水平。</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80" w:name="_Toc229555793"/>
      <w:r>
        <w:rPr>
          <w:rFonts w:hint="eastAsia" w:ascii="黑体" w:hAnsi="黑体" w:eastAsia="黑体" w:cs="黑体"/>
          <w:b w:val="0"/>
          <w:bCs w:val="0"/>
        </w:rPr>
        <w:t>第二节 推动全域低碳转型</w:t>
      </w:r>
      <w:bookmarkEnd w:id="80"/>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（一）加快旅游业低碳化行动</w:t>
      </w:r>
    </w:p>
    <w:p>
      <w:pPr>
        <w:widowControl/>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推</w:t>
      </w:r>
      <w:r>
        <w:rPr>
          <w:rFonts w:hint="eastAsia" w:ascii="Times New Roman" w:hAnsi="Times New Roman" w:eastAsia="仿宋_GB2312"/>
          <w:sz w:val="32"/>
          <w:szCs w:val="32"/>
        </w:rPr>
        <w:t>动</w:t>
      </w:r>
      <w:r>
        <w:rPr>
          <w:rFonts w:ascii="Times New Roman" w:hAnsi="Times New Roman" w:eastAsia="仿宋_GB2312"/>
          <w:sz w:val="32"/>
          <w:szCs w:val="32"/>
        </w:rPr>
        <w:t>三亚蜈支洲岛零碳智慧生态岛</w:t>
      </w:r>
      <w:r>
        <w:rPr>
          <w:rFonts w:hint="eastAsia" w:ascii="Times New Roman" w:hAnsi="Times New Roman" w:eastAsia="仿宋_GB2312"/>
          <w:sz w:val="32"/>
          <w:szCs w:val="32"/>
        </w:rPr>
        <w:t>试点</w:t>
      </w:r>
      <w:r>
        <w:rPr>
          <w:rFonts w:ascii="Times New Roman" w:hAnsi="Times New Roman" w:eastAsia="仿宋_GB2312"/>
          <w:sz w:val="32"/>
          <w:szCs w:val="32"/>
        </w:rPr>
        <w:t>建设</w:t>
      </w:r>
      <w:r>
        <w:rPr>
          <w:rFonts w:hint="eastAsia" w:ascii="Times New Roman" w:hAnsi="Times New Roman" w:eastAsia="仿宋_GB2312"/>
          <w:sz w:val="32"/>
          <w:szCs w:val="32"/>
        </w:rPr>
        <w:t>。</w:t>
      </w:r>
      <w:r>
        <w:rPr>
          <w:rFonts w:ascii="Times New Roman" w:hAnsi="Times New Roman" w:eastAsia="仿宋_GB2312"/>
          <w:sz w:val="32"/>
          <w:szCs w:val="32"/>
        </w:rPr>
        <w:t>推动岛上车辆、船舶等升级替代，积极引入电能</w:t>
      </w:r>
      <w:r>
        <w:rPr>
          <w:rFonts w:hint="eastAsia" w:ascii="Times New Roman" w:hAnsi="Times New Roman" w:eastAsia="仿宋_GB2312"/>
          <w:sz w:val="32"/>
          <w:szCs w:val="32"/>
        </w:rPr>
        <w:t>和</w:t>
      </w:r>
      <w:r>
        <w:rPr>
          <w:rFonts w:ascii="Times New Roman" w:hAnsi="Times New Roman" w:eastAsia="仿宋_GB2312"/>
          <w:sz w:val="32"/>
          <w:szCs w:val="32"/>
        </w:rPr>
        <w:t>氢能等为动力的新能源车辆与船舶等，探索完善风力发电、新能源补能等配套基础设施，构建以新能源应用为核心的</w:t>
      </w:r>
      <w:r>
        <w:rPr>
          <w:rFonts w:hint="eastAsia" w:ascii="Times New Roman" w:hAnsi="Times New Roman" w:eastAsia="仿宋_GB2312"/>
          <w:sz w:val="32"/>
          <w:szCs w:val="32"/>
        </w:rPr>
        <w:t>“发储充用”</w:t>
      </w:r>
      <w:r>
        <w:rPr>
          <w:rFonts w:ascii="Times New Roman" w:hAnsi="Times New Roman" w:eastAsia="仿宋_GB2312"/>
          <w:sz w:val="32"/>
          <w:szCs w:val="32"/>
        </w:rPr>
        <w:t>一体化体系。探索构建低碳旅游全链条管理体系。依托大数据平台，探索建立游客出行、住宿和消费环节碳排放核算体系，实现全路径碳足迹追踪检测。引导绿色低碳旅游消费。推动酒店减少一次性用品使用</w:t>
      </w:r>
      <w:r>
        <w:rPr>
          <w:rFonts w:hint="eastAsia" w:ascii="Times New Roman" w:hAnsi="Times New Roman" w:eastAsia="仿宋_GB2312"/>
          <w:sz w:val="32"/>
          <w:szCs w:val="32"/>
        </w:rPr>
        <w:t>，</w:t>
      </w:r>
      <w:r>
        <w:rPr>
          <w:rFonts w:ascii="Times New Roman" w:hAnsi="Times New Roman" w:eastAsia="仿宋_GB2312"/>
          <w:sz w:val="32"/>
          <w:szCs w:val="32"/>
        </w:rPr>
        <w:t>鼓励游客通过选择绿色住宿、低碳交通和拒绝一次</w:t>
      </w:r>
      <w:r>
        <w:rPr>
          <w:rFonts w:hint="eastAsia" w:ascii="仿宋_GB2312" w:hAnsi="仿宋_GB2312" w:eastAsia="仿宋_GB2312" w:cs="仿宋_GB2312"/>
          <w:sz w:val="32"/>
          <w:szCs w:val="32"/>
        </w:rPr>
        <w:t>性用品等行为兑换景点门票和消费折扣等奖励。鼓励酒店等创建“零碳酒店和零碳景区”品</w:t>
      </w:r>
      <w:r>
        <w:rPr>
          <w:rFonts w:ascii="Times New Roman" w:hAnsi="Times New Roman" w:eastAsia="仿宋_GB2312"/>
          <w:sz w:val="32"/>
          <w:szCs w:val="32"/>
        </w:rPr>
        <w:t>牌。鼓励辖区酒店</w:t>
      </w:r>
      <w:r>
        <w:rPr>
          <w:rFonts w:hint="eastAsia" w:ascii="Times New Roman" w:hAnsi="Times New Roman" w:eastAsia="仿宋_GB2312"/>
          <w:sz w:val="32"/>
          <w:szCs w:val="32"/>
        </w:rPr>
        <w:t>和</w:t>
      </w:r>
      <w:r>
        <w:rPr>
          <w:rFonts w:ascii="Times New Roman" w:hAnsi="Times New Roman" w:eastAsia="仿宋_GB2312"/>
          <w:sz w:val="32"/>
          <w:szCs w:val="32"/>
        </w:rPr>
        <w:t>景区等，充分利用屋顶</w:t>
      </w:r>
      <w:r>
        <w:rPr>
          <w:rFonts w:hint="eastAsia" w:ascii="Times New Roman" w:hAnsi="Times New Roman" w:eastAsia="仿宋_GB2312"/>
          <w:sz w:val="32"/>
          <w:szCs w:val="32"/>
        </w:rPr>
        <w:t>与</w:t>
      </w:r>
      <w:r>
        <w:rPr>
          <w:rFonts w:ascii="Times New Roman" w:hAnsi="Times New Roman" w:eastAsia="仿宋_GB2312"/>
          <w:sz w:val="32"/>
          <w:szCs w:val="32"/>
        </w:rPr>
        <w:t>外立面等加</w:t>
      </w:r>
      <w:r>
        <w:rPr>
          <w:rFonts w:ascii="Times New Roman" w:hAnsi="Times New Roman" w:eastAsia="仿宋_GB2312"/>
          <w:sz w:val="32"/>
          <w:szCs w:val="32"/>
          <w:lang w:bidi="ar"/>
        </w:rPr>
        <w:t>装分布式太</w:t>
      </w:r>
      <w:r>
        <w:rPr>
          <w:rFonts w:hint="eastAsia" w:ascii="仿宋_GB2312" w:hAnsi="仿宋_GB2312" w:eastAsia="仿宋_GB2312" w:cs="仿宋_GB2312"/>
          <w:sz w:val="32"/>
          <w:szCs w:val="32"/>
          <w:lang w:bidi="ar"/>
        </w:rPr>
        <w:t>阳能系统进行</w:t>
      </w:r>
      <w:r>
        <w:rPr>
          <w:rFonts w:hint="eastAsia" w:ascii="仿宋_GB2312" w:hAnsi="仿宋_GB2312" w:eastAsia="仿宋_GB2312" w:cs="仿宋_GB2312"/>
          <w:sz w:val="32"/>
          <w:szCs w:val="32"/>
        </w:rPr>
        <w:t>能源优化，强化垃圾分类和可再生资源利用等措施，推动建设“零碳建筑”。</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（二）实施循环型社会与低碳消费构建行动</w:t>
      </w:r>
    </w:p>
    <w:p>
      <w:pPr>
        <w:spacing w:line="560" w:lineRule="exact"/>
        <w:ind w:firstLine="640" w:firstLineChars="200"/>
        <w:jc w:val="left"/>
        <w:rPr>
          <w:rFonts w:ascii="仿宋_GB2312" w:eastAsia="仿宋_GB2312"/>
          <w:sz w:val="32"/>
          <w:szCs w:val="32"/>
        </w:rPr>
      </w:pPr>
      <w:r>
        <w:rPr>
          <w:rFonts w:ascii="Times New Roman" w:hAnsi="Times New Roman" w:eastAsia="仿宋_GB2312"/>
          <w:sz w:val="32"/>
          <w:szCs w:val="32"/>
        </w:rPr>
        <w:t>深入实施节能降碳改造。扩大清洁能源应用，</w:t>
      </w:r>
      <w:r>
        <w:rPr>
          <w:rFonts w:ascii="Times New Roman" w:hAnsi="Times New Roman" w:eastAsia="仿宋_GB2312"/>
          <w:sz w:val="32"/>
          <w:szCs w:val="32"/>
          <w:lang w:bidi="ar"/>
        </w:rPr>
        <w:t>依托三亚海棠湾集中供冷等项目，加快推动多级压缩超高效制冷机组等新技术新产品应用，支持服务商以市场化方式探索集中供冷等节能服务商业模式，向</w:t>
      </w:r>
      <w:r>
        <w:rPr>
          <w:rFonts w:hint="eastAsia" w:ascii="Times New Roman" w:hAnsi="Times New Roman" w:eastAsia="仿宋_GB2312"/>
          <w:sz w:val="32"/>
          <w:szCs w:val="32"/>
          <w:lang w:bidi="ar"/>
        </w:rPr>
        <w:t>辖</w:t>
      </w:r>
      <w:r>
        <w:rPr>
          <w:rFonts w:ascii="Times New Roman" w:hAnsi="Times New Roman" w:eastAsia="仿宋_GB2312"/>
          <w:sz w:val="32"/>
          <w:szCs w:val="32"/>
          <w:lang w:bidi="ar"/>
        </w:rPr>
        <w:t>区内已建、在建和待建的各类建筑物集中提供空调冷冻水，生活热水等</w:t>
      </w:r>
      <w:r>
        <w:rPr>
          <w:rFonts w:hint="eastAsia" w:ascii="Times New Roman" w:hAnsi="Times New Roman" w:eastAsia="仿宋_GB2312"/>
          <w:sz w:val="32"/>
          <w:szCs w:val="32"/>
          <w:lang w:bidi="ar"/>
        </w:rPr>
        <w:t>服务</w:t>
      </w:r>
      <w:r>
        <w:rPr>
          <w:rFonts w:ascii="Times New Roman" w:hAnsi="Times New Roman" w:eastAsia="仿宋_GB2312"/>
          <w:sz w:val="32"/>
          <w:szCs w:val="32"/>
          <w:lang w:bidi="ar"/>
        </w:rPr>
        <w:t>，提升能源利用效率。推动交通物流体系绿色转型。力争建成覆盖全域、密度领先的智能充电网络，并推广大功率超充等新技术</w:t>
      </w:r>
      <w:r>
        <w:rPr>
          <w:rFonts w:hint="eastAsia" w:ascii="Times New Roman" w:hAnsi="Times New Roman" w:eastAsia="仿宋_GB2312"/>
          <w:sz w:val="32"/>
          <w:szCs w:val="32"/>
          <w:lang w:bidi="ar"/>
        </w:rPr>
        <w:t>，</w:t>
      </w:r>
      <w:r>
        <w:rPr>
          <w:rFonts w:ascii="Times New Roman" w:hAnsi="Times New Roman" w:eastAsia="仿宋_GB2312"/>
          <w:sz w:val="32"/>
          <w:szCs w:val="32"/>
          <w:lang w:bidi="ar"/>
        </w:rPr>
        <w:t>积极推动引导公交车、网约车、环卫车</w:t>
      </w:r>
      <w:r>
        <w:rPr>
          <w:rFonts w:hint="eastAsia" w:ascii="Times New Roman" w:hAnsi="Times New Roman" w:eastAsia="仿宋_GB2312"/>
          <w:sz w:val="32"/>
          <w:szCs w:val="32"/>
          <w:lang w:bidi="ar"/>
        </w:rPr>
        <w:t>与</w:t>
      </w:r>
      <w:r>
        <w:rPr>
          <w:rFonts w:ascii="Times New Roman" w:hAnsi="Times New Roman" w:eastAsia="仿宋_GB2312"/>
          <w:sz w:val="32"/>
          <w:szCs w:val="32"/>
          <w:lang w:bidi="ar"/>
        </w:rPr>
        <w:t>餐饮配送车等全面电动化。</w:t>
      </w:r>
      <w:r>
        <w:rPr>
          <w:rFonts w:ascii="Times New Roman" w:hAnsi="Times New Roman" w:eastAsia="仿宋_GB2312"/>
          <w:sz w:val="32"/>
          <w:szCs w:val="32"/>
        </w:rPr>
        <w:t>提高垃圾资源化利用水平。</w:t>
      </w:r>
      <w:r>
        <w:rPr>
          <w:rFonts w:ascii="Times New Roman" w:hAnsi="Times New Roman" w:eastAsia="仿宋_GB2312"/>
          <w:sz w:val="32"/>
          <w:szCs w:val="32"/>
          <w:lang w:bidi="ar"/>
        </w:rPr>
        <w:t>深化禁塑工作，加强生活废弃物、纺织品、塑料</w:t>
      </w:r>
      <w:r>
        <w:rPr>
          <w:rFonts w:hint="eastAsia" w:ascii="Times New Roman" w:hAnsi="Times New Roman" w:eastAsia="仿宋_GB2312"/>
          <w:sz w:val="32"/>
          <w:szCs w:val="32"/>
          <w:lang w:bidi="ar"/>
        </w:rPr>
        <w:t>和</w:t>
      </w:r>
      <w:r>
        <w:rPr>
          <w:rFonts w:ascii="Times New Roman" w:hAnsi="Times New Roman" w:eastAsia="仿宋_GB2312"/>
          <w:sz w:val="32"/>
          <w:szCs w:val="32"/>
          <w:lang w:bidi="ar"/>
        </w:rPr>
        <w:t>金属等综合利用，谋划</w:t>
      </w:r>
      <w:r>
        <w:rPr>
          <w:rFonts w:hint="eastAsia" w:ascii="Times New Roman" w:hAnsi="Times New Roman" w:eastAsia="仿宋_GB2312"/>
          <w:sz w:val="32"/>
          <w:szCs w:val="32"/>
          <w:lang w:bidi="ar"/>
        </w:rPr>
        <w:t>海棠</w:t>
      </w:r>
      <w:r>
        <w:rPr>
          <w:rFonts w:ascii="Times New Roman" w:hAnsi="Times New Roman" w:eastAsia="仿宋_GB2312"/>
          <w:sz w:val="32"/>
          <w:szCs w:val="32"/>
          <w:lang w:bidi="ar"/>
        </w:rPr>
        <w:t>区固体废弃物资源化利用中心，</w:t>
      </w:r>
      <w:r>
        <w:rPr>
          <w:rFonts w:hint="eastAsia" w:ascii="仿宋_GB2312" w:hAnsi="仿宋_GB2312" w:eastAsia="仿宋_GB2312" w:cs="仿宋_GB2312"/>
          <w:sz w:val="32"/>
          <w:szCs w:val="32"/>
          <w:lang w:bidi="ar"/>
        </w:rPr>
        <w:t>探索“无废园区”建设。</w:t>
      </w:r>
      <w:r>
        <w:rPr>
          <w:rFonts w:hint="eastAsia" w:ascii="仿宋_GB2312" w:hAnsi="仿宋_GB2312" w:eastAsia="仿宋_GB2312" w:cs="仿宋_GB2312"/>
          <w:sz w:val="32"/>
          <w:szCs w:val="32"/>
        </w:rPr>
        <w:t>推广绿色低碳生活方式。培育低碳消费</w:t>
      </w:r>
      <w:r>
        <w:rPr>
          <w:rFonts w:ascii="Times New Roman" w:hAnsi="Times New Roman" w:eastAsia="仿宋_GB2312"/>
          <w:sz w:val="32"/>
          <w:szCs w:val="32"/>
        </w:rPr>
        <w:t>文化，倡导绿色出行和简约生活方式，构建</w:t>
      </w:r>
      <w:r>
        <w:rPr>
          <w:rFonts w:hint="eastAsia" w:ascii="Times New Roman" w:hAnsi="Times New Roman" w:eastAsia="仿宋_GB2312"/>
          <w:sz w:val="32"/>
          <w:szCs w:val="32"/>
        </w:rPr>
        <w:t>“</w:t>
      </w:r>
      <w:r>
        <w:rPr>
          <w:rFonts w:ascii="Times New Roman" w:hAnsi="Times New Roman" w:eastAsia="仿宋_GB2312"/>
          <w:sz w:val="32"/>
          <w:szCs w:val="32"/>
        </w:rPr>
        <w:t>碳积分+绿色奖励</w:t>
      </w:r>
      <w:r>
        <w:rPr>
          <w:rFonts w:hint="eastAsia" w:ascii="Times New Roman" w:hAnsi="Times New Roman" w:eastAsia="仿宋_GB2312"/>
          <w:sz w:val="32"/>
          <w:szCs w:val="32"/>
        </w:rPr>
        <w:t>”</w:t>
      </w:r>
      <w:r>
        <w:rPr>
          <w:rFonts w:ascii="Times New Roman" w:hAnsi="Times New Roman" w:eastAsia="仿宋_GB2312"/>
          <w:sz w:val="32"/>
          <w:szCs w:val="32"/>
        </w:rPr>
        <w:t>机制，提升公众参与度。</w:t>
      </w:r>
    </w:p>
    <w:p>
      <w:pPr>
        <w:spacing w:line="560" w:lineRule="exact"/>
        <w:ind w:firstLine="640" w:firstLineChars="200"/>
        <w:jc w:val="left"/>
        <w:rPr>
          <w:rFonts w:ascii="楷体" w:hAnsi="楷体" w:eastAsia="楷体" w:cs="楷体"/>
          <w:kern w:val="0"/>
          <w:sz w:val="32"/>
          <w:szCs w:val="32"/>
          <w:lang w:bidi="ar"/>
        </w:rPr>
      </w:pPr>
      <w:r>
        <w:rPr>
          <w:rFonts w:hint="eastAsia" w:ascii="楷体" w:hAnsi="楷体" w:eastAsia="楷体" w:cs="楷体"/>
          <w:kern w:val="0"/>
          <w:sz w:val="32"/>
          <w:szCs w:val="32"/>
        </w:rPr>
        <w:t>（三）推进美丽海棠建设</w:t>
      </w:r>
    </w:p>
    <w:p>
      <w:pPr>
        <w:spacing w:after="163" w:afterLines="50" w:line="560" w:lineRule="exact"/>
        <w:ind w:firstLine="640" w:firstLineChars="200"/>
        <w:jc w:val="left"/>
        <w:rPr>
          <w:rFonts w:ascii="华文中宋" w:hAnsi="华文中宋" w:eastAsia="华文中宋" w:cs="宋体"/>
          <w:b/>
          <w:bCs/>
          <w:szCs w:val="44"/>
        </w:rPr>
      </w:pPr>
      <w:r>
        <w:rPr>
          <w:rFonts w:ascii="Times New Roman" w:hAnsi="Times New Roman" w:eastAsia="仿宋_GB2312"/>
          <w:sz w:val="32"/>
          <w:szCs w:val="32"/>
        </w:rPr>
        <w:t>加大生态文化宣讲力度。依托</w:t>
      </w:r>
      <w:r>
        <w:rPr>
          <w:rFonts w:hint="eastAsia" w:ascii="Times New Roman" w:hAnsi="Times New Roman" w:eastAsia="仿宋_GB2312"/>
          <w:sz w:val="32"/>
          <w:szCs w:val="32"/>
        </w:rPr>
        <w:t>海棠河生态公园、藤桥西河滨河公园和</w:t>
      </w:r>
      <w:r>
        <w:rPr>
          <w:rFonts w:ascii="Times New Roman" w:hAnsi="Times New Roman" w:eastAsia="仿宋_GB2312"/>
          <w:sz w:val="32"/>
          <w:szCs w:val="32"/>
        </w:rPr>
        <w:t>城市绿地</w:t>
      </w:r>
      <w:r>
        <w:rPr>
          <w:rFonts w:hint="eastAsia" w:ascii="Times New Roman" w:hAnsi="Times New Roman" w:eastAsia="仿宋_GB2312"/>
          <w:sz w:val="32"/>
          <w:szCs w:val="32"/>
        </w:rPr>
        <w:t>等</w:t>
      </w:r>
      <w:r>
        <w:rPr>
          <w:rFonts w:ascii="Times New Roman" w:hAnsi="Times New Roman" w:eastAsia="仿宋_GB2312"/>
          <w:sz w:val="32"/>
          <w:szCs w:val="32"/>
        </w:rPr>
        <w:t>，把握好植树节、世界水日和中国水周等关键节点，广泛面向党政机关、中小学生</w:t>
      </w:r>
      <w:r>
        <w:rPr>
          <w:rFonts w:hint="eastAsia" w:ascii="Times New Roman" w:hAnsi="Times New Roman" w:eastAsia="仿宋_GB2312"/>
          <w:sz w:val="32"/>
          <w:szCs w:val="32"/>
        </w:rPr>
        <w:t>和</w:t>
      </w:r>
      <w:r>
        <w:rPr>
          <w:rFonts w:ascii="Times New Roman" w:hAnsi="Times New Roman" w:eastAsia="仿宋_GB2312"/>
          <w:sz w:val="32"/>
          <w:szCs w:val="32"/>
        </w:rPr>
        <w:t>村</w:t>
      </w:r>
      <w:r>
        <w:rPr>
          <w:rFonts w:hint="eastAsia" w:ascii="Times New Roman" w:hAnsi="Times New Roman" w:eastAsia="仿宋_GB2312"/>
          <w:sz w:val="32"/>
          <w:szCs w:val="32"/>
        </w:rPr>
        <w:t>（社区）</w:t>
      </w:r>
      <w:r>
        <w:rPr>
          <w:rFonts w:ascii="Times New Roman" w:hAnsi="Times New Roman" w:eastAsia="仿宋_GB2312"/>
          <w:sz w:val="32"/>
          <w:szCs w:val="32"/>
        </w:rPr>
        <w:t>等开展生态文明教育活动，培育生态文明主流价值观，全面推进生态文化融入生产生活</w:t>
      </w:r>
      <w:r>
        <w:rPr>
          <w:rFonts w:hint="eastAsia" w:ascii="Times New Roman" w:hAnsi="Times New Roman" w:eastAsia="仿宋_GB2312"/>
          <w:sz w:val="32"/>
          <w:szCs w:val="32"/>
        </w:rPr>
        <w:t>，</w:t>
      </w:r>
      <w:r>
        <w:rPr>
          <w:rFonts w:ascii="Times New Roman" w:hAnsi="Times New Roman" w:eastAsia="仿宋_GB2312"/>
          <w:sz w:val="32"/>
          <w:szCs w:val="32"/>
        </w:rPr>
        <w:t>讲好美丽海棠故事。推动生态文化教育基地建设。推动建设铁炉港红树林研学教育基地和生物多样性保护体验基地。加强公共绿地升级改造</w:t>
      </w:r>
      <w:r>
        <w:rPr>
          <w:rFonts w:hint="eastAsia" w:ascii="Times New Roman" w:hAnsi="Times New Roman" w:eastAsia="仿宋_GB2312"/>
          <w:sz w:val="32"/>
          <w:szCs w:val="32"/>
        </w:rPr>
        <w:t>。持</w:t>
      </w:r>
      <w:r>
        <w:rPr>
          <w:rFonts w:ascii="Times New Roman" w:hAnsi="Times New Roman" w:eastAsia="仿宋_GB2312"/>
          <w:sz w:val="32"/>
          <w:szCs w:val="32"/>
        </w:rPr>
        <w:t>续探索</w:t>
      </w:r>
      <w:r>
        <w:rPr>
          <w:rFonts w:hint="eastAsia" w:ascii="仿宋_GB2312" w:hAnsi="仿宋_GB2312" w:eastAsia="仿宋_GB2312" w:cs="仿宋_GB2312"/>
          <w:sz w:val="32"/>
          <w:szCs w:val="32"/>
        </w:rPr>
        <w:t>“绿廊认建认养”</w:t>
      </w:r>
      <w:r>
        <w:rPr>
          <w:rFonts w:ascii="Times New Roman" w:hAnsi="Times New Roman" w:eastAsia="仿宋_GB2312"/>
          <w:sz w:val="32"/>
          <w:szCs w:val="32"/>
        </w:rPr>
        <w:t>政企合作新模式，</w:t>
      </w:r>
      <w:r>
        <w:rPr>
          <w:rFonts w:hint="eastAsia" w:ascii="Times New Roman" w:hAnsi="Times New Roman" w:eastAsia="仿宋_GB2312"/>
          <w:sz w:val="32"/>
          <w:szCs w:val="32"/>
        </w:rPr>
        <w:t>推动</w:t>
      </w:r>
      <w:r>
        <w:rPr>
          <w:rFonts w:ascii="Times New Roman" w:hAnsi="Times New Roman" w:eastAsia="仿宋_GB2312"/>
          <w:sz w:val="32"/>
          <w:szCs w:val="32"/>
        </w:rPr>
        <w:t>建</w:t>
      </w:r>
      <w:r>
        <w:rPr>
          <w:rFonts w:hint="eastAsia" w:ascii="Times New Roman" w:hAnsi="Times New Roman" w:eastAsia="仿宋_GB2312"/>
          <w:sz w:val="32"/>
          <w:szCs w:val="32"/>
        </w:rPr>
        <w:t>成海棠湾</w:t>
      </w:r>
      <w:r>
        <w:rPr>
          <w:rFonts w:ascii="Times New Roman" w:hAnsi="Times New Roman" w:eastAsia="仿宋_GB2312"/>
          <w:sz w:val="32"/>
          <w:szCs w:val="32"/>
        </w:rPr>
        <w:t>绿道。</w:t>
      </w:r>
      <w:r>
        <w:rPr>
          <w:rFonts w:hint="eastAsia" w:ascii="Times New Roman" w:hAnsi="Times New Roman" w:eastAsia="仿宋_GB2312"/>
          <w:sz w:val="32"/>
          <w:szCs w:val="32"/>
        </w:rPr>
        <w:t>巩固生态文明建设成果。</w:t>
      </w:r>
      <w:r>
        <w:rPr>
          <w:rFonts w:ascii="Times New Roman" w:hAnsi="Times New Roman" w:eastAsia="仿宋_GB2312"/>
          <w:sz w:val="32"/>
          <w:szCs w:val="32"/>
        </w:rPr>
        <w:t>持续巩固</w:t>
      </w:r>
      <w:r>
        <w:rPr>
          <w:rFonts w:hint="eastAsia" w:ascii="Times New Roman" w:hAnsi="Times New Roman" w:eastAsia="仿宋_GB2312"/>
          <w:sz w:val="32"/>
          <w:szCs w:val="32"/>
        </w:rPr>
        <w:t>海棠河幸福河湖、海棠湾</w:t>
      </w:r>
      <w:r>
        <w:rPr>
          <w:rFonts w:ascii="Times New Roman" w:hAnsi="Times New Roman" w:eastAsia="仿宋_GB2312"/>
          <w:sz w:val="32"/>
          <w:szCs w:val="32"/>
        </w:rPr>
        <w:t>国家级美丽海湾和海棠区</w:t>
      </w:r>
      <w:r>
        <w:rPr>
          <w:rFonts w:hint="eastAsia" w:ascii="Times New Roman" w:hAnsi="Times New Roman" w:eastAsia="仿宋_GB2312"/>
          <w:sz w:val="32"/>
          <w:szCs w:val="32"/>
        </w:rPr>
        <w:t>“</w:t>
      </w:r>
      <w:r>
        <w:rPr>
          <w:rFonts w:ascii="Times New Roman" w:hAnsi="Times New Roman" w:eastAsia="仿宋_GB2312"/>
          <w:sz w:val="32"/>
          <w:szCs w:val="32"/>
        </w:rPr>
        <w:t>绿水青山就是金山银山</w:t>
      </w:r>
      <w:r>
        <w:rPr>
          <w:rFonts w:hint="eastAsia" w:ascii="Times New Roman" w:hAnsi="Times New Roman" w:eastAsia="仿宋_GB2312"/>
          <w:sz w:val="32"/>
          <w:szCs w:val="32"/>
        </w:rPr>
        <w:t>”</w:t>
      </w:r>
      <w:r>
        <w:rPr>
          <w:rFonts w:ascii="Times New Roman" w:hAnsi="Times New Roman" w:eastAsia="仿宋_GB2312"/>
          <w:sz w:val="32"/>
          <w:szCs w:val="32"/>
        </w:rPr>
        <w:t>实践创新基地创建成果</w:t>
      </w:r>
      <w:r>
        <w:rPr>
          <w:rFonts w:hint="eastAsia" w:ascii="Times New Roman" w:hAnsi="Times New Roman" w:eastAsia="仿宋_GB2312"/>
          <w:sz w:val="32"/>
          <w:szCs w:val="32"/>
        </w:rPr>
        <w:t>。</w:t>
      </w:r>
    </w:p>
    <w:tbl>
      <w:tblPr>
        <w:tblStyle w:val="49"/>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835" w:type="dxa"/>
            <w:tcBorders>
              <w:top w:val="single" w:color="auto" w:sz="4" w:space="0"/>
              <w:left w:val="single" w:color="auto" w:sz="4" w:space="0"/>
              <w:bottom w:val="single" w:color="auto" w:sz="4" w:space="0"/>
              <w:right w:val="single" w:color="auto" w:sz="4" w:space="0"/>
            </w:tcBorders>
          </w:tcPr>
          <w:p>
            <w:pPr>
              <w:adjustRightInd w:val="0"/>
              <w:snapToGrid w:val="0"/>
              <w:spacing w:before="163" w:beforeLines="50" w:after="163" w:afterLines="50" w:line="400" w:lineRule="exact"/>
              <w:ind w:firstLine="560"/>
              <w:jc w:val="center"/>
              <w:rPr>
                <w:rFonts w:ascii="Times New Roman" w:hAnsi="Times New Roman" w:eastAsia="黑体"/>
                <w:sz w:val="32"/>
                <w:szCs w:val="32"/>
              </w:rPr>
            </w:pPr>
            <w:r>
              <w:rPr>
                <w:rFonts w:hint="eastAsia" w:ascii="Times New Roman" w:hAnsi="Times New Roman" w:eastAsia="黑体"/>
                <w:sz w:val="32"/>
                <w:szCs w:val="32"/>
              </w:rPr>
              <w:t>专栏</w:t>
            </w:r>
            <w:r>
              <w:rPr>
                <w:rFonts w:ascii="Times New Roman" w:hAnsi="Times New Roman" w:eastAsia="黑体"/>
                <w:bCs/>
                <w:sz w:val="32"/>
                <w:szCs w:val="32"/>
              </w:rPr>
              <w:t>7</w:t>
            </w:r>
            <w:r>
              <w:rPr>
                <w:rFonts w:hint="eastAsia" w:ascii="Times New Roman" w:hAnsi="Times New Roman" w:eastAsia="黑体"/>
                <w:sz w:val="32"/>
                <w:szCs w:val="32"/>
              </w:rPr>
              <w:t xml:space="preserve">  海棠生态环境治理重大工程项目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pStyle w:val="48"/>
              <w:spacing w:before="163" w:after="163" w:line="400" w:lineRule="exact"/>
              <w:ind w:firstLine="643"/>
              <w:rPr>
                <w:rFonts w:ascii="楷体" w:hAnsi="楷体"/>
                <w:b/>
                <w:bCs/>
                <w:sz w:val="32"/>
                <w:szCs w:val="32"/>
              </w:rPr>
            </w:pPr>
            <w:r>
              <w:rPr>
                <w:rFonts w:hint="eastAsia" w:ascii="楷体" w:hAnsi="楷体"/>
                <w:b/>
                <w:bCs/>
                <w:sz w:val="32"/>
                <w:szCs w:val="32"/>
              </w:rPr>
              <w:t>1.山水林田湖海综合治理与生态修复工程。</w:t>
            </w:r>
            <w:r>
              <w:rPr>
                <w:rFonts w:hint="eastAsia" w:ascii="楷体" w:hAnsi="楷体"/>
                <w:sz w:val="32"/>
                <w:szCs w:val="32"/>
              </w:rPr>
              <w:t>统筹推进海棠河水系治理、铁炉港红树林湿地保护、藤桥河生态修复及沿海防护林提质改造，强化古树名木保护与动态监测，探索“生态修复+休闲渔业”及生态产品价值转化，提升水、林、湿地等生态系统服务功能，形成南部山水生态屏障示范区。</w:t>
            </w:r>
          </w:p>
          <w:p>
            <w:pPr>
              <w:pStyle w:val="48"/>
              <w:spacing w:before="163" w:after="163" w:line="400" w:lineRule="exact"/>
              <w:ind w:firstLine="643"/>
              <w:rPr>
                <w:rFonts w:ascii="楷体" w:hAnsi="楷体"/>
                <w:sz w:val="32"/>
                <w:szCs w:val="32"/>
              </w:rPr>
            </w:pPr>
            <w:r>
              <w:rPr>
                <w:rFonts w:hint="eastAsia" w:ascii="楷体" w:hAnsi="楷体"/>
                <w:b/>
                <w:bCs/>
                <w:sz w:val="32"/>
                <w:szCs w:val="32"/>
              </w:rPr>
              <w:t>2.全域低碳与循环型社会建设工程。</w:t>
            </w:r>
            <w:r>
              <w:rPr>
                <w:rFonts w:hint="eastAsia" w:ascii="楷体" w:hAnsi="楷体"/>
                <w:sz w:val="32"/>
                <w:szCs w:val="32"/>
              </w:rPr>
              <w:t>建设蜈支洲岛零碳智慧生态岛及低碳旅游全链条管理体系，推广新能源车辆、氢能船舶和分布式光伏设施，实现交通、能源、建筑等领域碳减排，推进垃圾资源化、无废园区及低碳生活激励机制建设，打造全域绿色低碳示范区。推动“无废城市”创建工程；配合推行“无废景区”与“无废酒店”标准；强化垃圾分类与资源化利用；建立废弃物全流程监管体系。</w:t>
            </w:r>
          </w:p>
          <w:p>
            <w:pPr>
              <w:pStyle w:val="48"/>
              <w:spacing w:before="163" w:after="163" w:line="400" w:lineRule="exact"/>
              <w:ind w:firstLine="643"/>
              <w:rPr>
                <w:sz w:val="32"/>
                <w:szCs w:val="32"/>
              </w:rPr>
            </w:pPr>
            <w:r>
              <w:rPr>
                <w:rFonts w:hint="eastAsia" w:ascii="楷体" w:hAnsi="楷体"/>
                <w:b/>
                <w:bCs/>
                <w:sz w:val="32"/>
                <w:szCs w:val="32"/>
              </w:rPr>
              <w:t>3.美丽海棠生态文化与公共绿地提升工程。</w:t>
            </w:r>
            <w:r>
              <w:rPr>
                <w:rFonts w:hint="eastAsia" w:ascii="楷体" w:hAnsi="楷体"/>
                <w:sz w:val="32"/>
                <w:szCs w:val="32"/>
              </w:rPr>
              <w:t>建设铁炉港红树林研学基地、生物多样性体验基地及核心绿廊，升级公共绿地与滨水空间，推广“绿廊认建认养”等政企合作模式，深化生态文明教育与社区参与，巩固海棠河幸福河湖和国家级美丽海湾创建成果，打造“生态+教育+休闲”综合示范区。</w:t>
            </w:r>
          </w:p>
        </w:tc>
      </w:tr>
    </w:tbl>
    <w:p>
      <w:pPr>
        <w:pStyle w:val="3"/>
        <w:numPr>
          <w:ilvl w:val="255"/>
          <w:numId w:val="0"/>
        </w:numPr>
        <w:spacing w:before="0" w:after="0" w:line="560" w:lineRule="exact"/>
        <w:jc w:val="center"/>
        <w:rPr>
          <w:rFonts w:ascii="华文中宋" w:hAnsi="华文中宋" w:eastAsia="华文中宋" w:cs="___WRD_EMBED_SUB_45"/>
          <w:b w:val="0"/>
          <w:bCs/>
          <w:szCs w:val="44"/>
        </w:rPr>
      </w:pPr>
      <w:bookmarkStart w:id="81" w:name="_Toc217846694"/>
      <w:bookmarkStart w:id="82" w:name="_Toc220742605"/>
      <w:bookmarkStart w:id="83" w:name="_Toc229555794"/>
      <w:r>
        <w:rPr>
          <w:rFonts w:hint="eastAsia" w:ascii="华文中宋" w:hAnsi="华文中宋" w:eastAsia="华文中宋" w:cs="___WRD_EMBED_SUB_45"/>
          <w:b w:val="0"/>
          <w:bCs/>
          <w:szCs w:val="44"/>
        </w:rPr>
        <w:t>第八章 扎实推进海棠文化建设</w:t>
      </w:r>
      <w:bookmarkEnd w:id="81"/>
      <w:bookmarkEnd w:id="82"/>
      <w:bookmarkEnd w:id="83"/>
    </w:p>
    <w:p>
      <w:pPr>
        <w:spacing w:line="560" w:lineRule="exact"/>
        <w:rPr>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着力培育文明新风尚，强化思想引领与价值塑造，深化全域精神文明创建。健全普惠优质的公共文化服务体系，加强文化遗产保护传承，优化设施与产品供给。激发文化产业动能，打造文旅融合精品，做强“赛事+旅游”消费生态，推动文化事业与文化产业高质量发展，为海棠现代化建设注入强大精神力量。</w:t>
      </w:r>
    </w:p>
    <w:p>
      <w:pPr>
        <w:pStyle w:val="4"/>
        <w:spacing w:before="326" w:beforeLines="100" w:after="326" w:afterLines="100" w:line="560" w:lineRule="exact"/>
        <w:ind w:firstLine="640" w:firstLineChars="200"/>
        <w:jc w:val="center"/>
        <w:rPr>
          <w:rFonts w:ascii="黑体" w:hAnsi="黑体" w:eastAsia="黑体" w:cs="黑体"/>
          <w:b w:val="0"/>
          <w:bCs w:val="0"/>
        </w:rPr>
      </w:pPr>
      <w:r>
        <w:rPr>
          <w:rFonts w:hint="eastAsia" w:ascii="黑体" w:hAnsi="黑体" w:eastAsia="黑体" w:cs="黑体"/>
          <w:b w:val="0"/>
          <w:bCs w:val="0"/>
        </w:rPr>
        <w:t xml:space="preserve"> </w:t>
      </w:r>
      <w:bookmarkStart w:id="84" w:name="_Toc229555795"/>
      <w:bookmarkStart w:id="85" w:name="_Toc220742606"/>
      <w:bookmarkStart w:id="86" w:name="_Toc217846695"/>
      <w:r>
        <w:rPr>
          <w:rFonts w:hint="eastAsia" w:ascii="黑体" w:hAnsi="黑体" w:eastAsia="黑体" w:cs="黑体"/>
          <w:b w:val="0"/>
          <w:bCs w:val="0"/>
        </w:rPr>
        <w:t>第一节 培育文明新风尚</w:t>
      </w:r>
      <w:bookmarkEnd w:id="84"/>
      <w:bookmarkEnd w:id="85"/>
      <w:bookmarkEnd w:id="86"/>
    </w:p>
    <w:p>
      <w:pPr>
        <w:pStyle w:val="18"/>
        <w:spacing w:beforeAutospacing="0" w:after="0" w:afterAutospacing="0" w:line="560" w:lineRule="exact"/>
        <w:ind w:firstLine="640" w:firstLineChars="200"/>
        <w:rPr>
          <w:rStyle w:val="24"/>
          <w:rFonts w:ascii="楷体" w:hAnsi="楷体" w:eastAsia="楷体" w:cs="楷体"/>
          <w:b w:val="0"/>
          <w:sz w:val="32"/>
          <w:szCs w:val="32"/>
        </w:rPr>
      </w:pPr>
      <w:r>
        <w:rPr>
          <w:rStyle w:val="24"/>
          <w:rFonts w:hint="eastAsia" w:ascii="楷体" w:hAnsi="楷体" w:eastAsia="楷体" w:cs="楷体"/>
          <w:b w:val="0"/>
          <w:sz w:val="32"/>
          <w:szCs w:val="32"/>
        </w:rPr>
        <w:t>（一）强化思想引领与价值塑造</w:t>
      </w:r>
    </w:p>
    <w:p>
      <w:pPr>
        <w:pStyle w:val="18"/>
        <w:spacing w:beforeAutospacing="0" w:after="0" w:afterAutospacing="0" w:line="560" w:lineRule="exact"/>
        <w:ind w:firstLine="640" w:firstLineChars="200"/>
        <w:rPr>
          <w:rStyle w:val="24"/>
          <w:rFonts w:ascii="仿宋_GB2312" w:eastAsia="仿宋_GB2312"/>
          <w:b w:val="0"/>
          <w:sz w:val="32"/>
          <w:szCs w:val="32"/>
        </w:rPr>
      </w:pPr>
      <w:r>
        <w:rPr>
          <w:rStyle w:val="24"/>
          <w:rFonts w:hint="eastAsia" w:ascii="仿宋_GB2312" w:eastAsia="仿宋_GB2312"/>
          <w:b w:val="0"/>
          <w:sz w:val="32"/>
          <w:szCs w:val="32"/>
        </w:rPr>
        <w:t>坚持不懈用习近平新时代中国特色社会主义思想武装全党、教育人民。深化党的创新理论的学习研究和宣传普及，将其融入国民教育、精神文明创建和文旅产品开发全过程。大力弘扬和践行社会主义核心价值观，将其具体要求转化为行业规范、市民公约、校园守则和旅游服务标准。结合旅游行业特点，加强宣传“海棠服务之星”“诚信示范商户”，弘扬诚信经营文化。加强《三亚市文明行为促进条例》宣传，重点引导与规范旅游不文明行为。</w:t>
      </w:r>
    </w:p>
    <w:p>
      <w:pPr>
        <w:pStyle w:val="18"/>
        <w:spacing w:beforeAutospacing="0" w:after="0" w:afterAutospacing="0" w:line="560" w:lineRule="exact"/>
        <w:ind w:firstLine="640" w:firstLineChars="200"/>
        <w:rPr>
          <w:rStyle w:val="24"/>
          <w:rFonts w:ascii="楷体" w:hAnsi="楷体" w:eastAsia="楷体" w:cs="楷体"/>
          <w:b w:val="0"/>
          <w:sz w:val="32"/>
          <w:szCs w:val="32"/>
        </w:rPr>
      </w:pPr>
      <w:r>
        <w:rPr>
          <w:rStyle w:val="24"/>
          <w:rFonts w:hint="eastAsia" w:ascii="楷体" w:hAnsi="楷体" w:eastAsia="楷体" w:cs="楷体"/>
          <w:b w:val="0"/>
          <w:sz w:val="32"/>
          <w:szCs w:val="32"/>
        </w:rPr>
        <w:t>（二）深化全域精神文明创建</w:t>
      </w:r>
    </w:p>
    <w:p>
      <w:pPr>
        <w:spacing w:line="560" w:lineRule="exact"/>
        <w:ind w:firstLine="640" w:firstLineChars="200"/>
        <w:rPr>
          <w:rStyle w:val="24"/>
          <w:rFonts w:ascii="仿宋_GB2312" w:hAnsi="仿宋_GB2312" w:eastAsia="仿宋_GB2312" w:cs="仿宋_GB2312"/>
          <w:b w:val="0"/>
          <w:bCs w:val="0"/>
          <w:sz w:val="32"/>
          <w:szCs w:val="32"/>
        </w:rPr>
      </w:pPr>
      <w:r>
        <w:rPr>
          <w:rStyle w:val="24"/>
          <w:rFonts w:hint="eastAsia" w:ascii="仿宋_GB2312" w:hAnsi="仿宋_GB2312" w:eastAsia="仿宋_GB2312" w:cs="仿宋_GB2312"/>
          <w:b w:val="0"/>
          <w:sz w:val="32"/>
          <w:szCs w:val="32"/>
        </w:rPr>
        <w:t>以更高标准深化文明城市、文明村镇、文明单位、文明家庭和文明校园创建。针对海棠区外来游客多、流动性强的特点，开展文明旅游相关评选活动，在酒店、景区、免税和餐饮等重点行业推行优质服务承诺和文明行为引导。建强用好新时代文明实践中心（所、站），打造一批旅游驿站型、社区融合型及校园联动型特色实践点，常态化开展多语种志愿服务、文明劝导和文化宣讲等实践活动。</w:t>
      </w:r>
      <w:r>
        <w:rPr>
          <w:rFonts w:hint="eastAsia" w:ascii="仿宋_GB2312" w:hAnsi="仿宋_GB2312" w:eastAsia="仿宋_GB2312" w:cs="仿宋_GB2312"/>
          <w:sz w:val="32"/>
          <w:szCs w:val="32"/>
        </w:rPr>
        <w:t>推动移风易俗，倡导健康生活，提升居民与游客整体文明素养。</w:t>
      </w:r>
    </w:p>
    <w:p>
      <w:pPr>
        <w:pStyle w:val="18"/>
        <w:spacing w:beforeAutospacing="0" w:after="0" w:afterAutospacing="0" w:line="560" w:lineRule="exact"/>
        <w:ind w:firstLine="640" w:firstLineChars="200"/>
        <w:rPr>
          <w:rStyle w:val="24"/>
          <w:rFonts w:ascii="楷体" w:hAnsi="楷体" w:eastAsia="楷体" w:cs="楷体"/>
          <w:b w:val="0"/>
          <w:color w:val="FF0000"/>
          <w:sz w:val="32"/>
          <w:szCs w:val="32"/>
        </w:rPr>
      </w:pPr>
      <w:r>
        <w:rPr>
          <w:rStyle w:val="24"/>
          <w:rFonts w:hint="eastAsia" w:ascii="楷体" w:hAnsi="楷体" w:eastAsia="楷体" w:cs="楷体"/>
          <w:b w:val="0"/>
          <w:sz w:val="32"/>
          <w:szCs w:val="32"/>
        </w:rPr>
        <w:t>（三）</w:t>
      </w:r>
      <w:bookmarkStart w:id="87" w:name="OLE_LINK4"/>
      <w:bookmarkStart w:id="88" w:name="OLE_LINK3"/>
      <w:r>
        <w:rPr>
          <w:rStyle w:val="24"/>
          <w:rFonts w:hint="eastAsia" w:ascii="楷体" w:hAnsi="楷体" w:eastAsia="楷体" w:cs="楷体"/>
          <w:b w:val="0"/>
          <w:sz w:val="32"/>
          <w:szCs w:val="32"/>
        </w:rPr>
        <w:t>讲好海棠故事</w:t>
      </w:r>
      <w:bookmarkEnd w:id="87"/>
      <w:bookmarkEnd w:id="88"/>
    </w:p>
    <w:p>
      <w:pPr>
        <w:pStyle w:val="18"/>
        <w:spacing w:beforeAutospacing="0" w:after="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青少年本土文化教育，围绕高质量发展、特色文旅资源、暖心服务案例，创新运用新媒体，生动传播“海棠故事”，塑造文明、开放、友善与时尚的国际旅游目的地形象。加强国际传播能力建设，打造中华文化会客厅，充分发挥全国高端酒店集聚区的窗口作用，鼓励和支持酒店在公共区域或客房内陈设展现中华优秀传统文化、革命文化与社会主义先进文化的艺术品、书籍及影像资料，使其成为向国内外宾客静态展示与动态传播中华文化魅力的“第一展厅”。</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89" w:name="_Toc220742607"/>
      <w:bookmarkStart w:id="90" w:name="_Toc229555796"/>
      <w:bookmarkStart w:id="91" w:name="_Toc216748025"/>
      <w:bookmarkStart w:id="92" w:name="_Toc217846696"/>
      <w:r>
        <w:rPr>
          <w:rFonts w:hint="eastAsia" w:ascii="黑体" w:hAnsi="黑体" w:eastAsia="黑体" w:cs="黑体"/>
          <w:b w:val="0"/>
          <w:bCs w:val="0"/>
        </w:rPr>
        <w:t>第二节 健全公共文化服务体系</w:t>
      </w:r>
      <w:bookmarkEnd w:id="89"/>
      <w:bookmarkEnd w:id="90"/>
      <w:bookmarkEnd w:id="91"/>
      <w:bookmarkEnd w:id="92"/>
    </w:p>
    <w:p>
      <w:pPr>
        <w:spacing w:line="560" w:lineRule="exact"/>
        <w:ind w:firstLine="640" w:firstLineChars="200"/>
        <w:rPr>
          <w:rFonts w:ascii="楷体" w:hAnsi="楷体" w:eastAsia="楷体" w:cs="楷体"/>
          <w:kern w:val="0"/>
          <w:sz w:val="32"/>
          <w:szCs w:val="32"/>
        </w:rPr>
      </w:pPr>
      <w:bookmarkStart w:id="93" w:name="OLE_LINK6"/>
      <w:bookmarkStart w:id="94" w:name="OLE_LINK5"/>
      <w:r>
        <w:rPr>
          <w:rFonts w:hint="eastAsia" w:ascii="楷体" w:hAnsi="楷体" w:eastAsia="楷体" w:cs="楷体"/>
          <w:kern w:val="0"/>
          <w:sz w:val="32"/>
          <w:szCs w:val="32"/>
        </w:rPr>
        <w:t>（一）加强文化遗产保护传承</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压实文物保护主体责任，加强对重点文物点的安全监测与研究。培育本土文化品牌，打造林旺北非遗文化体验区，支持建设黎锦、黎陶与椰雕等非遗工坊与体验中心，推动非遗产品进酒店、进景区。系统挖掘疍家文化等海洋文化遗产，利用大型活动媒介现场增设本土文旅非遗体验区，实现“以活动聚人气、以体验促消费”。实施传统文化传承人培养计划，鼓励青年人才投身传统文化和技艺传承与创新。</w:t>
      </w:r>
    </w:p>
    <w:bookmarkEnd w:id="93"/>
    <w:bookmarkEnd w:id="94"/>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（二）推动文体设施提质扩容</w:t>
      </w:r>
    </w:p>
    <w:p>
      <w:pPr>
        <w:spacing w:after="163" w:after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全力保障海棠故事</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文化艺术中心建成投用，打造文旅融合新地标。推动潮流运动休闲度假区项目落地落实，加快推进文体多功能中心项目建设。鼓励在酒店群、商业综合体嵌入“海棠书屋”“文化驿站”等特色空间。常态化举办高品质“文化下乡”等惠民活动。推动龙山书院和六行会馆的保护、传承与活化，提升海棠区文化传承和教育功能。持续完善城乡文体设施布局，重点向南田等片区倾斜，按需新增、更新户外健身路径及球类场地。健全设施长效管护机制，提升使用率与满意度。进一步完善全民健身公共服务体系，统筹推进文体多功能中心项目建设，多点布局全民健身设施设备、社区球场等体育场所，打造“十五分钟健身圈”，提升海棠人民身体素养。</w:t>
      </w:r>
    </w:p>
    <w:tbl>
      <w:tblPr>
        <w:tblStyle w:val="49"/>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adjustRightInd w:val="0"/>
              <w:snapToGrid w:val="0"/>
              <w:spacing w:before="163" w:beforeLines="50" w:after="163" w:afterLines="50" w:line="400" w:lineRule="exact"/>
              <w:ind w:firstLine="560"/>
              <w:jc w:val="center"/>
              <w:rPr>
                <w:rFonts w:ascii="Times New Roman" w:hAnsi="Times New Roman" w:eastAsia="黑体"/>
                <w:sz w:val="32"/>
                <w:szCs w:val="32"/>
              </w:rPr>
            </w:pPr>
            <w:r>
              <w:rPr>
                <w:rFonts w:hint="eastAsia" w:ascii="Times New Roman" w:hAnsi="Times New Roman" w:eastAsia="黑体"/>
                <w:sz w:val="32"/>
                <w:szCs w:val="32"/>
              </w:rPr>
              <w:t>专栏</w:t>
            </w:r>
            <w:r>
              <w:rPr>
                <w:rFonts w:ascii="Times New Roman" w:hAnsi="Times New Roman" w:eastAsia="黑体"/>
                <w:bCs/>
                <w:sz w:val="32"/>
                <w:szCs w:val="32"/>
              </w:rPr>
              <w:t xml:space="preserve">8 </w:t>
            </w:r>
            <w:r>
              <w:rPr>
                <w:rFonts w:hint="eastAsia" w:ascii="Times New Roman" w:hAnsi="Times New Roman" w:eastAsia="黑体"/>
                <w:sz w:val="32"/>
                <w:szCs w:val="32"/>
              </w:rPr>
              <w:t xml:space="preserve"> 城市文化建设重点工程项目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835" w:type="dxa"/>
            <w:tcBorders>
              <w:top w:val="single" w:color="auto" w:sz="4" w:space="0"/>
              <w:left w:val="single" w:color="auto" w:sz="4" w:space="0"/>
              <w:bottom w:val="single" w:color="auto" w:sz="4" w:space="0"/>
              <w:right w:val="single" w:color="auto" w:sz="4" w:space="0"/>
            </w:tcBorders>
          </w:tcPr>
          <w:p>
            <w:pPr>
              <w:pStyle w:val="48"/>
              <w:spacing w:before="163" w:after="163" w:line="380" w:lineRule="exact"/>
              <w:ind w:firstLine="643"/>
              <w:rPr>
                <w:rFonts w:ascii="楷体" w:hAnsi="楷体"/>
                <w:bCs/>
                <w:sz w:val="32"/>
                <w:szCs w:val="32"/>
              </w:rPr>
            </w:pPr>
            <w:r>
              <w:rPr>
                <w:rFonts w:hint="eastAsia" w:ascii="楷体" w:hAnsi="楷体"/>
                <w:b/>
                <w:bCs/>
                <w:sz w:val="32"/>
                <w:szCs w:val="32"/>
              </w:rPr>
              <w:t>1.文化设施建设与公共服务优化工程。</w:t>
            </w:r>
            <w:r>
              <w:rPr>
                <w:rFonts w:hint="eastAsia" w:ascii="楷体" w:hAnsi="楷体"/>
                <w:bCs/>
                <w:sz w:val="32"/>
                <w:szCs w:val="32"/>
              </w:rPr>
              <w:t>加快文体多功能中心的建设，提升文化服务设施。推动“海棠书屋”“文化驿站”等文化空间在酒店、商业体中的嵌入，常态化开展高品质文化下乡等惠民活动，提升文化服务全覆盖。</w:t>
            </w:r>
          </w:p>
          <w:p>
            <w:pPr>
              <w:pStyle w:val="48"/>
              <w:spacing w:before="163" w:after="163" w:line="380" w:lineRule="exact"/>
              <w:ind w:firstLine="643"/>
              <w:rPr>
                <w:sz w:val="32"/>
                <w:szCs w:val="32"/>
              </w:rPr>
            </w:pPr>
            <w:r>
              <w:rPr>
                <w:rFonts w:hint="eastAsia" w:ascii="楷体" w:hAnsi="楷体"/>
                <w:b/>
                <w:bCs/>
                <w:sz w:val="32"/>
                <w:szCs w:val="32"/>
              </w:rPr>
              <w:t>2.文化遗产保护与活化利用项目。</w:t>
            </w:r>
            <w:r>
              <w:rPr>
                <w:rFonts w:hint="eastAsia" w:ascii="楷体" w:hAnsi="楷体"/>
                <w:bCs/>
                <w:sz w:val="32"/>
                <w:szCs w:val="32"/>
              </w:rPr>
              <w:t>聚焦文化遗产的系统性保护与创造性转化，加强对文物的保护、监测与价值阐释；建设林旺北非遗文化体验区及黎锦、黎陶等非遗工坊集群，推动非遗产品市场化；系统挖掘并展示疍家文化等海洋文化遗产；通过“非遗+文旅”模式，在景区、酒店及大型活动中打造常态化非遗体验区与“夜赶集”等消费场景，实现文化遗产在当代的有效传承与活力焕发。</w:t>
            </w:r>
          </w:p>
        </w:tc>
      </w:tr>
    </w:tbl>
    <w:p>
      <w:pPr>
        <w:pStyle w:val="4"/>
        <w:spacing w:before="326" w:beforeLines="100" w:after="326" w:afterLines="100" w:line="560" w:lineRule="exact"/>
        <w:ind w:firstLine="640" w:firstLineChars="200"/>
        <w:jc w:val="center"/>
        <w:rPr>
          <w:rFonts w:ascii="黑体" w:hAnsi="黑体" w:eastAsia="黑体" w:cs="黑体"/>
          <w:b w:val="0"/>
          <w:bCs w:val="0"/>
        </w:rPr>
      </w:pPr>
      <w:bookmarkStart w:id="95" w:name="_Toc229555797"/>
      <w:bookmarkStart w:id="96" w:name="_Toc220742608"/>
      <w:bookmarkStart w:id="97" w:name="_Toc217846697"/>
      <w:r>
        <w:rPr>
          <w:rFonts w:hint="eastAsia" w:ascii="黑体" w:hAnsi="黑体" w:eastAsia="黑体" w:cs="黑体"/>
          <w:b w:val="0"/>
          <w:bCs w:val="0"/>
        </w:rPr>
        <w:t>第三节 激发文化产业动能</w:t>
      </w:r>
      <w:bookmarkEnd w:id="95"/>
      <w:bookmarkEnd w:id="96"/>
      <w:bookmarkEnd w:id="97"/>
    </w:p>
    <w:p>
      <w:pPr>
        <w:pStyle w:val="18"/>
        <w:spacing w:beforeAutospacing="0" w:after="0" w:afterAutospacing="0" w:line="560" w:lineRule="exact"/>
        <w:ind w:firstLine="640" w:firstLineChars="200"/>
        <w:jc w:val="left"/>
        <w:rPr>
          <w:rFonts w:ascii="华文中宋" w:hAnsi="华文中宋" w:eastAsia="华文中宋" w:cs="___WRD_EMBED_SUB_45"/>
          <w:bCs/>
          <w:kern w:val="44"/>
          <w:sz w:val="44"/>
          <w:szCs w:val="44"/>
        </w:rPr>
      </w:pPr>
      <w:r>
        <w:rPr>
          <w:rStyle w:val="24"/>
          <w:rFonts w:hint="eastAsia" w:ascii="仿宋_GB2312" w:eastAsia="仿宋_GB2312"/>
          <w:b w:val="0"/>
          <w:sz w:val="32"/>
          <w:szCs w:val="32"/>
        </w:rPr>
        <w:t>推动文旅深度融合，打造具有本土文化特色的精品项目，重点发展常驻演艺、沉浸式体验及文创产品，提升音乐节、电音节、电影节等品牌影响力。通过增设非遗文创市集，与升昌大集联动，构建丰富的夜间文化体验。加强“赛事+旅游”消费生态，建设冲浪训练基地，推动冲浪文化节等赛事，延伸消费链条，实现“以赛引流、以赛促消费”。加强文化创新，结合人工智能与数字技术，吸引数字文创和短视频制作企业，开发文化遗产沉浸式项目，推动智能文化经纪和个性化旅游路线等新业态。依托海棠河生态公园等资源，创新夜间演艺、体育竞技和高端水上产品，同时发展文化主题酒店、文创市集和艺术餐厅，促进文化消费与其他优势产业联动。</w:t>
      </w:r>
      <w:bookmarkStart w:id="98" w:name="_Toc217846698"/>
      <w:bookmarkStart w:id="99" w:name="_Toc220742609"/>
      <w:r>
        <w:rPr>
          <w:rFonts w:ascii="华文中宋" w:hAnsi="华文中宋" w:eastAsia="华文中宋" w:cs="___WRD_EMBED_SUB_45"/>
          <w:b/>
          <w:bCs/>
          <w:szCs w:val="44"/>
        </w:rPr>
        <w:br w:type="page"/>
      </w:r>
    </w:p>
    <w:p>
      <w:pPr>
        <w:pStyle w:val="3"/>
        <w:keepNext w:val="0"/>
        <w:keepLines w:val="0"/>
        <w:numPr>
          <w:ilvl w:val="255"/>
          <w:numId w:val="0"/>
        </w:numPr>
        <w:spacing w:before="0" w:after="0" w:line="560" w:lineRule="exact"/>
        <w:jc w:val="center"/>
        <w:rPr>
          <w:rFonts w:ascii="华文中宋" w:hAnsi="华文中宋" w:eastAsia="华文中宋" w:cs="___WRD_EMBED_SUB_45"/>
          <w:b w:val="0"/>
          <w:bCs/>
          <w:szCs w:val="44"/>
        </w:rPr>
      </w:pPr>
      <w:bookmarkStart w:id="100" w:name="_Toc229555798"/>
      <w:r>
        <w:rPr>
          <w:rFonts w:hint="eastAsia" w:ascii="华文中宋" w:hAnsi="华文中宋" w:eastAsia="华文中宋" w:cs="___WRD_EMBED_SUB_45"/>
          <w:b w:val="0"/>
          <w:bCs/>
          <w:szCs w:val="44"/>
        </w:rPr>
        <w:t>第九章 加强保障和改善民生力度</w:t>
      </w:r>
      <w:bookmarkEnd w:id="98"/>
      <w:bookmarkEnd w:id="99"/>
      <w:bookmarkEnd w:id="100"/>
    </w:p>
    <w:p>
      <w:pPr>
        <w:spacing w:line="560" w:lineRule="exact"/>
      </w:pPr>
    </w:p>
    <w:p>
      <w:pPr>
        <w:spacing w:line="560" w:lineRule="exact"/>
        <w:ind w:firstLine="640" w:firstLineChars="200"/>
      </w:pPr>
      <w:r>
        <w:rPr>
          <w:rFonts w:hint="eastAsia" w:ascii="仿宋_GB2312" w:eastAsia="仿宋_GB2312"/>
          <w:sz w:val="32"/>
          <w:szCs w:val="32"/>
        </w:rPr>
        <w:t>多措并举提升居民收入，织密社会保障和住房保障网。推动教育均衡与产教融合，增强医疗卫生和医养结合服务能力。健全“一老一小”服务体系，促进人口高质量发展，切实提升群众获得感、幸福感、安全感。</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01" w:name="_Toc217846699"/>
      <w:bookmarkStart w:id="102" w:name="_Toc229555799"/>
      <w:bookmarkStart w:id="103" w:name="_Toc220742610"/>
      <w:r>
        <w:rPr>
          <w:rFonts w:hint="eastAsia" w:ascii="黑体" w:hAnsi="黑体" w:eastAsia="黑体" w:cs="黑体"/>
          <w:b w:val="0"/>
          <w:bCs w:val="0"/>
        </w:rPr>
        <w:t>第一节 增强居民的收入能力</w:t>
      </w:r>
      <w:bookmarkEnd w:id="101"/>
      <w:bookmarkEnd w:id="102"/>
      <w:bookmarkEnd w:id="103"/>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（一）实施就业质量提升工程</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bCs/>
          <w:kern w:val="0"/>
          <w:sz w:val="32"/>
          <w:szCs w:val="32"/>
        </w:rPr>
        <w:t>精准职业技能培训，</w:t>
      </w:r>
      <w:r>
        <w:rPr>
          <w:rFonts w:hint="eastAsia" w:ascii="仿宋_GB2312" w:hAnsi="宋体" w:eastAsia="仿宋_GB2312" w:cs="宋体"/>
          <w:kern w:val="0"/>
          <w:sz w:val="32"/>
          <w:szCs w:val="32"/>
        </w:rPr>
        <w:t>建立“政府引导、企业主体、院校参与”的培训联盟。紧密围绕海棠区酒店管理、高端餐饮、免税零售、康养服务、会展策划和水上运动教练等紧缺岗位，开展“订单式”和“定向式”培训。针对农村转移劳动力，开展旅游服务、民宿运营、热带园艺和农产品电商等实用技能培训。推行终身职业技能培训制度，对参与培训并取得职业资格证书的居民给予补贴。</w:t>
      </w:r>
      <w:r>
        <w:rPr>
          <w:rFonts w:hint="eastAsia" w:ascii="仿宋_GB2312" w:hAnsi="宋体" w:eastAsia="仿宋_GB2312" w:cs="宋体"/>
          <w:bCs/>
          <w:kern w:val="0"/>
          <w:sz w:val="32"/>
          <w:szCs w:val="32"/>
        </w:rPr>
        <w:t>多措并举提高就业服务水平，</w:t>
      </w:r>
      <w:r>
        <w:rPr>
          <w:rFonts w:hint="eastAsia" w:ascii="仿宋_GB2312" w:hAnsi="宋体" w:eastAsia="仿宋_GB2312" w:cs="宋体"/>
          <w:kern w:val="0"/>
          <w:sz w:val="32"/>
          <w:szCs w:val="32"/>
        </w:rPr>
        <w:t>主动收集并发布企业用工需求和居民求职信息，实现精准匹配；定期举办针对本地居民的专场招聘会，并鼓励区内企业履行社会责任。</w:t>
      </w:r>
      <w:r>
        <w:rPr>
          <w:rFonts w:hint="eastAsia" w:ascii="仿宋_GB2312" w:hAnsi="宋体" w:eastAsia="仿宋_GB2312" w:cs="宋体"/>
          <w:bCs/>
          <w:kern w:val="0"/>
          <w:sz w:val="32"/>
          <w:szCs w:val="32"/>
        </w:rPr>
        <w:t>规范劳动用工与薪酬体系，</w:t>
      </w:r>
      <w:r>
        <w:rPr>
          <w:rFonts w:hint="eastAsia" w:ascii="仿宋_GB2312" w:hAnsi="宋体" w:eastAsia="仿宋_GB2312" w:cs="宋体"/>
          <w:kern w:val="0"/>
          <w:sz w:val="32"/>
          <w:szCs w:val="32"/>
        </w:rPr>
        <w:t>推动行业性、区域性集体协商，引导企业建立与经济效益挂钩的正常工资增长机制。加强劳动保障监察，切实保障劳动者在劳动报酬、休息休假和社会保险等方面的合法权益。</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（二）深化产业联动与创业扶持</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立“海棠优品”认证与推广体系，将乡村的高品质热带水果、蔬菜和水产品直供酒店餐饮部，将黎苗文化工艺品引入免税城和景区商店。大力支持本地创新创业，设立海棠区创业引导基金，重点支持高校毕业生、退役军人和返乡青年等在旅游文创、智慧农业、数字电商和社区服务等领域创业。提供创业担保贷款、场地租金减免和税收优惠等“一站式”政策包。打造1-2个低成本、便利化和全要素的创业孵化社区。发展壮大农村集体经济，</w:t>
      </w:r>
      <w:r>
        <w:rPr>
          <w:rFonts w:hint="eastAsia" w:ascii="仿宋_GB2312" w:hAnsi="宋体" w:eastAsia="仿宋_GB2312" w:cs="宋体"/>
          <w:kern w:val="0"/>
          <w:sz w:val="32"/>
          <w:szCs w:val="32"/>
        </w:rPr>
        <w:t>深化农村“三变”改革（资源变资产、资金变股金和农民变股东），鼓励以集体建设用地、闲置农房和土地承包经营权等入股，确保村民获得稳定的股金分红和经营收益。</w:t>
      </w:r>
      <w:r>
        <w:rPr>
          <w:rFonts w:hint="eastAsia" w:ascii="仿宋_GB2312" w:hAnsi="仿宋_GB2312" w:eastAsia="仿宋_GB2312" w:cs="仿宋_GB2312"/>
          <w:kern w:val="0"/>
          <w:sz w:val="32"/>
          <w:szCs w:val="32"/>
        </w:rPr>
        <w:t>围绕旅游产业发展需求，以赛事为抓手强化人才储备。举办旅游技能大赛，聚焦酒店服务礼仪、景区应急处置、免税导购技巧等核心领域，以赛促训提升本地从业人员专业能力；开展旅游青创大赛，重点征集旅游文创开发、智慧旅游服务和乡村旅游运营等方向项目，对优质项目提供孵化指导与资源对接。</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（三）创新资产增值模式</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bCs/>
          <w:kern w:val="0"/>
          <w:sz w:val="32"/>
          <w:szCs w:val="32"/>
        </w:rPr>
        <w:t>探索“房东</w:t>
      </w:r>
      <w:r>
        <w:rPr>
          <w:rFonts w:ascii="仿宋_GB2312" w:hAnsi="宋体" w:eastAsia="仿宋_GB2312" w:cs="宋体"/>
          <w:bCs/>
          <w:kern w:val="0"/>
          <w:sz w:val="32"/>
          <w:szCs w:val="32"/>
        </w:rPr>
        <w:t>+</w:t>
      </w:r>
      <w:r>
        <w:rPr>
          <w:rFonts w:hint="eastAsia" w:ascii="仿宋_GB2312" w:hAnsi="宋体" w:eastAsia="仿宋_GB2312" w:cs="宋体"/>
          <w:bCs/>
          <w:kern w:val="0"/>
          <w:sz w:val="32"/>
          <w:szCs w:val="32"/>
        </w:rPr>
        <w:t>股东”模式，</w:t>
      </w:r>
      <w:r>
        <w:rPr>
          <w:rFonts w:hint="eastAsia" w:ascii="仿宋_GB2312" w:hAnsi="宋体" w:eastAsia="仿宋_GB2312" w:cs="宋体"/>
          <w:kern w:val="0"/>
          <w:sz w:val="32"/>
          <w:szCs w:val="32"/>
        </w:rPr>
        <w:t>在符合规划和安全管理的前提下，引导村民将闲置房屋通过村集体或专业化平台公司统一租赁、运营，用于发展长租公寓或民宿，获得长期稳定的租金收入。</w:t>
      </w:r>
      <w:r>
        <w:rPr>
          <w:rFonts w:hint="eastAsia" w:ascii="仿宋_GB2312" w:hAnsi="宋体" w:eastAsia="仿宋_GB2312" w:cs="宋体"/>
          <w:bCs/>
          <w:kern w:val="0"/>
          <w:sz w:val="32"/>
          <w:szCs w:val="32"/>
        </w:rPr>
        <w:t>在风险可控基础上，</w:t>
      </w:r>
      <w:r>
        <w:rPr>
          <w:rFonts w:hint="eastAsia" w:ascii="仿宋_GB2312" w:hAnsi="宋体" w:eastAsia="仿宋_GB2312" w:cs="宋体"/>
          <w:kern w:val="0"/>
          <w:sz w:val="32"/>
          <w:szCs w:val="32"/>
        </w:rPr>
        <w:t>鼓励居民将闲置资金参与村集体经济发展项目或政府主导的稳健型基础设施投资基金；探索农户以土地或资金入股方式，参与高附加值热带高效农业项目，从生产者和劳动者转变为投资者和所有者。</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04" w:name="_Toc229555800"/>
      <w:bookmarkStart w:id="105" w:name="_Toc220742611"/>
      <w:bookmarkStart w:id="106" w:name="_Toc217846700"/>
      <w:r>
        <w:rPr>
          <w:rFonts w:hint="eastAsia" w:ascii="黑体" w:hAnsi="黑体" w:eastAsia="黑体" w:cs="黑体"/>
          <w:b w:val="0"/>
          <w:bCs w:val="0"/>
        </w:rPr>
        <w:t>第二节 完善社会保障体系</w:t>
      </w:r>
      <w:bookmarkEnd w:id="104"/>
      <w:bookmarkEnd w:id="105"/>
      <w:bookmarkEnd w:id="106"/>
    </w:p>
    <w:p>
      <w:pPr>
        <w:spacing w:line="560" w:lineRule="exact"/>
        <w:ind w:firstLine="640" w:firstLineChars="200"/>
        <w:jc w:val="left"/>
        <w:rPr>
          <w:rFonts w:ascii="楷体" w:hAnsi="楷体" w:eastAsia="楷体" w:cs="楷体"/>
          <w:kern w:val="0"/>
          <w:sz w:val="32"/>
          <w:szCs w:val="32"/>
        </w:rPr>
      </w:pPr>
      <w:r>
        <w:rPr>
          <w:rFonts w:hint="eastAsia" w:ascii="楷体" w:hAnsi="楷体" w:eastAsia="楷体" w:cs="楷体"/>
          <w:kern w:val="0"/>
          <w:sz w:val="32"/>
          <w:szCs w:val="32"/>
        </w:rPr>
        <w:t>（一）深入实施全民参保计划</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聚焦新就业形态的就业人员、灵活就业人员、农民工、农村青壮年及在校大学生等重点群体，加强参保待遇的政策宣传引导，分类施策，实施精准扩面。持续完善“一人一档”的参保数据库，推进基本医保参保扩面。完善社会保险制度衔接，顺畅衔接基本养老保险和医疗保险在不同区域、不同制度间的转移接续流程。落实医保门诊的共济保障机制，提高基金使用的效率。</w:t>
      </w:r>
    </w:p>
    <w:p>
      <w:pPr>
        <w:spacing w:line="560" w:lineRule="exact"/>
        <w:ind w:firstLine="640" w:firstLineChars="200"/>
        <w:jc w:val="left"/>
        <w:rPr>
          <w:rFonts w:ascii="楷体" w:hAnsi="楷体" w:eastAsia="楷体" w:cs="楷体"/>
          <w:kern w:val="0"/>
          <w:sz w:val="32"/>
          <w:szCs w:val="32"/>
        </w:rPr>
      </w:pPr>
      <w:r>
        <w:rPr>
          <w:rFonts w:hint="eastAsia" w:ascii="楷体" w:hAnsi="楷体" w:eastAsia="楷体" w:cs="楷体"/>
          <w:kern w:val="0"/>
          <w:sz w:val="32"/>
          <w:szCs w:val="32"/>
        </w:rPr>
        <w:t>（二）构建多元化的养老服务体系</w:t>
      </w:r>
    </w:p>
    <w:p>
      <w:pPr>
        <w:spacing w:line="56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优化区域养老服务。</w:t>
      </w:r>
      <w:r>
        <w:rPr>
          <w:rFonts w:hint="eastAsia" w:ascii="仿宋_GB2312" w:hAnsi="仿宋_GB2312" w:eastAsia="仿宋_GB2312" w:cs="仿宋_GB2312"/>
          <w:kern w:val="0"/>
          <w:sz w:val="32"/>
          <w:szCs w:val="32"/>
        </w:rPr>
        <w:t>支持发展社区嵌入式养老服务机构，推行“社区+物业+养老服务”，提供日间照料、康复护理和助餐助浴等上门服务，逐步将居家服务覆盖全区。推动公办养老机构提质增效，重点为经济困难的失能、高龄老年人提供服务。鼓励社会资本建设高端养老社区，满足多样化需求。</w:t>
      </w:r>
      <w:r>
        <w:rPr>
          <w:rFonts w:hint="eastAsia" w:ascii="仿宋_GB2312" w:hAnsi="仿宋_GB2312" w:eastAsia="仿宋_GB2312" w:cs="仿宋_GB2312"/>
          <w:bCs/>
          <w:kern w:val="0"/>
          <w:sz w:val="32"/>
          <w:szCs w:val="32"/>
        </w:rPr>
        <w:t>促进养老服务消费，</w:t>
      </w:r>
      <w:r>
        <w:rPr>
          <w:rFonts w:hint="eastAsia" w:ascii="仿宋_GB2312" w:hAnsi="仿宋_GB2312" w:eastAsia="仿宋_GB2312" w:cs="仿宋_GB2312"/>
          <w:kern w:val="0"/>
          <w:sz w:val="32"/>
          <w:szCs w:val="32"/>
        </w:rPr>
        <w:t>对符合条件的失能老年人按照要求发放养老服务消费补贴。</w:t>
      </w:r>
      <w:r>
        <w:rPr>
          <w:rFonts w:hint="eastAsia" w:ascii="仿宋_GB2312" w:hAnsi="仿宋_GB2312" w:eastAsia="仿宋_GB2312" w:cs="仿宋_GB2312"/>
          <w:bCs/>
          <w:kern w:val="0"/>
          <w:sz w:val="32"/>
          <w:szCs w:val="32"/>
        </w:rPr>
        <w:t>推进“医养结合”深度融合，</w:t>
      </w:r>
      <w:r>
        <w:rPr>
          <w:rFonts w:hint="eastAsia" w:ascii="仿宋_GB2312" w:hAnsi="仿宋_GB2312" w:eastAsia="仿宋_GB2312" w:cs="仿宋_GB2312"/>
          <w:kern w:val="0"/>
          <w:sz w:val="32"/>
          <w:szCs w:val="32"/>
        </w:rPr>
        <w:t>支持养老机构内设医疗机构或与周边医疗机构签订合作协议，鼓励和支持中医医疗机构与养老机构开展合作。</w:t>
      </w:r>
    </w:p>
    <w:p>
      <w:pPr>
        <w:spacing w:line="560" w:lineRule="exact"/>
        <w:ind w:firstLine="640" w:firstLineChars="200"/>
        <w:jc w:val="left"/>
        <w:rPr>
          <w:rFonts w:ascii="楷体" w:hAnsi="楷体" w:eastAsia="楷体" w:cs="楷体"/>
          <w:kern w:val="0"/>
          <w:sz w:val="32"/>
          <w:szCs w:val="32"/>
        </w:rPr>
      </w:pPr>
      <w:r>
        <w:rPr>
          <w:rFonts w:hint="eastAsia" w:ascii="楷体" w:hAnsi="楷体" w:eastAsia="楷体" w:cs="楷体"/>
          <w:kern w:val="0"/>
          <w:sz w:val="32"/>
          <w:szCs w:val="32"/>
        </w:rPr>
        <w:t>（三）优化住房保障体系</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健全多主体供给、多渠道保障的住房制度。</w:t>
      </w:r>
      <w:r>
        <w:rPr>
          <w:rFonts w:hint="eastAsia" w:ascii="仿宋_GB2312" w:hAnsi="仿宋_GB2312" w:eastAsia="仿宋_GB2312" w:cs="仿宋_GB2312"/>
          <w:kern w:val="0"/>
          <w:sz w:val="32"/>
          <w:szCs w:val="32"/>
        </w:rPr>
        <w:t>加大保障性租赁住房的建设和供给，重点解决新市民、青年人和基本公共服务人员的住房困难。通过新建、配建和改建等方式筹集房源。规范住房租赁市场，保护租赁双方合法权益。稳妥实施农村危房改造，</w:t>
      </w:r>
      <w:r>
        <w:rPr>
          <w:rFonts w:hint="eastAsia" w:ascii="仿宋_GB2312" w:hAnsi="仿宋_GB2312" w:eastAsia="仿宋_GB2312" w:cs="仿宋_GB2312"/>
          <w:bCs/>
          <w:kern w:val="0"/>
          <w:sz w:val="32"/>
          <w:szCs w:val="32"/>
        </w:rPr>
        <w:t>持续推动海棠区特别是垦区困难群体的危房动态排查和改造工作，改善居住条件。</w:t>
      </w:r>
    </w:p>
    <w:p>
      <w:pPr>
        <w:spacing w:line="560" w:lineRule="exact"/>
        <w:ind w:firstLine="640" w:firstLineChars="200"/>
        <w:jc w:val="left"/>
        <w:rPr>
          <w:rFonts w:ascii="楷体" w:hAnsi="楷体" w:eastAsia="楷体" w:cs="楷体"/>
          <w:kern w:val="0"/>
          <w:sz w:val="32"/>
          <w:szCs w:val="32"/>
        </w:rPr>
      </w:pPr>
      <w:r>
        <w:rPr>
          <w:rFonts w:hint="eastAsia" w:ascii="楷体" w:hAnsi="楷体" w:eastAsia="楷体" w:cs="楷体"/>
          <w:kern w:val="0"/>
          <w:sz w:val="32"/>
          <w:szCs w:val="32"/>
        </w:rPr>
        <w:t>（四）强化社会救助与福利体系</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健全以最低生活保障、特困人员供养为基础，专项救助（教育、医疗、住房和就业）为支撑，急难救助为补充，社会力量充分参与的“大救助”格局。依托“大数据+铁脚板”线上筛查和线下摸排机制，进一步扩大救助覆盖面。逐步拓展儿童和残疾人等特殊群体的福利范围和服务内容，规划新建一处残疾人儿童康复场所，逐步为海棠区残疾儿童提供更全面的康复服务。</w:t>
      </w:r>
    </w:p>
    <w:p>
      <w:pPr>
        <w:tabs>
          <w:tab w:val="left" w:pos="426"/>
        </w:tabs>
        <w:spacing w:line="560" w:lineRule="exact"/>
        <w:ind w:firstLine="640" w:firstLineChars="200"/>
        <w:jc w:val="left"/>
        <w:rPr>
          <w:rFonts w:ascii="楷体" w:hAnsi="楷体" w:eastAsia="楷体" w:cs="楷体"/>
          <w:kern w:val="0"/>
          <w:sz w:val="32"/>
          <w:szCs w:val="32"/>
        </w:rPr>
      </w:pPr>
      <w:r>
        <w:rPr>
          <w:rFonts w:hint="eastAsia" w:ascii="楷体" w:hAnsi="楷体" w:eastAsia="楷体" w:cs="楷体"/>
          <w:kern w:val="0"/>
          <w:sz w:val="32"/>
          <w:szCs w:val="32"/>
        </w:rPr>
        <w:t>（五）推动社区治理与服务创新</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打造“完整社区”，在新建和更新区域，配套建设便利店、菜店、食堂、邮件和快件寄递服务设施、理发店、维修点和家政服务网点等便民商业服务设施，形成“15分钟便民生活圈”。培育社区社会组织与社区文化，支持成立社区志愿者协会、老年协会和文艺社团等，开展邻里互助、养老托幼和文化活动。丰富社区公共文化生活，以常态化的邻里交往活动作为基层治理的润滑剂与凝聚力助推器。加强农贸市场建设和管理，提升生活性服务业供给质量和水平，解决“买菜难、卖菜难”问题，为居民提供更加便捷、舒适、安全的购物环境。</w:t>
      </w:r>
    </w:p>
    <w:p>
      <w:pPr>
        <w:tabs>
          <w:tab w:val="left" w:pos="426"/>
        </w:tabs>
        <w:spacing w:line="560" w:lineRule="exact"/>
        <w:ind w:firstLine="640" w:firstLineChars="200"/>
        <w:jc w:val="left"/>
        <w:rPr>
          <w:rFonts w:ascii="楷体" w:hAnsi="楷体" w:eastAsia="楷体" w:cs="楷体"/>
          <w:kern w:val="0"/>
          <w:sz w:val="32"/>
          <w:szCs w:val="32"/>
        </w:rPr>
      </w:pPr>
      <w:r>
        <w:rPr>
          <w:rFonts w:hint="eastAsia" w:ascii="楷体" w:hAnsi="楷体" w:eastAsia="楷体" w:cs="楷体"/>
          <w:kern w:val="0"/>
          <w:sz w:val="32"/>
          <w:szCs w:val="32"/>
        </w:rPr>
        <w:t>（六）完善外国人工作生活民生保障</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为推动海棠国旅游消费的国际化进程，将进一步完善外国人的居住、就业和社会服务。鼓励外籍人员参与社会保障，推进医疗、教育、子女入学等公共服务的无障碍接入。为外籍人士提供多样化的文化交流和社会融合平台，提升他们的生活质量与归属感，促进国际化人才集聚。</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07" w:name="_Toc229555801"/>
      <w:bookmarkStart w:id="108" w:name="_Toc217846701"/>
      <w:bookmarkStart w:id="109" w:name="_Toc220742612"/>
      <w:r>
        <w:rPr>
          <w:rFonts w:hint="eastAsia" w:ascii="黑体" w:hAnsi="黑体" w:eastAsia="黑体" w:cs="黑体"/>
          <w:b w:val="0"/>
          <w:bCs w:val="0"/>
        </w:rPr>
        <w:t>第三节 推进教育优质均衡</w:t>
      </w:r>
      <w:bookmarkEnd w:id="107"/>
      <w:bookmarkEnd w:id="108"/>
      <w:bookmarkEnd w:id="109"/>
    </w:p>
    <w:p>
      <w:pPr>
        <w:spacing w:line="560" w:lineRule="exact"/>
        <w:ind w:firstLine="640" w:firstLineChars="200"/>
        <w:rPr>
          <w:rFonts w:ascii="楷体" w:hAnsi="楷体" w:eastAsia="楷体" w:cs="楷体"/>
          <w:bCs/>
          <w:kern w:val="0"/>
          <w:sz w:val="32"/>
          <w:szCs w:val="32"/>
        </w:rPr>
      </w:pPr>
      <w:r>
        <w:rPr>
          <w:rFonts w:hint="eastAsia" w:ascii="楷体" w:hAnsi="楷体" w:eastAsia="楷体" w:cs="楷体"/>
          <w:bCs/>
          <w:kern w:val="0"/>
          <w:sz w:val="32"/>
          <w:szCs w:val="32"/>
        </w:rPr>
        <w:t>（一）坚持立德树人</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深入实施“立德树人固本行动”，健全党政领导进校园讲思政课的长效机制，统筹推进“红绿蓝”特色中小幼德育体系，有效推动“大思政课”建设增效。规划区内省市级研学精品路线，推动行走的思政课“走深走实”。深入实施素质教育，深化“五育融合”，实施“体美劳补短板”行动和劳动习惯养成计划，提升学生实践能力、社会适应力和创新能力，打造“轻负高质”的教育生态，引导学生健康成长、全面发展。</w:t>
      </w:r>
    </w:p>
    <w:p>
      <w:pPr>
        <w:spacing w:line="560" w:lineRule="exact"/>
        <w:ind w:firstLine="640" w:firstLineChars="200"/>
        <w:rPr>
          <w:rFonts w:ascii="楷体" w:hAnsi="楷体" w:eastAsia="楷体" w:cs="楷体"/>
          <w:bCs/>
          <w:kern w:val="0"/>
          <w:sz w:val="32"/>
          <w:szCs w:val="32"/>
        </w:rPr>
      </w:pPr>
      <w:r>
        <w:rPr>
          <w:rFonts w:hint="eastAsia" w:ascii="楷体" w:hAnsi="楷体" w:eastAsia="楷体" w:cs="楷体"/>
          <w:bCs/>
          <w:kern w:val="0"/>
          <w:sz w:val="32"/>
          <w:szCs w:val="32"/>
        </w:rPr>
        <w:t>（二）实施各学段质量提升工程</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推动“基础教育质量跃升”，实施“初中强校”与“小学提质”工程，建设一批义务教育标准化管理示范校、新优质学校和“轻负高质”样板校，实现低年级作业“校内清零”。推进“学前普惠扩容”，新建、改扩建公办园3所，普惠性幼儿园覆盖率力争保持在100%，公办园在园幼儿占比达到60%，持续扩大省幼儿园保育教育质量提升实验园比例，培育新优质幼儿园的比例达到80%以上。实施“托幼一体化”试点，新增幼托位720个，率先探索“托育—幼儿园—小学”贯通培养。完成新一轮义务教育学校布局规划，稳妥撤并农村小规模学校，</w:t>
      </w:r>
      <w:r>
        <w:rPr>
          <w:rFonts w:hint="eastAsia" w:ascii="仿宋_GB2312" w:hAnsi="仿宋_GB2312" w:eastAsia="仿宋_GB2312" w:cs="仿宋_GB2312"/>
          <w:bCs/>
          <w:color w:val="auto"/>
          <w:kern w:val="0"/>
          <w:sz w:val="32"/>
          <w:szCs w:val="32"/>
        </w:rPr>
        <w:t>扎实推进与市属名校集团化办学深度合作。</w:t>
      </w:r>
      <w:r>
        <w:rPr>
          <w:rFonts w:hint="eastAsia" w:ascii="仿宋_GB2312" w:hAnsi="仿宋_GB2312" w:eastAsia="仿宋_GB2312" w:cs="仿宋_GB2312"/>
          <w:bCs/>
          <w:kern w:val="0"/>
          <w:sz w:val="32"/>
          <w:szCs w:val="32"/>
        </w:rPr>
        <w:t>实现农村寄宿制学校热水、淋浴、空调与医务室“四个全覆盖”。</w:t>
      </w:r>
    </w:p>
    <w:p>
      <w:pPr>
        <w:spacing w:line="560" w:lineRule="exact"/>
        <w:ind w:firstLine="640" w:firstLineChars="200"/>
        <w:rPr>
          <w:rFonts w:ascii="楷体" w:hAnsi="楷体" w:eastAsia="楷体" w:cs="楷体"/>
          <w:bCs/>
          <w:kern w:val="0"/>
          <w:sz w:val="32"/>
          <w:szCs w:val="32"/>
        </w:rPr>
      </w:pPr>
      <w:r>
        <w:rPr>
          <w:rFonts w:hint="eastAsia" w:ascii="楷体" w:hAnsi="楷体" w:eastAsia="楷体" w:cs="楷体"/>
          <w:bCs/>
          <w:kern w:val="0"/>
          <w:sz w:val="32"/>
          <w:szCs w:val="32"/>
        </w:rPr>
        <w:t>（三）深化教育服务融合创新发展</w:t>
      </w:r>
    </w:p>
    <w:p>
      <w:pPr>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实施“产教融合提质行动”，引进一批合作院校与产业链企业，依托三亚中瑞酒店管理职业学院，培养更多技能人才。推进“数字教育赋能”，争创省级智慧教育示范区与智慧校园实验校，</w:t>
      </w:r>
      <w:r>
        <w:rPr>
          <w:rFonts w:hint="eastAsia" w:ascii="仿宋_GB2312" w:eastAsia="仿宋_GB2312"/>
          <w:bCs/>
          <w:kern w:val="0"/>
          <w:sz w:val="32"/>
          <w:szCs w:val="32"/>
        </w:rPr>
        <w:t>开设人工智能通识课程，实现教师信息技术应用能力中级以上100%达标。</w:t>
      </w:r>
      <w:r>
        <w:rPr>
          <w:rFonts w:hint="eastAsia" w:ascii="仿宋_GB2312" w:hAnsi="仿宋_GB2312" w:eastAsia="仿宋_GB2312" w:cs="仿宋_GB2312"/>
          <w:bCs/>
          <w:kern w:val="0"/>
          <w:sz w:val="32"/>
          <w:szCs w:val="32"/>
        </w:rPr>
        <w:t>开展“教育开放协同”，深化与省内外著名高校合作共建实习实训基地，每年选派校长及优秀教师赴国内顶尖师范院校研修，挖掘林旺中学</w:t>
      </w:r>
      <w:r>
        <w:rPr>
          <w:rFonts w:hint="eastAsia" w:ascii="仿宋_GB2312" w:hAnsi="仿宋_GB2312" w:eastAsia="仿宋_GB2312" w:cs="仿宋_GB2312"/>
          <w:bCs/>
          <w:color w:val="auto"/>
          <w:kern w:val="0"/>
          <w:sz w:val="32"/>
          <w:szCs w:val="32"/>
        </w:rPr>
        <w:t>兴办</w:t>
      </w:r>
      <w:r>
        <w:rPr>
          <w:rFonts w:hint="eastAsia" w:ascii="仿宋_GB2312" w:hAnsi="仿宋_GB2312" w:eastAsia="仿宋_GB2312" w:cs="仿宋_GB2312"/>
          <w:bCs/>
          <w:kern w:val="0"/>
          <w:sz w:val="32"/>
          <w:szCs w:val="32"/>
        </w:rPr>
        <w:t>公办高中潜力，支持三亚杜威国际高中建成一所高水准的民办高中，</w:t>
      </w:r>
      <w:r>
        <w:rPr>
          <w:rFonts w:hint="eastAsia" w:ascii="仿宋_GB2312" w:hAnsi="仿宋_GB2312" w:eastAsia="仿宋_GB2312" w:cs="仿宋_GB2312"/>
          <w:bCs/>
          <w:color w:val="auto"/>
          <w:kern w:val="0"/>
          <w:sz w:val="32"/>
          <w:szCs w:val="32"/>
        </w:rPr>
        <w:t>引进国内名校合作</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bCs/>
          <w:kern w:val="0"/>
          <w:sz w:val="32"/>
          <w:szCs w:val="32"/>
        </w:rPr>
        <w:t>打造“海棠教育论坛”品牌，举办年度教育高端论坛。</w:t>
      </w:r>
    </w:p>
    <w:p>
      <w:pPr>
        <w:spacing w:line="560" w:lineRule="exact"/>
        <w:ind w:firstLine="640" w:firstLineChars="200"/>
        <w:rPr>
          <w:rFonts w:ascii="楷体" w:hAnsi="楷体" w:eastAsia="楷体" w:cs="楷体"/>
          <w:bCs/>
          <w:kern w:val="0"/>
          <w:sz w:val="32"/>
          <w:szCs w:val="32"/>
        </w:rPr>
      </w:pPr>
      <w:r>
        <w:rPr>
          <w:rFonts w:hint="eastAsia" w:ascii="楷体" w:hAnsi="楷体" w:eastAsia="楷体" w:cs="楷体"/>
          <w:bCs/>
          <w:kern w:val="0"/>
          <w:sz w:val="32"/>
          <w:szCs w:val="32"/>
        </w:rPr>
        <w:t>（四）强化队伍建设与综合治理</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推进“教师队伍卓越行动”，实施“教育英才”计划，引进和培养一批硕士、省级名师及区级骨干教师，建成区级教师发展中心，实现年培训教师数量5000人次左右，并通过深化“县管校聘”实现教师年交流比例不低于10%。实施“教育治理创新”，创成国家义务教育优质均衡县（市、区），持续巩固县域学前教育普及普惠发展成果。实现“一校一章程”全覆盖，建立并推广“政府—学校—教师—学生”四维评价模型。落实“教育民生暖心行动”，完善学生资助体系，实施“护眼、护脊、护心”工程，力争儿童青少年近视率年均下降1个百分点，建成覆盖全区的心理健康教育与“家校社”协同育人网络，家庭教育覆盖率达80%以上。</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10" w:name="_Toc220742613"/>
      <w:bookmarkStart w:id="111" w:name="_Toc217846702"/>
      <w:bookmarkStart w:id="112" w:name="_Toc229555802"/>
      <w:r>
        <w:rPr>
          <w:rFonts w:hint="eastAsia" w:ascii="黑体" w:hAnsi="黑体" w:eastAsia="黑体" w:cs="黑体"/>
          <w:b w:val="0"/>
          <w:bCs w:val="0"/>
        </w:rPr>
        <w:t>第四节 提升医疗卫生健康水平</w:t>
      </w:r>
      <w:bookmarkEnd w:id="110"/>
      <w:bookmarkEnd w:id="111"/>
      <w:bookmarkEnd w:id="112"/>
    </w:p>
    <w:p>
      <w:pPr>
        <w:spacing w:line="560" w:lineRule="exact"/>
        <w:ind w:left="640"/>
        <w:rPr>
          <w:rFonts w:ascii="楷体" w:hAnsi="楷体" w:eastAsia="楷体" w:cs="楷体"/>
          <w:kern w:val="0"/>
          <w:sz w:val="32"/>
          <w:szCs w:val="32"/>
        </w:rPr>
      </w:pPr>
      <w:r>
        <w:rPr>
          <w:rFonts w:hint="eastAsia" w:ascii="楷体" w:hAnsi="楷体" w:eastAsia="楷体" w:cs="楷体"/>
          <w:kern w:val="0"/>
          <w:sz w:val="32"/>
          <w:szCs w:val="32"/>
        </w:rPr>
        <w:t>（一）深入实施健康优先发展战略</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持续提升爱国卫生运动成效，提高人均预期寿命。加快推进疾控体系改革，织密公共卫生风险防控网络，构建覆盖全域的传染病预警和症状监测系统。</w:t>
      </w:r>
    </w:p>
    <w:p>
      <w:pPr>
        <w:spacing w:line="560" w:lineRule="exact"/>
        <w:ind w:left="319" w:leftChars="152" w:firstLine="320" w:firstLineChars="100"/>
        <w:rPr>
          <w:rFonts w:ascii="楷体" w:hAnsi="楷体" w:eastAsia="楷体" w:cs="楷体"/>
          <w:kern w:val="0"/>
          <w:sz w:val="32"/>
          <w:szCs w:val="32"/>
        </w:rPr>
      </w:pPr>
      <w:r>
        <w:rPr>
          <w:rFonts w:hint="eastAsia" w:ascii="楷体" w:hAnsi="楷体" w:eastAsia="楷体" w:cs="楷体"/>
          <w:kern w:val="0"/>
          <w:sz w:val="32"/>
          <w:szCs w:val="32"/>
        </w:rPr>
        <w:t>（二）打造医疗卫生“四大”工程</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是疾控体系建设工程。构建覆盖全区的症状监测与传染病预警系统，接入诊所、药店等前端哨点。二是基层服务能力标准化建设工程。对藤桥卫生院进行改扩建提升建设，对林旺医院、南田医院及5家社区卫生服务站进行设备添置，全面提升基层首诊和健康管理能力。三是医养结合示范工程。支持青田健康养护中心增设医疗护理型床位，试点“社区嵌入式”和慢性病管理示范医养结合模式，设置康复治疗区和日间照护中心，建设区级老年健康指导中心。四是康养旅居产品打造工程。推动医疗与旅游、康养深度融合，发展康复疗养、术后康复、中医调理、健康干预等康养旅居产品，探索“候鸟式”康养服务模式，完善连续性健康管理服务。。</w:t>
      </w:r>
    </w:p>
    <w:p>
      <w:pPr>
        <w:spacing w:line="560" w:lineRule="exact"/>
        <w:ind w:firstLine="640" w:firstLineChars="200"/>
        <w:rPr>
          <w:rFonts w:ascii="楷体" w:hAnsi="楷体" w:eastAsia="楷体" w:cs="楷体"/>
          <w:bCs/>
          <w:kern w:val="0"/>
          <w:sz w:val="32"/>
          <w:szCs w:val="32"/>
        </w:rPr>
      </w:pPr>
      <w:r>
        <w:rPr>
          <w:rFonts w:hint="eastAsia" w:ascii="楷体" w:hAnsi="楷体" w:eastAsia="楷体" w:cs="楷体"/>
          <w:bCs/>
          <w:kern w:val="0"/>
          <w:sz w:val="32"/>
          <w:szCs w:val="32"/>
        </w:rPr>
        <w:t>（三）实施基层医疗机构服务能力标准化建设</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依托南田医院、林旺卫生院等机构，推广“互联网+医疗健康”服务，提升基层首诊和慢病管理能力。支持民营医疗机构规范发展，丰富医疗服务供给。积极应对人口老龄化，加快建设区级老年健康指导中心，构建“15分钟城市健康服务圈”和“30分钟乡村健康服务圈”。</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（四）构建“一核多点”的康养产业格局</w:t>
      </w:r>
    </w:p>
    <w:p>
      <w:pPr>
        <w:spacing w:line="560" w:lineRule="exact"/>
        <w:ind w:firstLine="640" w:firstLineChars="200"/>
        <w:rPr>
          <w:rFonts w:ascii="仿宋_GB2312" w:hAnsi="宋体" w:eastAsia="仿宋_GB2312" w:cs="宋体"/>
          <w:bCs/>
          <w:kern w:val="0"/>
          <w:sz w:val="32"/>
          <w:szCs w:val="32"/>
        </w:rPr>
      </w:pPr>
      <w:r>
        <w:rPr>
          <w:rFonts w:hint="eastAsia" w:ascii="仿宋_GB2312" w:hAnsi="宋体" w:eastAsia="仿宋_GB2312" w:cs="宋体"/>
          <w:bCs/>
          <w:kern w:val="0"/>
          <w:sz w:val="32"/>
          <w:szCs w:val="32"/>
        </w:rPr>
        <w:t>依托解放军总医院海南医院为“康养核”，重点布局高端康养社区、专科医院等；以青田、林旺和藤桥等社区卫生机构为“康养点”，推广“社区医养驿站”模式，形成“15分钟康养服务圈”。通过“产业链党建联盟”等创新模式，推动“医疗+度假酒店”、“中医药+旅游/农业”和“保险/金融+康养社区”等跨界融合发展，探索“跨境康养”或“冬南夏北”双向旅居养老等创新业务模式。养老服务方面，大力发展银发经济，构建“低端有保障、普惠有市场、高端有选择”的多元化格局，鼓励“旅居养老”新业态，完善社区嵌入式养老、老年助餐、文体康复等服务，让本地居民和“候鸟”老人共享幸福晚年。</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（五）完善三医协同数智化平台建设</w:t>
      </w:r>
    </w:p>
    <w:p>
      <w:pPr>
        <w:spacing w:line="560" w:lineRule="exact"/>
        <w:ind w:firstLine="640" w:firstLineChars="200"/>
        <w:rPr>
          <w:rFonts w:ascii="仿宋_GB2312" w:hAnsi="宋体" w:eastAsia="仿宋_GB2312" w:cs="宋体"/>
          <w:bCs/>
          <w:kern w:val="0"/>
          <w:sz w:val="32"/>
          <w:szCs w:val="32"/>
        </w:rPr>
      </w:pPr>
      <w:r>
        <w:rPr>
          <w:rFonts w:hint="eastAsia" w:ascii="仿宋_GB2312" w:hAnsi="宋体" w:eastAsia="仿宋_GB2312" w:cs="宋体"/>
          <w:bCs/>
          <w:kern w:val="0"/>
          <w:sz w:val="32"/>
          <w:szCs w:val="32"/>
        </w:rPr>
        <w:t>紧扣海南省“十五五”规划三医协同发展与“三医联动一张网”数智化升级部署要求，全面完成辖区各级医疗机构三医平台全量接入、全域覆盖，实现医疗、医保、医药数据标准统一、一数一源、互联互通。健全平台常态化运维与安全管理机制，打通医保结算、药品监管、诊疗服务等各项业务协同链路，强化医保基金智能监管与基层医疗服务赋能，持续优化群众就医体验、降低就医成本，构建高效协同、智慧便民、监管有力的区域三医融合体系。</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13" w:name="_Toc229555803"/>
      <w:r>
        <w:rPr>
          <w:rFonts w:hint="eastAsia" w:ascii="黑体" w:hAnsi="黑体" w:eastAsia="黑体" w:cs="黑体"/>
          <w:b w:val="0"/>
          <w:bCs w:val="0"/>
        </w:rPr>
        <w:t>第五节 促进人口高质量发展</w:t>
      </w:r>
      <w:bookmarkEnd w:id="113"/>
    </w:p>
    <w:p>
      <w:pPr>
        <w:spacing w:line="560" w:lineRule="exact"/>
        <w:ind w:left="640"/>
        <w:rPr>
          <w:rFonts w:ascii="楷体" w:hAnsi="楷体" w:eastAsia="楷体" w:cs="楷体"/>
          <w:kern w:val="0"/>
          <w:sz w:val="32"/>
          <w:szCs w:val="32"/>
        </w:rPr>
      </w:pPr>
      <w:r>
        <w:rPr>
          <w:rFonts w:hint="eastAsia" w:ascii="楷体" w:hAnsi="楷体" w:eastAsia="楷体" w:cs="楷体"/>
          <w:kern w:val="0"/>
          <w:sz w:val="32"/>
          <w:szCs w:val="32"/>
        </w:rPr>
        <w:t>（一）健全覆盖全人群、全生命周期的人口服务体系</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持续完善“一老一小”服务，落实育儿补贴和生育休假制度，大力发展普惠托育服务，降低生育养育教育成本，积极创建儿童友好城市。</w:t>
      </w:r>
    </w:p>
    <w:p>
      <w:pPr>
        <w:spacing w:line="560" w:lineRule="exact"/>
        <w:ind w:left="640"/>
        <w:rPr>
          <w:rFonts w:ascii="楷体" w:hAnsi="楷体" w:eastAsia="楷体" w:cs="楷体"/>
          <w:kern w:val="0"/>
          <w:sz w:val="32"/>
          <w:szCs w:val="32"/>
        </w:rPr>
      </w:pPr>
      <w:r>
        <w:rPr>
          <w:rFonts w:hint="eastAsia" w:ascii="楷体" w:hAnsi="楷体" w:eastAsia="楷体" w:cs="楷体"/>
          <w:kern w:val="0"/>
          <w:sz w:val="32"/>
          <w:szCs w:val="32"/>
        </w:rPr>
        <w:t>（二）优化人口结构，提升人口素质</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围绕高端旅游、现代服务业等需求，引导人口向技能化、专业化、年轻化发展。加大高素质人才引进培育，提升就业与产业匹配度。健全职业技能培训，针对酒店管理、免税零售、会展服务、康养护理、数字服务等重点领域开展培训，增强就业能力和收入。推动教育、终身学习与职业培训衔接，促进人口素质与产业升级协同。</w:t>
      </w:r>
    </w:p>
    <w:p>
      <w:pPr>
        <w:spacing w:line="560" w:lineRule="exact"/>
        <w:ind w:left="640"/>
        <w:rPr>
          <w:rFonts w:ascii="楷体" w:hAnsi="楷体" w:eastAsia="楷体" w:cs="楷体"/>
          <w:kern w:val="0"/>
          <w:sz w:val="32"/>
          <w:szCs w:val="32"/>
        </w:rPr>
      </w:pPr>
      <w:r>
        <w:rPr>
          <w:rFonts w:hint="eastAsia" w:ascii="楷体" w:hAnsi="楷体" w:eastAsia="楷体" w:cs="楷体"/>
          <w:kern w:val="0"/>
          <w:sz w:val="32"/>
          <w:szCs w:val="32"/>
        </w:rPr>
        <w:t>（三）完善人口服务条件和治理体系</w:t>
      </w:r>
    </w:p>
    <w:p>
      <w:pPr>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围绕人口集聚区域配置教育、医疗、托育、养老、文体等设施，提升基本公共服务均等化便利化，增强居住意愿和归属感。加强流动人口服务管理，完善居住登记、就业服务、子女教育和社会融入支持，提升人口治理精细化和人性化水平。</w:t>
      </w:r>
    </w:p>
    <w:p>
      <w:pPr>
        <w:spacing w:line="560" w:lineRule="exact"/>
        <w:ind w:left="640"/>
        <w:rPr>
          <w:rFonts w:ascii="楷体" w:hAnsi="楷体" w:eastAsia="楷体" w:cs="楷体"/>
          <w:kern w:val="0"/>
          <w:sz w:val="32"/>
          <w:szCs w:val="32"/>
        </w:rPr>
      </w:pPr>
      <w:r>
        <w:rPr>
          <w:rFonts w:hint="eastAsia" w:ascii="楷体" w:hAnsi="楷体" w:eastAsia="楷体" w:cs="楷体"/>
          <w:kern w:val="0"/>
          <w:sz w:val="32"/>
          <w:szCs w:val="32"/>
        </w:rPr>
        <w:t>（四）加强青年服务与发展</w:t>
      </w:r>
    </w:p>
    <w:p>
      <w:pPr>
        <w:spacing w:after="163" w:afterLines="50" w:line="560" w:lineRule="exact"/>
        <w:ind w:firstLine="640" w:firstLineChars="200"/>
        <w:rPr>
          <w:rFonts w:ascii="仿宋_GB2312" w:hAnsi="宋体" w:eastAsia="仿宋_GB2312" w:cs="宋体"/>
          <w:bCs/>
          <w:kern w:val="0"/>
          <w:sz w:val="32"/>
          <w:szCs w:val="32"/>
        </w:rPr>
      </w:pPr>
      <w:r>
        <w:rPr>
          <w:rFonts w:hint="eastAsia" w:ascii="仿宋_GB2312" w:hAnsi="仿宋_GB2312" w:eastAsia="仿宋_GB2312" w:cs="仿宋_GB2312"/>
          <w:bCs/>
          <w:kern w:val="0"/>
          <w:sz w:val="32"/>
          <w:szCs w:val="32"/>
        </w:rPr>
        <w:t>健全青年就业创业支持体系，拓宽职业发展通道，提供普惠性住房保障、租房补贴等。优化青年婚育服务，加强婚恋观、家庭观引导。丰富青年文化休闲、体育健身等公共空间，支持青年参与社会治理和社区建设，增强城市青年活力和归属感。</w:t>
      </w:r>
    </w:p>
    <w:tbl>
      <w:tblPr>
        <w:tblStyle w:val="21"/>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472" w:type="dxa"/>
          </w:tcPr>
          <w:p>
            <w:pPr>
              <w:snapToGrid w:val="0"/>
              <w:spacing w:before="163" w:beforeLines="50" w:after="163" w:afterLines="50" w:line="440" w:lineRule="exact"/>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专栏</w:t>
            </w:r>
            <w:r>
              <w:rPr>
                <w:rFonts w:ascii="Times New Roman" w:hAnsi="Times New Roman" w:eastAsia="黑体"/>
                <w:bCs/>
                <w:sz w:val="32"/>
                <w:szCs w:val="32"/>
              </w:rPr>
              <w:t>9</w:t>
            </w:r>
            <w:r>
              <w:rPr>
                <w:rFonts w:hint="eastAsia" w:ascii="Times New Roman" w:hAnsi="Times New Roman" w:eastAsia="黑体"/>
                <w:bCs/>
                <w:kern w:val="0"/>
                <w:sz w:val="32"/>
                <w:szCs w:val="32"/>
              </w:rPr>
              <w:t xml:space="preserve">  民生保障领域重点提升工程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472" w:type="dxa"/>
          </w:tcPr>
          <w:p>
            <w:pPr>
              <w:pStyle w:val="48"/>
              <w:spacing w:before="163" w:after="163" w:line="380" w:lineRule="exact"/>
              <w:ind w:firstLine="643"/>
              <w:rPr>
                <w:rFonts w:ascii="楷体" w:hAnsi="楷体"/>
                <w:sz w:val="32"/>
                <w:szCs w:val="32"/>
              </w:rPr>
            </w:pPr>
            <w:r>
              <w:rPr>
                <w:rFonts w:hint="eastAsia" w:ascii="楷体" w:hAnsi="楷体"/>
                <w:b/>
                <w:bCs/>
                <w:sz w:val="32"/>
                <w:szCs w:val="32"/>
              </w:rPr>
              <w:t>1.安置区建设与危房改造项目。</w:t>
            </w:r>
            <w:r>
              <w:rPr>
                <w:rFonts w:hint="eastAsia" w:ascii="楷体" w:hAnsi="楷体"/>
                <w:bCs/>
                <w:sz w:val="32"/>
                <w:szCs w:val="32"/>
              </w:rPr>
              <w:t>推动</w:t>
            </w:r>
            <w:r>
              <w:rPr>
                <w:rFonts w:hint="eastAsia" w:ascii="楷体" w:hAnsi="楷体"/>
                <w:sz w:val="32"/>
                <w:szCs w:val="32"/>
              </w:rPr>
              <w:t>湾坡安置区（二期）、藤桥安置区一期、三亚市海棠湾林旺中安置区(二期)项目、三亚市海棠湾青田片区危旧房改造（安居工程）项目三期建设。</w:t>
            </w:r>
          </w:p>
          <w:p>
            <w:pPr>
              <w:pStyle w:val="48"/>
              <w:spacing w:before="163" w:after="163" w:line="380" w:lineRule="exact"/>
              <w:ind w:firstLine="643"/>
              <w:rPr>
                <w:rFonts w:ascii="楷体" w:hAnsi="楷体"/>
                <w:sz w:val="32"/>
                <w:szCs w:val="32"/>
              </w:rPr>
            </w:pPr>
            <w:r>
              <w:rPr>
                <w:rFonts w:ascii="楷体" w:hAnsi="楷体"/>
                <w:b/>
                <w:sz w:val="32"/>
                <w:szCs w:val="32"/>
              </w:rPr>
              <w:t>2.</w:t>
            </w:r>
            <w:r>
              <w:rPr>
                <w:rFonts w:hint="eastAsia" w:ascii="楷体" w:hAnsi="楷体"/>
                <w:b/>
                <w:sz w:val="32"/>
                <w:szCs w:val="32"/>
              </w:rPr>
              <w:t>农贸市场建设项目。</w:t>
            </w:r>
            <w:r>
              <w:rPr>
                <w:rFonts w:hint="eastAsia" w:ascii="楷体" w:hAnsi="楷体"/>
                <w:sz w:val="32"/>
                <w:szCs w:val="32"/>
              </w:rPr>
              <w:t>结合海棠区实际需求，规划建设现代化农贸市场，通过引入冷链设施、优化摊位布局、加强市场管理等，提升食品安全与购物环境；并通过提供配送、老年人专区等便民服务，进一步提升社区生活质量。</w:t>
            </w:r>
          </w:p>
          <w:p>
            <w:pPr>
              <w:pStyle w:val="48"/>
              <w:spacing w:before="163" w:after="163" w:line="380" w:lineRule="exact"/>
              <w:ind w:firstLine="643"/>
              <w:rPr>
                <w:rFonts w:ascii="楷体" w:hAnsi="楷体"/>
                <w:sz w:val="32"/>
                <w:szCs w:val="32"/>
              </w:rPr>
            </w:pPr>
            <w:r>
              <w:rPr>
                <w:rFonts w:ascii="楷体" w:hAnsi="楷体"/>
                <w:b/>
                <w:bCs/>
                <w:sz w:val="32"/>
                <w:szCs w:val="32"/>
              </w:rPr>
              <w:t>3</w:t>
            </w:r>
            <w:r>
              <w:rPr>
                <w:rFonts w:hint="eastAsia" w:ascii="楷体" w:hAnsi="楷体"/>
                <w:b/>
                <w:bCs/>
                <w:sz w:val="32"/>
                <w:szCs w:val="32"/>
              </w:rPr>
              <w:t>.基础教育治理提升工程。</w:t>
            </w:r>
            <w:r>
              <w:rPr>
                <w:rFonts w:hint="eastAsia" w:ascii="楷体" w:hAnsi="楷体"/>
                <w:sz w:val="32"/>
                <w:szCs w:val="32"/>
              </w:rPr>
              <w:t>支持人大附中三亚学校打造一流名校；筹划林旺中学开办公办高中，支持三亚杜威国际高中建设；实施“初中强校”“小学提质”工程；新建、改扩建公办园3所。</w:t>
            </w:r>
          </w:p>
          <w:p>
            <w:pPr>
              <w:pStyle w:val="48"/>
              <w:spacing w:before="0" w:beforeLines="0" w:after="0" w:afterLines="0" w:line="380" w:lineRule="exact"/>
              <w:ind w:firstLine="643"/>
              <w:rPr>
                <w:rFonts w:ascii="楷体" w:hAnsi="楷体"/>
                <w:bCs/>
                <w:sz w:val="32"/>
                <w:szCs w:val="32"/>
              </w:rPr>
            </w:pPr>
            <w:r>
              <w:rPr>
                <w:rFonts w:ascii="楷体" w:hAnsi="楷体"/>
                <w:b/>
                <w:bCs/>
                <w:sz w:val="32"/>
                <w:szCs w:val="32"/>
              </w:rPr>
              <w:t>4</w:t>
            </w:r>
            <w:r>
              <w:rPr>
                <w:rFonts w:hint="eastAsia" w:ascii="楷体" w:hAnsi="楷体"/>
                <w:b/>
                <w:bCs/>
                <w:sz w:val="32"/>
                <w:szCs w:val="32"/>
              </w:rPr>
              <w:t>.基层医疗机构能力提升项目。</w:t>
            </w:r>
            <w:r>
              <w:rPr>
                <w:rFonts w:hint="eastAsia" w:ascii="楷体" w:hAnsi="楷体"/>
                <w:bCs/>
                <w:sz w:val="32"/>
                <w:szCs w:val="32"/>
              </w:rPr>
              <w:t>改扩建藤桥卫生院；为林旺医院、南田医院添置设备；提升5家社区卫生服务站；构建“一核多点”康养格局。</w:t>
            </w:r>
          </w:p>
          <w:p>
            <w:pPr>
              <w:snapToGrid w:val="0"/>
              <w:spacing w:after="163" w:afterLines="50" w:line="380" w:lineRule="exact"/>
              <w:ind w:firstLine="642" w:firstLineChars="200"/>
              <w:rPr>
                <w:rFonts w:ascii="Times New Roman" w:hAnsi="Times New Roman" w:eastAsia="黑体"/>
                <w:kern w:val="0"/>
                <w:sz w:val="32"/>
                <w:szCs w:val="32"/>
              </w:rPr>
            </w:pPr>
            <w:r>
              <w:rPr>
                <w:rFonts w:ascii="楷体" w:hAnsi="楷体" w:eastAsia="楷体" w:cs="楷体"/>
                <w:b/>
                <w:bCs/>
                <w:sz w:val="32"/>
                <w:szCs w:val="32"/>
              </w:rPr>
              <w:t>5</w:t>
            </w:r>
            <w:r>
              <w:rPr>
                <w:rFonts w:hint="eastAsia" w:ascii="楷体" w:hAnsi="楷体" w:eastAsia="楷体" w:cs="楷体"/>
                <w:b/>
                <w:bCs/>
                <w:sz w:val="32"/>
                <w:szCs w:val="32"/>
              </w:rPr>
              <w:t>.社区医养结合与旅居养老示范工程。</w:t>
            </w:r>
            <w:r>
              <w:rPr>
                <w:rFonts w:hint="eastAsia" w:ascii="楷体" w:hAnsi="楷体" w:eastAsia="楷体" w:cs="楷体"/>
                <w:bCs/>
                <w:sz w:val="32"/>
                <w:szCs w:val="32"/>
              </w:rPr>
              <w:t>建设社区嵌入式养老服务机构；推动养老机构内设医疗服务或合作协议；发展旅居养老项目，提供短期医疗、康复和文化生活服务。</w:t>
            </w:r>
          </w:p>
        </w:tc>
      </w:tr>
    </w:tbl>
    <w:p>
      <w:pPr>
        <w:pStyle w:val="3"/>
        <w:keepNext w:val="0"/>
        <w:keepLines w:val="0"/>
        <w:numPr>
          <w:ilvl w:val="255"/>
          <w:numId w:val="0"/>
        </w:numPr>
        <w:spacing w:before="0" w:after="0" w:line="640" w:lineRule="exact"/>
        <w:jc w:val="center"/>
        <w:rPr>
          <w:rFonts w:ascii="华文中宋" w:hAnsi="华文中宋" w:eastAsia="华文中宋" w:cs="___WRD_EMBED_SUB_45"/>
          <w:b w:val="0"/>
          <w:bCs/>
          <w:szCs w:val="44"/>
        </w:rPr>
      </w:pPr>
      <w:bookmarkStart w:id="114" w:name="_Toc217846704"/>
      <w:bookmarkStart w:id="115" w:name="_Toc220742614"/>
      <w:bookmarkStart w:id="116" w:name="_Toc229555804"/>
      <w:r>
        <w:rPr>
          <w:rFonts w:hint="eastAsia" w:ascii="华文中宋" w:hAnsi="华文中宋" w:eastAsia="华文中宋" w:cs="___WRD_EMBED_SUB_45"/>
          <w:b w:val="0"/>
          <w:bCs/>
          <w:szCs w:val="44"/>
        </w:rPr>
        <w:t>第十章 持续提升社会治理现代化水平</w:t>
      </w:r>
      <w:bookmarkEnd w:id="114"/>
      <w:bookmarkEnd w:id="115"/>
      <w:bookmarkEnd w:id="116"/>
    </w:p>
    <w:p>
      <w:pPr>
        <w:rPr>
          <w:sz w:val="30"/>
          <w:szCs w:val="30"/>
        </w:rPr>
      </w:pPr>
    </w:p>
    <w:p>
      <w:pPr>
        <w:spacing w:line="560" w:lineRule="exact"/>
        <w:ind w:firstLine="640" w:firstLineChars="200"/>
        <w:rPr>
          <w:rFonts w:ascii="仿宋_GB2312" w:eastAsia="仿宋_GB2312"/>
          <w:sz w:val="32"/>
          <w:szCs w:val="30"/>
        </w:rPr>
      </w:pPr>
      <w:r>
        <w:rPr>
          <w:rFonts w:hint="eastAsia" w:ascii="仿宋_GB2312" w:eastAsia="仿宋_GB2312"/>
          <w:sz w:val="32"/>
          <w:szCs w:val="30"/>
        </w:rPr>
        <w:t>以党建引领为核心，推动基层治理数字化转型，发展新时代“枫桥经验”。建设更高水平“平安海棠”，优化应急管理体系，严打违法犯罪，强化未成年人保护。系统强化政治、经济、海上走私与网络安全等多领域风险监测预警与防控能力，筑牢安全防线，确保社会大局和谐稳定。</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17" w:name="_Toc229555805"/>
      <w:bookmarkStart w:id="118" w:name="_Toc217846705"/>
      <w:bookmarkStart w:id="119" w:name="_Toc220742615"/>
      <w:r>
        <w:rPr>
          <w:rFonts w:hint="eastAsia" w:ascii="黑体" w:hAnsi="黑体" w:eastAsia="黑体" w:cs="黑体"/>
          <w:b w:val="0"/>
          <w:bCs w:val="0"/>
        </w:rPr>
        <w:t>第一节 创新基层治理模式</w:t>
      </w:r>
      <w:bookmarkEnd w:id="117"/>
      <w:bookmarkEnd w:id="118"/>
      <w:bookmarkEnd w:id="119"/>
    </w:p>
    <w:p>
      <w:pPr>
        <w:spacing w:line="560" w:lineRule="exact"/>
        <w:ind w:left="640"/>
        <w:rPr>
          <w:rFonts w:ascii="楷体" w:hAnsi="楷体" w:eastAsia="楷体" w:cs="楷体"/>
          <w:kern w:val="0"/>
          <w:sz w:val="32"/>
          <w:szCs w:val="32"/>
        </w:rPr>
      </w:pPr>
      <w:r>
        <w:rPr>
          <w:rFonts w:hint="eastAsia" w:ascii="楷体" w:hAnsi="楷体" w:eastAsia="楷体" w:cs="楷体"/>
          <w:kern w:val="0"/>
          <w:sz w:val="32"/>
          <w:szCs w:val="32"/>
        </w:rPr>
        <w:t>（一）推动基层治理数字化转型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党建引领这一核心，统筹推进“11431”基层治理体系建设，依托海南省综合整治管控系统，构建网格化、精细化、数字化的基层治理运行机制。整合综治、城管、应急等分散系统和多元治理力量，深化“雪亮工程”等数字化支撑，强化事件感知、快速研判和闭环处置能力。同步推广“一表通”等应用，推动数据共享和业务协同，切实减轻基层负担，实现治理效能提升与群众办事便利度同步增强。</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（二）坚持和发展新时代“枫桥经验”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完善矛盾纠纷多元化解机制，发挥“海棠夜话”干群对话品牌效应，利用好村规民约，提升村民自治水平。加强社区工作者队伍建设，强化网格化服务管理，打通服务群众的“最后一米”。完善社区党组织领导下的居民自治体系，推动“网格化管理+数字化赋能+群众化参与”模式，实现人、事、地、物和组织的全要素信息整合。</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（三）健全社会组织服务体系</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社会组织规范管理，推动社区服务、公共安全和生态保护等领域的社会组织，在公共服务中发挥积极作用。推动行业协会、商会等改革发展，引导志愿服务力量参与基层治理，构建“社工+志愿者+网格员”联动服务机制。定期组织群众代表、行业代表和专家学者共同参与基层公共事务决策，实现民意直达和共治共建。</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20" w:name="_Toc220742616"/>
      <w:bookmarkStart w:id="121" w:name="_Toc229555806"/>
      <w:bookmarkStart w:id="122" w:name="_Toc217846706"/>
      <w:r>
        <w:rPr>
          <w:rFonts w:hint="eastAsia" w:ascii="黑体" w:hAnsi="黑体" w:eastAsia="黑体" w:cs="黑体"/>
          <w:b w:val="0"/>
          <w:bCs w:val="0"/>
        </w:rPr>
        <w:t>第二节 建设更高水平“平安海棠”</w:t>
      </w:r>
      <w:bookmarkEnd w:id="120"/>
      <w:bookmarkEnd w:id="121"/>
      <w:bookmarkEnd w:id="122"/>
    </w:p>
    <w:p>
      <w:pPr>
        <w:pStyle w:val="43"/>
        <w:numPr>
          <w:ilvl w:val="0"/>
          <w:numId w:val="1"/>
        </w:numPr>
        <w:spacing w:line="560" w:lineRule="exact"/>
        <w:ind w:firstLineChars="0"/>
        <w:rPr>
          <w:rFonts w:ascii="楷体" w:hAnsi="楷体" w:eastAsia="楷体" w:cs="楷体"/>
          <w:kern w:val="0"/>
          <w:sz w:val="32"/>
          <w:szCs w:val="32"/>
        </w:rPr>
      </w:pPr>
      <w:r>
        <w:rPr>
          <w:rFonts w:hint="eastAsia" w:ascii="楷体" w:hAnsi="楷体" w:eastAsia="楷体" w:cs="楷体"/>
          <w:kern w:val="0"/>
          <w:sz w:val="32"/>
          <w:szCs w:val="32"/>
        </w:rPr>
        <w:t>优化应急管理体系</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强化应急响应与联动指挥，建立应急响应“黄金15分钟机制”，形成区级统筹、村（社区）联动的应急指挥体系。完善应急救援队伍和物资储备体系，增设南北两端应急物资储备仓库及应急避难场所，重点提升应对台风、洪涝等自然灾害及重大突发公共事件的处置保障能力。健全风险隐患常态化防控与人员分级分类转移机制，加强低洼易涝区、地质灾害隐患点、危房等重点区域管控，筑牢群众生命安全防线。优化消防、医疗救援和社会志愿应急力量布局，加快推进后海片区消防站建设，确保关键时刻“调得动、用得上、救得快”。</w:t>
      </w:r>
    </w:p>
    <w:p>
      <w:pPr>
        <w:numPr>
          <w:ilvl w:val="0"/>
          <w:numId w:val="2"/>
        </w:num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常态化扫黑除恶与严打整治</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决打击“黄赌毒”、电信网络诈骗及洗钱等突出违法犯罪活动，维护良好的社会治安秩序。依托上级部门统一部署的反洗钱和资金监测体系，强化区级协同联动和信息应用能力，配合开展大额交易和可疑资金流线索研判，实时监测大额、可疑交易，重点防范通过数字人民币、第三方支付与虚拟资产等新型渠道的异常流动，强化特定行业反洗钱义务。</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（三）强化未成年人保护</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深化“护苗”专项行动，构建家庭、学校、社会、网络、政府及司法“六位一体”的未成年人保护大格局，预防和治理未成年人违法犯罪。</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（四）探索群防群治新模式</w:t>
      </w:r>
    </w:p>
    <w:p>
      <w:pPr>
        <w:spacing w:after="163" w:afterLines="5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构建专群结合、联防联控的社会治安防控体系。推进“智慧警务+社区共治”模式，实现警务数据与社区治理数据融合共享，提升治安防控智能化水平。在主要旅游区与居住区推广智能巡防、应急互助和邻里守望机制。</w:t>
      </w:r>
    </w:p>
    <w:tbl>
      <w:tblPr>
        <w:tblStyle w:val="21"/>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blHeader/>
        </w:trPr>
        <w:tc>
          <w:tcPr>
            <w:tcW w:w="8472" w:type="dxa"/>
          </w:tcPr>
          <w:p>
            <w:pPr>
              <w:snapToGrid w:val="0"/>
              <w:spacing w:before="163" w:beforeLines="50" w:after="163" w:afterLines="50" w:line="440" w:lineRule="exact"/>
              <w:jc w:val="center"/>
              <w:rPr>
                <w:rFonts w:ascii="Times New Roman" w:hAnsi="Times New Roman" w:eastAsia="黑体" w:cs="黑体"/>
                <w:kern w:val="0"/>
                <w:sz w:val="32"/>
                <w:szCs w:val="32"/>
              </w:rPr>
            </w:pPr>
            <w:r>
              <w:rPr>
                <w:rFonts w:hint="eastAsia" w:ascii="Times New Roman" w:hAnsi="Times New Roman" w:eastAsia="黑体" w:cs="黑体"/>
                <w:kern w:val="0"/>
                <w:sz w:val="32"/>
                <w:szCs w:val="32"/>
              </w:rPr>
              <w:t>专栏</w:t>
            </w:r>
            <w:r>
              <w:rPr>
                <w:rFonts w:ascii="Times New Roman" w:hAnsi="Times New Roman" w:eastAsia="黑体"/>
                <w:bCs/>
                <w:sz w:val="32"/>
                <w:szCs w:val="32"/>
              </w:rPr>
              <w:t>10</w:t>
            </w:r>
            <w:r>
              <w:rPr>
                <w:rFonts w:hint="eastAsia" w:ascii="Times New Roman" w:hAnsi="Times New Roman" w:eastAsia="黑体"/>
                <w:bCs/>
                <w:kern w:val="0"/>
                <w:sz w:val="32"/>
                <w:szCs w:val="32"/>
              </w:rPr>
              <w:t xml:space="preserve">  社会治理现代化能力重点提升工程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472" w:type="dxa"/>
          </w:tcPr>
          <w:p>
            <w:pPr>
              <w:snapToGrid w:val="0"/>
              <w:spacing w:before="163" w:beforeLines="50" w:line="440" w:lineRule="exact"/>
              <w:ind w:firstLine="642" w:firstLineChars="200"/>
              <w:jc w:val="left"/>
              <w:rPr>
                <w:rFonts w:ascii="楷体" w:hAnsi="楷体" w:eastAsia="楷体" w:cs="楷体"/>
                <w:kern w:val="0"/>
                <w:sz w:val="32"/>
                <w:szCs w:val="32"/>
              </w:rPr>
            </w:pPr>
            <w:r>
              <w:rPr>
                <w:rFonts w:ascii="楷体" w:hAnsi="楷体" w:eastAsia="楷体" w:cs="楷体"/>
                <w:b/>
                <w:bCs/>
                <w:kern w:val="0"/>
                <w:sz w:val="32"/>
                <w:szCs w:val="32"/>
              </w:rPr>
              <w:t>1.</w:t>
            </w:r>
            <w:r>
              <w:rPr>
                <w:rFonts w:hint="eastAsia"/>
              </w:rPr>
              <w:t xml:space="preserve"> </w:t>
            </w:r>
            <w:r>
              <w:rPr>
                <w:rFonts w:hint="eastAsia" w:ascii="楷体" w:hAnsi="楷体" w:eastAsia="楷体" w:cs="楷体"/>
                <w:b/>
                <w:bCs/>
                <w:kern w:val="0"/>
                <w:sz w:val="32"/>
                <w:szCs w:val="32"/>
              </w:rPr>
              <w:t>社区应急救援能力提升工程</w:t>
            </w:r>
            <w:r>
              <w:rPr>
                <w:rFonts w:ascii="楷体" w:hAnsi="楷体" w:eastAsia="楷体" w:cs="楷体"/>
                <w:b/>
                <w:bCs/>
                <w:kern w:val="0"/>
                <w:sz w:val="32"/>
                <w:szCs w:val="32"/>
              </w:rPr>
              <w:t>。</w:t>
            </w:r>
            <w:r>
              <w:rPr>
                <w:rFonts w:hint="eastAsia" w:ascii="楷体" w:hAnsi="楷体" w:eastAsia="楷体" w:cs="楷体"/>
                <w:kern w:val="0"/>
                <w:sz w:val="32"/>
                <w:szCs w:val="32"/>
              </w:rPr>
              <w:t>建设和完善后海片区等重点区域的应急救援设施，储备必要的救援物资，进行定期设备检查和队伍训练。整合消防、医疗、志愿者等多方力量，开展应急演练，强化社区应急联动机制和居民自救互救能力，确保灾害发生时能够及时调动资源、快速响应。</w:t>
            </w:r>
          </w:p>
          <w:p>
            <w:pPr>
              <w:snapToGrid w:val="0"/>
              <w:spacing w:after="163" w:afterLines="50" w:line="440" w:lineRule="exact"/>
              <w:ind w:firstLine="642" w:firstLineChars="200"/>
              <w:jc w:val="left"/>
              <w:rPr>
                <w:rFonts w:ascii="Times New Roman" w:hAnsi="Times New Roman" w:eastAsia="黑体"/>
                <w:kern w:val="0"/>
                <w:sz w:val="28"/>
                <w:szCs w:val="28"/>
              </w:rPr>
            </w:pPr>
            <w:r>
              <w:rPr>
                <w:rFonts w:ascii="楷体" w:hAnsi="楷体" w:eastAsia="楷体" w:cs="楷体"/>
                <w:b/>
                <w:bCs/>
                <w:kern w:val="0"/>
                <w:sz w:val="32"/>
                <w:szCs w:val="32"/>
              </w:rPr>
              <w:t>2.“智慧网格”治理平台项目。</w:t>
            </w:r>
            <w:r>
              <w:rPr>
                <w:rFonts w:hint="eastAsia" w:ascii="楷体" w:hAnsi="楷体" w:eastAsia="楷体" w:cs="楷体"/>
                <w:kern w:val="0"/>
                <w:sz w:val="32"/>
                <w:szCs w:val="32"/>
              </w:rPr>
              <w:t>推进“多网融合、一网统管”，升级整合政务、交通、教育、医疗、社保及旅游公共服务，实现跨部门数据共享、一站式服务、线上线下融合；实现事件感知、快速研判和闭环处置。</w:t>
            </w:r>
          </w:p>
        </w:tc>
      </w:tr>
    </w:tbl>
    <w:p>
      <w:pPr>
        <w:pStyle w:val="4"/>
        <w:spacing w:before="326" w:beforeLines="100" w:after="326" w:afterLines="100" w:line="560" w:lineRule="exact"/>
        <w:ind w:firstLine="640" w:firstLineChars="200"/>
        <w:jc w:val="center"/>
        <w:rPr>
          <w:rFonts w:ascii="黑体" w:hAnsi="黑体" w:eastAsia="黑体" w:cs="黑体"/>
          <w:b w:val="0"/>
          <w:bCs w:val="0"/>
        </w:rPr>
      </w:pPr>
      <w:bookmarkStart w:id="123" w:name="_Toc220742617"/>
      <w:bookmarkStart w:id="124" w:name="_Toc217846707"/>
      <w:bookmarkStart w:id="125" w:name="_Toc229555807"/>
      <w:r>
        <w:rPr>
          <w:rFonts w:hint="eastAsia" w:ascii="黑体" w:hAnsi="黑体" w:eastAsia="黑体" w:cs="黑体"/>
          <w:b w:val="0"/>
          <w:bCs w:val="0"/>
        </w:rPr>
        <w:t>第三节 强化风险监测预警</w:t>
      </w:r>
      <w:bookmarkEnd w:id="123"/>
      <w:bookmarkEnd w:id="124"/>
      <w:bookmarkEnd w:id="125"/>
    </w:p>
    <w:p>
      <w:pPr>
        <w:pStyle w:val="43"/>
        <w:spacing w:line="560" w:lineRule="exact"/>
        <w:ind w:firstLine="640"/>
        <w:rPr>
          <w:rFonts w:ascii="楷体" w:hAnsi="楷体" w:eastAsia="楷体" w:cs="楷体"/>
          <w:kern w:val="0"/>
          <w:sz w:val="32"/>
          <w:szCs w:val="32"/>
        </w:rPr>
      </w:pPr>
      <w:r>
        <w:rPr>
          <w:rFonts w:hint="eastAsia" w:ascii="楷体" w:hAnsi="楷体" w:eastAsia="楷体" w:cs="楷体"/>
          <w:kern w:val="0"/>
          <w:sz w:val="32"/>
          <w:szCs w:val="32"/>
        </w:rPr>
        <w:t>（一）维护政治与意识形态安全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始终把维护国家政治安全放在首位，坚决捍卫国家政权安全、制度安全。</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（二）筑牢反走私与海岸防线</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完善打击离岛免税“套代购”走私行为的联动协作机制，构建反走私综合治理体系。加快推进海警工作站和综合执法点实战化运行，强化社管平台高效运转，持续开展“三无”船舶清理整治，严防海上输入风险。推广应用“区块链+免税商品溯源”平台，为每件免税商品赋予唯一数字“身份证”，实现全链条可追溯，严打“套代购”行为。</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（三）防范化解经济金融风险</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聚焦房地产、地方政府债务与中小金融机构等重点领域，加强风险研判和协同处置，做到早发现、早预警、早处置。建立风险企业画像与动态管理机制，对信用等级低、风险高的企业加大稽查频次和力度。</w:t>
      </w:r>
    </w:p>
    <w:p>
      <w:pPr>
        <w:spacing w:line="560" w:lineRule="exact"/>
        <w:ind w:firstLine="640" w:firstLineChars="200"/>
        <w:rPr>
          <w:rFonts w:ascii="楷体" w:hAnsi="楷体" w:eastAsia="楷体" w:cs="楷体"/>
          <w:kern w:val="0"/>
          <w:sz w:val="32"/>
          <w:szCs w:val="32"/>
        </w:rPr>
      </w:pPr>
      <w:r>
        <w:rPr>
          <w:rFonts w:hint="eastAsia" w:ascii="楷体" w:hAnsi="楷体" w:eastAsia="楷体" w:cs="楷体"/>
          <w:kern w:val="0"/>
          <w:sz w:val="32"/>
          <w:szCs w:val="32"/>
        </w:rPr>
        <w:t>（四）加强网络与数据安全管理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立网络安全防护体系，加强政府数据、旅游数据和支付信息安全管理，防范网络攻击与数据泄漏风险。完善网络舆情监测与应对机制，及时发现并化解风险。强化网络安全宣传教育，在学校、社区和企业开展教育活动，增强公众安全意识。依托省级网络安全运营平台，加强对政务系统、关键信息基础设施进行7×24小时监测，及时处置网络攻击事件。划定数据分类管理边界，明确重要数据和个人敏感信息目录，在保障安全前提下探索数据跨境流动“白名单”机制。</w:t>
      </w:r>
    </w:p>
    <w:p>
      <w:pPr>
        <w:widowControl/>
        <w:jc w:val="left"/>
        <w:rPr>
          <w:rFonts w:ascii="华文中宋" w:hAnsi="华文中宋" w:eastAsia="华文中宋" w:cs="___WRD_EMBED_SUB_45"/>
          <w:bCs/>
          <w:kern w:val="44"/>
          <w:sz w:val="44"/>
          <w:szCs w:val="44"/>
        </w:rPr>
      </w:pPr>
      <w:bookmarkStart w:id="126" w:name="_Toc220742618"/>
      <w:bookmarkStart w:id="127" w:name="_Toc217846708"/>
      <w:r>
        <w:rPr>
          <w:rFonts w:ascii="华文中宋" w:hAnsi="华文中宋" w:eastAsia="华文中宋" w:cs="___WRD_EMBED_SUB_45"/>
          <w:b/>
          <w:bCs/>
          <w:szCs w:val="44"/>
        </w:rPr>
        <w:br w:type="page"/>
      </w:r>
    </w:p>
    <w:p>
      <w:pPr>
        <w:pStyle w:val="3"/>
        <w:numPr>
          <w:ilvl w:val="255"/>
          <w:numId w:val="0"/>
        </w:numPr>
        <w:spacing w:before="0" w:after="0" w:line="560" w:lineRule="exact"/>
        <w:jc w:val="center"/>
        <w:rPr>
          <w:rFonts w:ascii="华文中宋" w:hAnsi="华文中宋" w:eastAsia="华文中宋" w:cs="___WRD_EMBED_SUB_45"/>
          <w:b w:val="0"/>
          <w:bCs/>
          <w:szCs w:val="44"/>
        </w:rPr>
      </w:pPr>
      <w:bookmarkStart w:id="128" w:name="_Toc229555808"/>
      <w:r>
        <w:rPr>
          <w:rFonts w:hint="eastAsia" w:ascii="华文中宋" w:hAnsi="华文中宋" w:eastAsia="华文中宋" w:cs="___WRD_EMBED_SUB_45"/>
          <w:b w:val="0"/>
          <w:bCs/>
          <w:szCs w:val="44"/>
        </w:rPr>
        <w:t>第十一章 强化实施保障确保蓝图落地见效</w:t>
      </w:r>
      <w:bookmarkEnd w:id="126"/>
      <w:bookmarkEnd w:id="127"/>
      <w:bookmarkEnd w:id="128"/>
    </w:p>
    <w:p>
      <w:pPr>
        <w:rPr>
          <w:sz w:val="30"/>
          <w:szCs w:val="30"/>
        </w:rPr>
      </w:pPr>
    </w:p>
    <w:p>
      <w:pPr>
        <w:spacing w:line="560" w:lineRule="exact"/>
        <w:ind w:firstLine="640" w:firstLineChars="200"/>
        <w:rPr>
          <w:rFonts w:ascii="仿宋_GB2312" w:eastAsia="仿宋_GB2312"/>
          <w:sz w:val="32"/>
          <w:szCs w:val="32"/>
        </w:rPr>
      </w:pPr>
      <w:bookmarkStart w:id="129" w:name="OLE_LINK1"/>
      <w:bookmarkStart w:id="130" w:name="OLE_LINK2"/>
      <w:r>
        <w:rPr>
          <w:rFonts w:hint="eastAsia" w:ascii="仿宋_GB2312" w:eastAsia="仿宋_GB2312"/>
          <w:sz w:val="32"/>
          <w:szCs w:val="32"/>
        </w:rPr>
        <w:t>坚持和加强党的全面领导，发挥总揽全局作用。建立健全规划工作推进机制。强化财政金融、土地、人才与法治等关键要素精准供给。广泛凝聚社会共识与力量，搭建公众参与平台，激发全社会共建共享的内生动力，为规划全面落地提供坚实的政治保证、机制保障与社会支撑。</w:t>
      </w:r>
    </w:p>
    <w:bookmarkEnd w:id="129"/>
    <w:bookmarkEnd w:id="130"/>
    <w:p>
      <w:pPr>
        <w:pStyle w:val="4"/>
        <w:spacing w:before="326" w:beforeLines="100" w:after="326" w:afterLines="100" w:line="560" w:lineRule="exact"/>
        <w:ind w:firstLine="640" w:firstLineChars="200"/>
        <w:jc w:val="center"/>
        <w:rPr>
          <w:rFonts w:ascii="黑体" w:hAnsi="黑体" w:eastAsia="黑体" w:cs="黑体"/>
          <w:b w:val="0"/>
          <w:bCs w:val="0"/>
        </w:rPr>
      </w:pPr>
      <w:bookmarkStart w:id="131" w:name="_Toc217846709"/>
      <w:bookmarkStart w:id="132" w:name="_Toc229555809"/>
      <w:bookmarkStart w:id="133" w:name="_Toc220742619"/>
      <w:r>
        <w:rPr>
          <w:rFonts w:hint="eastAsia" w:ascii="黑体" w:hAnsi="黑体" w:eastAsia="黑体" w:cs="黑体"/>
          <w:b w:val="0"/>
          <w:bCs w:val="0"/>
        </w:rPr>
        <w:t>第一节 加强党的全面领导</w:t>
      </w:r>
      <w:bookmarkEnd w:id="131"/>
      <w:bookmarkEnd w:id="132"/>
      <w:bookmarkEnd w:id="133"/>
    </w:p>
    <w:p>
      <w:pPr>
        <w:spacing w:line="560" w:lineRule="exact"/>
        <w:ind w:firstLine="640" w:firstLineChars="200"/>
        <w:rPr>
          <w:rFonts w:ascii="仿宋_GB2312" w:hAnsi="宋体" w:eastAsia="仿宋_GB2312" w:cs="宋体"/>
          <w:kern w:val="0"/>
          <w:sz w:val="32"/>
          <w:szCs w:val="32"/>
        </w:rPr>
      </w:pPr>
      <w:r>
        <w:rPr>
          <w:rFonts w:hint="eastAsia" w:ascii="仿宋_GB2312" w:hAnsi="仿宋_GB2312" w:eastAsia="仿宋_GB2312" w:cs="仿宋_GB2312"/>
          <w:sz w:val="32"/>
          <w:szCs w:val="32"/>
        </w:rPr>
        <w:t>坚决贯彻落实党中央重大决策和习近平总书记重要指示批示精神，确保中央、省委、市委决策部署在海棠区一贯到底、落地生根。充分发挥党委总揽全局、协调各方的领导核心作用，把党的领导贯穿于规划实施各领域全过程。筑牢基层战斗堡垒，深入实施党建引领高质量发展工程。增强基层党组织功能，打造党建示范带。加强村（社区）班子建设，创新“两新”组织党建，激励党员在一线建功立业。锻造高素质专业化青年干部队伍，坚持新时代好干部标准。完善干部考核评价体系，强化专业训练与实践锻炼，深化“青棠璞玉”品牌，打造过硬队伍。</w:t>
      </w:r>
      <w:r>
        <w:rPr>
          <w:rFonts w:hint="eastAsia" w:ascii="仿宋_GB2312" w:hAnsi="宋体" w:eastAsia="仿宋_GB2312" w:cs="宋体"/>
          <w:kern w:val="0"/>
          <w:sz w:val="32"/>
          <w:szCs w:val="32"/>
        </w:rPr>
        <w:t>纵深推进清廉海棠建设，</w:t>
      </w:r>
      <w:r>
        <w:rPr>
          <w:rFonts w:hint="eastAsia" w:ascii="仿宋_GB2312" w:hAnsi="仿宋_GB2312" w:eastAsia="仿宋_GB2312" w:cs="仿宋_GB2312"/>
          <w:sz w:val="32"/>
          <w:szCs w:val="32"/>
        </w:rPr>
        <w:t>全面从严治党，完善权力监督制约机制。坚持全过程人民民主，强化对规划实施、政策落地与项目建设的全过程监督，营造风清气正的政治生态。</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34" w:name="_Toc229555810"/>
      <w:bookmarkStart w:id="135" w:name="_Toc217846710"/>
      <w:bookmarkStart w:id="136" w:name="_Toc220742620"/>
      <w:r>
        <w:rPr>
          <w:rFonts w:hint="eastAsia" w:ascii="黑体" w:hAnsi="黑体" w:eastAsia="黑体" w:cs="黑体"/>
          <w:b w:val="0"/>
          <w:bCs w:val="0"/>
        </w:rPr>
        <w:t>第二节 健全规划工作推进机制</w:t>
      </w:r>
      <w:bookmarkEnd w:id="134"/>
      <w:bookmarkEnd w:id="135"/>
      <w:bookmarkEnd w:id="136"/>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bCs/>
          <w:kern w:val="0"/>
          <w:sz w:val="32"/>
          <w:szCs w:val="32"/>
        </w:rPr>
        <w:t>设置年度计划与报告制度，</w:t>
      </w:r>
      <w:r>
        <w:rPr>
          <w:rFonts w:hint="eastAsia" w:ascii="仿宋_GB2312" w:hAnsi="宋体" w:eastAsia="仿宋_GB2312" w:cs="宋体"/>
          <w:kern w:val="0"/>
          <w:sz w:val="32"/>
          <w:szCs w:val="32"/>
        </w:rPr>
        <w:t>将五年规划目标分解到每个年度，制定年度国民经济和社会发展计划，明确年度重点工作和考核指标。做好规划动态调整，结合自贸港政策落地成效、国内外发展环境变化及海棠发展的新要求，开展规划中期评估，按法定程序调整需优化的指标和任务，确保规划科学性与适应性平衡。加强</w:t>
      </w:r>
      <w:r>
        <w:rPr>
          <w:rFonts w:hint="eastAsia" w:ascii="仿宋_GB2312" w:hAnsi="宋体" w:eastAsia="仿宋_GB2312" w:cs="宋体"/>
          <w:bCs/>
          <w:kern w:val="0"/>
          <w:sz w:val="32"/>
          <w:szCs w:val="32"/>
        </w:rPr>
        <w:t>动态监测评估，</w:t>
      </w:r>
      <w:r>
        <w:rPr>
          <w:rFonts w:hint="eastAsia" w:ascii="仿宋_GB2312" w:hAnsi="宋体" w:eastAsia="仿宋_GB2312" w:cs="宋体"/>
          <w:kern w:val="0"/>
          <w:sz w:val="32"/>
          <w:szCs w:val="32"/>
        </w:rPr>
        <w:t>建立健全规划实施监测评估体系，鼓励引入第三方机构，对规划指标、任务进展和政策效果进行跟踪分析和中期评估。</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37" w:name="_Toc217846711"/>
      <w:bookmarkStart w:id="138" w:name="_Toc229555811"/>
      <w:bookmarkStart w:id="139" w:name="_Toc220742621"/>
      <w:r>
        <w:rPr>
          <w:rFonts w:hint="eastAsia" w:ascii="黑体" w:hAnsi="黑体" w:eastAsia="黑体" w:cs="黑体"/>
          <w:b w:val="0"/>
          <w:bCs w:val="0"/>
        </w:rPr>
        <w:t>第三节 强化关键发展要素保障</w:t>
      </w:r>
      <w:bookmarkEnd w:id="137"/>
      <w:bookmarkEnd w:id="138"/>
      <w:bookmarkEnd w:id="139"/>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加强财政金融与政策保障，统筹财政资金，引导金融及社会资本合规参与建设，积极向上争取专项政策和资源支持。保障土地与人才关键要素，</w:t>
      </w:r>
      <w:r>
        <w:rPr>
          <w:rFonts w:hint="eastAsia" w:ascii="仿宋_GB2312" w:eastAsia="仿宋_GB2312" w:cs="仿宋_GB2312"/>
          <w:color w:val="auto"/>
          <w:sz w:val="32"/>
          <w:szCs w:val="32"/>
          <w:lang w:bidi="ar"/>
        </w:rPr>
        <w:t>健全规划衔接机制，统筹衔接国土空间规划与全省自然灾害综合风险普查成果，实现空间管控与风险防控闭环落地，保障重点项目用地规范。</w:t>
      </w:r>
      <w:r>
        <w:rPr>
          <w:rFonts w:hint="eastAsia" w:ascii="仿宋_GB2312" w:hAnsi="仿宋_GB2312" w:eastAsia="仿宋_GB2312" w:cs="仿宋_GB2312"/>
          <w:sz w:val="32"/>
          <w:szCs w:val="32"/>
        </w:rPr>
        <w:t>落实人才政策，升级“海棠青雁”品牌，完善一站式服务，精准培育与引进各类人才；实施“海才兴旅”引育机制,积极推动三亚市现代服务业市域产教联合体建设，构建“人才培养、产业服务、就业创业”三位一体的产教融合生态体系，促进人才交流合作、资源共享。</w:t>
      </w:r>
    </w:p>
    <w:p>
      <w:pPr>
        <w:spacing w:beforeLines="0" w:afterLines="0" w:line="560" w:lineRule="exact"/>
        <w:ind w:firstLine="640" w:firstLineChars="200"/>
        <w:outlineLvl w:val="9"/>
        <w:rPr>
          <w:rFonts w:ascii="仿宋_GB2312" w:hAnsi="宋体" w:eastAsia="仿宋_GB2312" w:cs="宋体"/>
          <w:color w:val="auto"/>
          <w:kern w:val="0"/>
          <w:sz w:val="32"/>
          <w:szCs w:val="32"/>
        </w:rPr>
      </w:pPr>
      <w:r>
        <w:rPr>
          <w:rFonts w:hint="eastAsia" w:ascii="仿宋_GB2312" w:hAnsi="仿宋_GB2312" w:eastAsia="仿宋_GB2312" w:cs="仿宋_GB2312"/>
          <w:color w:val="auto"/>
          <w:sz w:val="32"/>
          <w:szCs w:val="32"/>
          <w:u w:val="single" w:color="FFFFFF" w:themeColor="background1"/>
        </w:rPr>
        <w:t>坚持全面依法治区，系统深化法治体制机制建设与治理能力现代化提升。纵深推进法治政府建设，严格落实行政规范性文件合法性审核、备案审查全链条管理，健全行政争议实质性化解长效机制，推动行政矛盾源头治理、就地化解、闭环清零。坚持以法治固化改革创新成果，加快推动治理举措、政策举措制度化规范化，实现由“政策红利”向“制度红利”的长效跃升。健全全域综合性法治评价体系，常态化提升领导干部运用法治思维和法治方式深化改革、推动发展、化解矛盾、维护稳定、应对风险的能力。全面推进法治社会建设，提档升级法治文化阵地建设，构建全方位、立体化、常态化法治宣传教育体系，持续提升全民法治素养和全社会法治化治理水平。</w:t>
      </w:r>
      <w:r>
        <w:rPr>
          <w:rFonts w:ascii="仿宋_GB2312" w:hAnsi="宋体" w:eastAsia="仿宋_GB2312" w:cs="宋体"/>
          <w:color w:val="auto"/>
          <w:kern w:val="0"/>
          <w:sz w:val="32"/>
          <w:szCs w:val="32"/>
        </w:rPr>
        <w:t xml:space="preserve"> </w:t>
      </w:r>
    </w:p>
    <w:p>
      <w:pPr>
        <w:pStyle w:val="4"/>
        <w:spacing w:before="326" w:beforeLines="100" w:after="326" w:afterLines="100" w:line="560" w:lineRule="exact"/>
        <w:ind w:firstLine="640" w:firstLineChars="200"/>
        <w:jc w:val="center"/>
        <w:rPr>
          <w:rFonts w:ascii="黑体" w:hAnsi="黑体" w:eastAsia="黑体" w:cs="黑体"/>
          <w:b w:val="0"/>
          <w:bCs w:val="0"/>
        </w:rPr>
      </w:pPr>
      <w:bookmarkStart w:id="140" w:name="_Toc220742622"/>
      <w:bookmarkStart w:id="141" w:name="_Toc217846712"/>
      <w:bookmarkStart w:id="142" w:name="_Toc229555812"/>
      <w:r>
        <w:rPr>
          <w:rFonts w:hint="eastAsia" w:ascii="黑体" w:hAnsi="黑体" w:eastAsia="黑体" w:cs="黑体"/>
          <w:b w:val="0"/>
          <w:bCs w:val="0"/>
        </w:rPr>
        <w:t>第四节 广泛凝聚社会力量</w:t>
      </w:r>
      <w:bookmarkEnd w:id="140"/>
      <w:bookmarkEnd w:id="141"/>
      <w:bookmarkEnd w:id="142"/>
    </w:p>
    <w:p>
      <w:pPr>
        <w:spacing w:line="560" w:lineRule="exact"/>
        <w:ind w:firstLine="640" w:firstLineChars="200"/>
        <w:rPr>
          <w:rFonts w:ascii="仿宋_GB2312" w:hAnsi="宋体" w:eastAsia="仿宋_GB2312" w:cs="宋体"/>
          <w:kern w:val="0"/>
          <w:sz w:val="32"/>
          <w:szCs w:val="32"/>
        </w:rPr>
      </w:pPr>
      <w:r>
        <w:rPr>
          <w:rFonts w:hint="eastAsia" w:ascii="仿宋_GB2312" w:hAnsi="仿宋_GB2312" w:eastAsia="仿宋_GB2312" w:cs="仿宋_GB2312"/>
          <w:sz w:val="32"/>
          <w:szCs w:val="32"/>
        </w:rPr>
        <w:t>推进规划公开与公众参与，依法做好信息发布，通报实施进展。搭建多元参与平台，鼓励社会各界参与规划实施、监督与评估。营造共建共享社会氛围，加强规划解读宣传，增进社会认知认同。深化军民融合，激发军政军民团结发展的凝聚力。激发人民主人翁意识，发挥群团组织作用，凝聚推动发展、共享成果的强大合力。</w:t>
      </w:r>
    </w:p>
    <w:p>
      <w:pPr>
        <w:widowControl/>
        <w:jc w:val="left"/>
        <w:rPr>
          <w:rFonts w:ascii="仿宋_GB2312" w:hAnsi="宋体" w:eastAsia="仿宋_GB2312" w:cs="宋体"/>
          <w:kern w:val="0"/>
          <w:sz w:val="32"/>
          <w:szCs w:val="32"/>
        </w:rPr>
      </w:pPr>
      <w:r>
        <w:rPr>
          <w:rFonts w:ascii="仿宋_GB2312" w:hAnsi="宋体" w:eastAsia="仿宋_GB2312" w:cs="宋体"/>
          <w:kern w:val="0"/>
          <w:sz w:val="32"/>
          <w:szCs w:val="32"/>
        </w:rPr>
        <w:br w:type="page"/>
      </w:r>
    </w:p>
    <w:p>
      <w:pPr>
        <w:tabs>
          <w:tab w:val="left" w:pos="1276"/>
        </w:tabs>
        <w:spacing w:line="560" w:lineRule="exact"/>
        <w:rPr>
          <w:rFonts w:ascii="仿宋_GB2312" w:hAnsi="仿宋_GB2312" w:eastAsia="仿宋_GB2312" w:cs="仿宋_GB2312"/>
          <w:sz w:val="32"/>
          <w:szCs w:val="32"/>
        </w:rPr>
      </w:pPr>
      <w:r>
        <w:rPr>
          <w:rFonts w:hint="eastAsia" w:ascii="宋体" w:hAnsi="宋体" w:cs="仿宋_GB2312"/>
          <w:sz w:val="32"/>
          <w:szCs w:val="32"/>
        </w:rPr>
        <w:t>附录</w:t>
      </w:r>
      <w:r>
        <w:rPr>
          <w:rFonts w:hint="eastAsia" w:ascii="仿宋_GB2312" w:hAnsi="仿宋_GB2312" w:eastAsia="仿宋_GB2312" w:cs="仿宋_GB2312"/>
          <w:sz w:val="32"/>
          <w:szCs w:val="32"/>
        </w:rPr>
        <w:t>：</w:t>
      </w:r>
    </w:p>
    <w:p>
      <w:pPr>
        <w:pStyle w:val="52"/>
        <w:tabs>
          <w:tab w:val="left" w:pos="1276"/>
        </w:tabs>
        <w:spacing w:line="560" w:lineRule="exact"/>
        <w:ind w:left="640" w:firstLine="0" w:firstLineChars="0"/>
        <w:jc w:val="center"/>
        <w:rPr>
          <w:rFonts w:ascii="宋体" w:hAnsi="宋体" w:cs="仿宋_GB2312"/>
          <w:b/>
          <w:sz w:val="40"/>
          <w:szCs w:val="32"/>
        </w:rPr>
      </w:pPr>
      <w:bookmarkStart w:id="143" w:name="_Toc220742623"/>
      <w:r>
        <w:rPr>
          <w:rFonts w:hint="eastAsia" w:ascii="宋体" w:hAnsi="宋体" w:cs="仿宋_GB2312"/>
          <w:b/>
          <w:sz w:val="40"/>
          <w:szCs w:val="32"/>
        </w:rPr>
        <w:t>名词解释</w:t>
      </w:r>
      <w:bookmarkEnd w:id="143"/>
    </w:p>
    <w:p>
      <w:pPr>
        <w:tabs>
          <w:tab w:val="left" w:pos="1276"/>
        </w:tabs>
        <w:spacing w:line="560" w:lineRule="exact"/>
        <w:ind w:firstLine="642" w:firstLineChars="200"/>
        <w:rPr>
          <w:rFonts w:ascii="仿宋_GB2312" w:hAnsi="仿宋_GB2312" w:eastAsia="仿宋_GB2312" w:cs="仿宋_GB2312"/>
          <w:b/>
          <w:sz w:val="32"/>
          <w:szCs w:val="32"/>
        </w:rPr>
      </w:pPr>
    </w:p>
    <w:p>
      <w:pPr>
        <w:pStyle w:val="52"/>
        <w:numPr>
          <w:ilvl w:val="0"/>
          <w:numId w:val="3"/>
        </w:numPr>
        <w:tabs>
          <w:tab w:val="left" w:pos="993"/>
        </w:tabs>
        <w:spacing w:line="560" w:lineRule="exact"/>
        <w:ind w:left="0" w:firstLine="640" w:firstLineChars="0"/>
        <w:rPr>
          <w:rFonts w:ascii="仿宋_GB2312" w:hAnsi="仿宋_GB2312" w:eastAsia="仿宋_GB2312" w:cs="仿宋_GB2312"/>
          <w:b/>
          <w:bCs/>
        </w:rPr>
      </w:pPr>
      <w:bookmarkStart w:id="144" w:name="_Toc220742624"/>
      <w:r>
        <w:rPr>
          <w:rFonts w:hint="eastAsia" w:ascii="仿宋_GB2312" w:hAnsi="仿宋_GB2312" w:eastAsia="仿宋_GB2312" w:cs="仿宋_GB2312"/>
          <w:b/>
          <w:sz w:val="32"/>
          <w:szCs w:val="32"/>
        </w:rPr>
        <w:t>一本三基四梁八柱</w:t>
      </w:r>
      <w:r>
        <w:rPr>
          <w:rFonts w:hint="eastAsia" w:ascii="仿宋_GB2312" w:hAnsi="仿宋_GB2312" w:eastAsia="仿宋_GB2312" w:cs="仿宋_GB2312"/>
          <w:sz w:val="32"/>
          <w:szCs w:val="32"/>
        </w:rPr>
        <w:t>：坚持以习近平总书记关于海南工作的系列重要讲话和指示批示精神为根本遵循，以《中共中央</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国务院关于支持海南全面深化改革开放的指导意见》《海南自由贸易港建设总体方案》《中华人民共和国海南自由贸易港法》为制度基石，以全面深化改革开放试验区、国家生态文明试验区、国际旅游消费中心、国家重大战略服务保障区为目标定位，以政策环境、法治环境、营商环境、生态环境、经济发展体系、社会治理体系、风险防控体系、组织领导体系为稳固支撑。</w:t>
      </w:r>
      <w:bookmarkEnd w:id="144"/>
    </w:p>
    <w:p>
      <w:pPr>
        <w:pStyle w:val="52"/>
        <w:numPr>
          <w:ilvl w:val="0"/>
          <w:numId w:val="3"/>
        </w:numPr>
        <w:tabs>
          <w:tab w:val="left" w:pos="993"/>
        </w:tabs>
        <w:spacing w:line="560" w:lineRule="exact"/>
        <w:ind w:left="0" w:firstLine="640" w:firstLineChars="0"/>
        <w:rPr>
          <w:rFonts w:ascii="仿宋_GB2312" w:hAnsi="仿宋_GB2312" w:eastAsia="仿宋_GB2312" w:cs="仿宋_GB2312"/>
        </w:rPr>
      </w:pPr>
      <w:bookmarkStart w:id="145" w:name="_Toc220742625"/>
      <w:r>
        <w:rPr>
          <w:rFonts w:hint="eastAsia" w:ascii="仿宋_GB2312" w:hAnsi="仿宋_GB2312" w:eastAsia="仿宋_GB2312" w:cs="仿宋_GB2312"/>
          <w:b/>
          <w:sz w:val="32"/>
          <w:szCs w:val="32"/>
        </w:rPr>
        <w:t>一标杆、五个区</w:t>
      </w:r>
      <w:r>
        <w:rPr>
          <w:rFonts w:hint="eastAsia" w:ascii="仿宋_GB2312" w:hAnsi="仿宋_GB2312" w:eastAsia="仿宋_GB2312" w:cs="仿宋_GB2312"/>
          <w:sz w:val="32"/>
          <w:szCs w:val="32"/>
        </w:rPr>
        <w:t>：海南自由贸易港建设标杆、国际旅游消费中心核心区、全国种业深海科技产业创新示范区、国家重大战略服务保障区、美丽中国先行区、全省城乡协调发展和两个文明提升样板区。</w:t>
      </w:r>
      <w:bookmarkEnd w:id="145"/>
    </w:p>
    <w:p>
      <w:pPr>
        <w:pStyle w:val="52"/>
        <w:numPr>
          <w:ilvl w:val="0"/>
          <w:numId w:val="3"/>
        </w:numPr>
        <w:tabs>
          <w:tab w:val="left" w:pos="993"/>
        </w:tabs>
        <w:spacing w:line="560" w:lineRule="exact"/>
        <w:ind w:left="0" w:firstLine="640" w:firstLineChars="0"/>
        <w:rPr>
          <w:rFonts w:ascii="仿宋_GB2312" w:hAnsi="仿宋_GB2312" w:eastAsia="仿宋_GB2312" w:cs="仿宋_GB2312"/>
          <w:b/>
          <w:bCs/>
        </w:rPr>
      </w:pPr>
      <w:r>
        <w:rPr>
          <w:rFonts w:hint="eastAsia" w:ascii="仿宋_GB2312" w:hAnsi="仿宋_GB2312" w:eastAsia="仿宋_GB2312" w:cs="仿宋_GB2312"/>
          <w:b/>
          <w:sz w:val="32"/>
          <w:szCs w:val="32"/>
        </w:rPr>
        <w:t>机器管招投标</w:t>
      </w:r>
      <w:r>
        <w:rPr>
          <w:rFonts w:hint="eastAsia" w:ascii="仿宋_GB2312" w:hAnsi="仿宋_GB2312" w:eastAsia="仿宋_GB2312" w:cs="仿宋_GB2312"/>
          <w:sz w:val="32"/>
          <w:szCs w:val="32"/>
        </w:rPr>
        <w:t>：运用大数据、区块链等智慧监管手段，实现对电子招投标的事中事后监管。</w:t>
      </w:r>
    </w:p>
    <w:p>
      <w:pPr>
        <w:pStyle w:val="52"/>
        <w:numPr>
          <w:ilvl w:val="0"/>
          <w:numId w:val="3"/>
        </w:numPr>
        <w:tabs>
          <w:tab w:val="left" w:pos="993"/>
        </w:tabs>
        <w:spacing w:line="560" w:lineRule="exact"/>
        <w:ind w:left="0" w:firstLine="640" w:firstLineChars="0"/>
        <w:rPr>
          <w:rFonts w:ascii="仿宋_GB2312" w:hAnsi="仿宋_GB2312" w:eastAsia="仿宋_GB2312" w:cs="仿宋_GB2312"/>
          <w:sz w:val="32"/>
          <w:szCs w:val="32"/>
        </w:rPr>
      </w:pPr>
      <w:bookmarkStart w:id="146" w:name="_Toc220742626"/>
      <w:r>
        <w:rPr>
          <w:rFonts w:hint="eastAsia" w:ascii="仿宋_GB2312" w:hAnsi="仿宋_GB2312" w:eastAsia="仿宋_GB2312" w:cs="仿宋_GB2312"/>
          <w:b/>
          <w:sz w:val="32"/>
          <w:szCs w:val="32"/>
        </w:rPr>
        <w:t>离岛免税</w:t>
      </w:r>
      <w:r>
        <w:rPr>
          <w:rFonts w:hint="eastAsia" w:ascii="仿宋_GB2312" w:hAnsi="仿宋_GB2312" w:eastAsia="仿宋_GB2312" w:cs="仿宋_GB2312"/>
          <w:sz w:val="32"/>
          <w:szCs w:val="32"/>
        </w:rPr>
        <w:t>：指符合条件的旅客（目前要求年满</w:t>
      </w:r>
      <w:r>
        <w:rPr>
          <w:rFonts w:ascii="仿宋_GB2312" w:hAnsi="仿宋_GB2312" w:eastAsia="仿宋_GB2312" w:cs="仿宋_GB2312"/>
          <w:sz w:val="32"/>
          <w:szCs w:val="32"/>
        </w:rPr>
        <w:t>16周岁）在离开海南岛前，在指定免税店购买的商品免征进口关税、进口环节增值税和消费税，并在离岛时提货或邮寄带离海南。</w:t>
      </w:r>
      <w:bookmarkEnd w:id="146"/>
      <w:bookmarkStart w:id="147" w:name="_Toc220742627"/>
    </w:p>
    <w:p>
      <w:pPr>
        <w:pStyle w:val="52"/>
        <w:numPr>
          <w:ilvl w:val="0"/>
          <w:numId w:val="3"/>
        </w:numPr>
        <w:tabs>
          <w:tab w:val="left" w:pos="993"/>
        </w:tabs>
        <w:spacing w:line="560" w:lineRule="exact"/>
        <w:ind w:left="0" w:firstLine="640" w:firstLineChars="0"/>
        <w:rPr>
          <w:rFonts w:ascii="仿宋_GB2312" w:hAnsi="仿宋_GB2312" w:eastAsia="仿宋_GB2312" w:cs="仿宋_GB2312"/>
          <w:sz w:val="32"/>
          <w:szCs w:val="32"/>
        </w:rPr>
      </w:pPr>
      <w:r>
        <w:rPr>
          <w:rFonts w:ascii="仿宋_GB2312" w:hAnsi="仿宋_GB2312" w:eastAsia="仿宋_GB2312" w:cs="仿宋_GB2312"/>
          <w:b/>
          <w:sz w:val="32"/>
          <w:szCs w:val="32"/>
        </w:rPr>
        <w:t>240小时过境免签</w:t>
      </w:r>
      <w:r>
        <w:rPr>
          <w:rFonts w:ascii="仿宋_GB2312" w:hAnsi="仿宋_GB2312" w:eastAsia="仿宋_GB2312" w:cs="仿宋_GB2312"/>
          <w:sz w:val="32"/>
          <w:szCs w:val="32"/>
        </w:rPr>
        <w:t>：是中国对符合条件的外国旅客实施的一项便利化入境政策，指外国人经中国过境前往第三国（地区）时，可在指定口岸免办签证停留最长240小时（10天）。</w:t>
      </w:r>
      <w:bookmarkEnd w:id="147"/>
      <w:bookmarkStart w:id="148" w:name="_Toc220742628"/>
    </w:p>
    <w:p>
      <w:pPr>
        <w:pStyle w:val="52"/>
        <w:numPr>
          <w:ilvl w:val="0"/>
          <w:numId w:val="3"/>
        </w:numPr>
        <w:tabs>
          <w:tab w:val="left" w:pos="993"/>
        </w:tabs>
        <w:spacing w:line="560" w:lineRule="exact"/>
        <w:ind w:left="0" w:firstLine="640" w:firstLineChars="0"/>
        <w:rPr>
          <w:rFonts w:ascii="仿宋_GB2312" w:hAnsi="仿宋_GB2312" w:eastAsia="仿宋_GB2312" w:cs="仿宋_GB2312"/>
          <w:sz w:val="32"/>
          <w:szCs w:val="32"/>
        </w:rPr>
      </w:pPr>
      <w:r>
        <w:rPr>
          <w:rFonts w:hint="eastAsia" w:ascii="仿宋_GB2312" w:hAnsi="仿宋_GB2312" w:eastAsia="仿宋_GB2312" w:cs="仿宋_GB2312"/>
          <w:b/>
          <w:sz w:val="32"/>
          <w:szCs w:val="32"/>
        </w:rPr>
        <w:t>离岸贸易</w:t>
      </w:r>
      <w:r>
        <w:rPr>
          <w:rFonts w:hint="eastAsia" w:ascii="仿宋_GB2312" w:hAnsi="仿宋_GB2312" w:eastAsia="仿宋_GB2312" w:cs="仿宋_GB2312"/>
          <w:sz w:val="32"/>
          <w:szCs w:val="32"/>
        </w:rPr>
        <w:t>：随跨国公司业务发展演化而来的一种新贸易模式，其最关键的特征是订单流、货物流和资金流“三流”分离。</w:t>
      </w:r>
      <w:bookmarkEnd w:id="148"/>
      <w:bookmarkStart w:id="149" w:name="_Toc220742629"/>
    </w:p>
    <w:p>
      <w:pPr>
        <w:pStyle w:val="52"/>
        <w:numPr>
          <w:ilvl w:val="0"/>
          <w:numId w:val="3"/>
        </w:numPr>
        <w:tabs>
          <w:tab w:val="left" w:pos="993"/>
        </w:tabs>
        <w:spacing w:line="560" w:lineRule="exact"/>
        <w:ind w:left="0" w:firstLine="640" w:firstLineChars="0"/>
        <w:rPr>
          <w:rFonts w:ascii="仿宋_GB2312" w:hAnsi="仿宋_GB2312" w:eastAsia="仿宋_GB2312" w:cs="仿宋_GB2312"/>
          <w:sz w:val="32"/>
          <w:szCs w:val="32"/>
        </w:rPr>
      </w:pPr>
      <w:r>
        <w:rPr>
          <w:rFonts w:hint="eastAsia" w:ascii="仿宋_GB2312" w:hAnsi="仿宋_GB2312" w:eastAsia="仿宋_GB2312" w:cs="仿宋_GB2312"/>
          <w:b/>
          <w:sz w:val="32"/>
          <w:szCs w:val="32"/>
        </w:rPr>
        <w:t>数字人民币跨境支付</w:t>
      </w:r>
      <w:r>
        <w:rPr>
          <w:rFonts w:hint="eastAsia" w:ascii="仿宋_GB2312" w:hAnsi="仿宋_GB2312" w:eastAsia="仿宋_GB2312" w:cs="仿宋_GB2312"/>
          <w:sz w:val="32"/>
          <w:szCs w:val="32"/>
        </w:rPr>
        <w:t>：指在跨境贸易、投资和人员往来中，使用数字人民币（</w:t>
      </w:r>
      <w:r>
        <w:rPr>
          <w:rFonts w:ascii="仿宋_GB2312" w:hAnsi="仿宋_GB2312" w:eastAsia="仿宋_GB2312" w:cs="仿宋_GB2312"/>
          <w:sz w:val="32"/>
          <w:szCs w:val="32"/>
        </w:rPr>
        <w:t>e-CNY）作为支付和结算工具，实现可控匿名、实时到账、成本更低的人民币跨境结算方式。</w:t>
      </w:r>
      <w:bookmarkEnd w:id="149"/>
      <w:bookmarkStart w:id="150" w:name="_Toc220742630"/>
    </w:p>
    <w:p>
      <w:pPr>
        <w:pStyle w:val="52"/>
        <w:numPr>
          <w:ilvl w:val="0"/>
          <w:numId w:val="3"/>
        </w:numPr>
        <w:tabs>
          <w:tab w:val="left" w:pos="993"/>
        </w:tabs>
        <w:spacing w:line="560" w:lineRule="exact"/>
        <w:ind w:left="0" w:firstLine="640" w:firstLineChars="0"/>
        <w:rPr>
          <w:rFonts w:ascii="仿宋_GB2312" w:hAnsi="仿宋_GB2312" w:eastAsia="仿宋_GB2312" w:cs="仿宋_GB2312"/>
          <w:sz w:val="32"/>
          <w:szCs w:val="32"/>
        </w:rPr>
      </w:pPr>
      <w:r>
        <w:rPr>
          <w:rFonts w:hint="eastAsia" w:ascii="仿宋_GB2312" w:hAnsi="仿宋_GB2312" w:eastAsia="仿宋_GB2312" w:cs="仿宋_GB2312"/>
          <w:b/>
          <w:sz w:val="32"/>
          <w:szCs w:val="32"/>
        </w:rPr>
        <w:t>三亚放心游</w:t>
      </w:r>
      <w:r>
        <w:rPr>
          <w:rFonts w:hint="eastAsia" w:ascii="仿宋_GB2312" w:hAnsi="仿宋_GB2312" w:eastAsia="仿宋_GB2312" w:cs="仿宋_GB2312"/>
          <w:sz w:val="32"/>
          <w:szCs w:val="32"/>
        </w:rPr>
        <w:t>：三亚市政府以创新手段打造的旅游服务品牌，通过科技赋能、制度创新和信用体系建设，让游客在三亚能够放心游玩、安心消费。</w:t>
      </w:r>
      <w:bookmarkEnd w:id="150"/>
    </w:p>
    <w:p>
      <w:pPr>
        <w:pStyle w:val="52"/>
        <w:numPr>
          <w:ilvl w:val="0"/>
          <w:numId w:val="3"/>
        </w:numPr>
        <w:tabs>
          <w:tab w:val="left" w:pos="993"/>
        </w:tabs>
        <w:spacing w:line="560" w:lineRule="exact"/>
        <w:ind w:left="0" w:firstLine="640" w:firstLineChars="0"/>
        <w:rPr>
          <w:rFonts w:ascii="仿宋_GB2312" w:hAnsi="仿宋_GB2312" w:eastAsia="仿宋_GB2312" w:cs="仿宋_GB2312"/>
          <w:sz w:val="32"/>
          <w:szCs w:val="32"/>
        </w:rPr>
      </w:pPr>
      <w:r>
        <w:rPr>
          <w:rFonts w:hint="eastAsia" w:ascii="仿宋_GB2312" w:hAnsi="仿宋_GB2312" w:eastAsia="仿宋_GB2312" w:cs="仿宋_GB2312"/>
          <w:b/>
          <w:sz w:val="32"/>
          <w:szCs w:val="32"/>
        </w:rPr>
        <w:t>三篇消费文章</w:t>
      </w:r>
      <w:r>
        <w:rPr>
          <w:rFonts w:hint="eastAsia" w:ascii="仿宋_GB2312" w:hAnsi="仿宋_GB2312" w:eastAsia="仿宋_GB2312" w:cs="仿宋_GB2312"/>
          <w:sz w:val="32"/>
          <w:szCs w:val="32"/>
        </w:rPr>
        <w:t>：指重点发展的“免税购物、医疗、教育” 三大消费领域。</w:t>
      </w:r>
    </w:p>
    <w:p>
      <w:pPr>
        <w:pStyle w:val="52"/>
        <w:numPr>
          <w:ilvl w:val="0"/>
          <w:numId w:val="3"/>
        </w:numPr>
        <w:tabs>
          <w:tab w:val="left" w:pos="993"/>
        </w:tabs>
        <w:spacing w:line="560" w:lineRule="exact"/>
        <w:ind w:left="0" w:firstLine="640" w:firstLineChars="0"/>
        <w:rPr>
          <w:rFonts w:ascii="仿宋_GB2312" w:hAnsi="仿宋_GB2312" w:eastAsia="仿宋_GB2312" w:cs="仿宋_GB2312"/>
          <w:b/>
          <w:bCs/>
        </w:rPr>
      </w:pPr>
      <w:bookmarkStart w:id="151" w:name="_Toc220742631"/>
      <w:r>
        <w:rPr>
          <w:rFonts w:hint="eastAsia" w:ascii="仿宋_GB2312" w:hAnsi="仿宋_GB2312" w:eastAsia="仿宋_GB2312" w:cs="仿宋_GB2312"/>
          <w:b/>
          <w:sz w:val="32"/>
          <w:szCs w:val="32"/>
        </w:rPr>
        <w:t>“三资”监管</w:t>
      </w:r>
      <w:r>
        <w:rPr>
          <w:rFonts w:hint="eastAsia" w:ascii="仿宋_GB2312" w:hAnsi="仿宋_GB2312" w:eastAsia="仿宋_GB2312" w:cs="仿宋_GB2312"/>
          <w:sz w:val="32"/>
          <w:szCs w:val="32"/>
        </w:rPr>
        <w:t>：中国农村对集体资金、资产、资源实施规范化、信息化监督的管理制度。其核心是通过电视、网站、</w:t>
      </w:r>
      <w:r>
        <w:rPr>
          <w:rFonts w:ascii="仿宋_GB2312" w:hAnsi="仿宋_GB2312" w:eastAsia="仿宋_GB2312" w:cs="仿宋_GB2312"/>
          <w:sz w:val="32"/>
          <w:szCs w:val="32"/>
        </w:rPr>
        <w:t>APP等平台公开财务收支、资产处置等信息，保障群众知情权、监督权与建议权。</w:t>
      </w:r>
      <w:bookmarkEnd w:id="151"/>
    </w:p>
    <w:p>
      <w:pPr>
        <w:pStyle w:val="52"/>
        <w:numPr>
          <w:ilvl w:val="0"/>
          <w:numId w:val="3"/>
        </w:numPr>
        <w:tabs>
          <w:tab w:val="left" w:pos="993"/>
        </w:tabs>
        <w:spacing w:line="560" w:lineRule="exact"/>
        <w:ind w:left="0" w:firstLine="640" w:firstLineChars="0"/>
        <w:rPr>
          <w:rFonts w:ascii="仿宋_GB2312" w:hAnsi="仿宋_GB2312" w:eastAsia="仿宋_GB2312" w:cs="仿宋_GB2312"/>
          <w:b/>
          <w:bCs/>
        </w:rPr>
      </w:pPr>
      <w:bookmarkStart w:id="152" w:name="_Toc220742632"/>
      <w:r>
        <w:rPr>
          <w:rFonts w:hint="eastAsia" w:ascii="仿宋_GB2312" w:hAnsi="仿宋_GB2312" w:eastAsia="仿宋_GB2312" w:cs="仿宋_GB2312"/>
          <w:b/>
          <w:sz w:val="32"/>
          <w:szCs w:val="32"/>
        </w:rPr>
        <w:t>“社区医养驿站”模式</w:t>
      </w:r>
      <w:r>
        <w:rPr>
          <w:rFonts w:hint="eastAsia" w:ascii="仿宋_GB2312" w:hAnsi="仿宋_GB2312" w:eastAsia="仿宋_GB2312" w:cs="仿宋_GB2312"/>
          <w:sz w:val="32"/>
          <w:szCs w:val="32"/>
        </w:rPr>
        <w:t>：是一种融合了基础医疗、康复护理和社区养老服务的创新型基层健康养老服务模式。旨在打通养老服务的“最后一公里”，让老年人在自己熟悉的社区环境中，就近、就便获得“医养结合”的综合性服务。</w:t>
      </w:r>
      <w:bookmarkEnd w:id="152"/>
    </w:p>
    <w:p>
      <w:pPr>
        <w:pStyle w:val="52"/>
        <w:numPr>
          <w:ilvl w:val="0"/>
          <w:numId w:val="3"/>
        </w:numPr>
        <w:tabs>
          <w:tab w:val="left" w:pos="993"/>
        </w:tabs>
        <w:spacing w:line="560" w:lineRule="exact"/>
        <w:ind w:left="0" w:firstLine="640" w:firstLineChars="0"/>
        <w:rPr>
          <w:rFonts w:ascii="仿宋_GB2312" w:hAnsi="仿宋_GB2312" w:eastAsia="仿宋_GB2312" w:cs="仿宋_GB2312"/>
          <w:b/>
          <w:bCs/>
        </w:rPr>
      </w:pPr>
      <w:bookmarkStart w:id="153" w:name="_Toc220742633"/>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11431”基层治理体系：</w:t>
      </w:r>
      <w:r>
        <w:rPr>
          <w:rFonts w:ascii="仿宋_GB2312" w:hAnsi="仿宋_GB2312" w:eastAsia="仿宋_GB2312" w:cs="仿宋_GB2312"/>
          <w:sz w:val="32"/>
          <w:szCs w:val="32"/>
        </w:rPr>
        <w:t>第一个“1”</w:t>
      </w:r>
      <w:r>
        <w:rPr>
          <w:rFonts w:hint="eastAsia" w:ascii="仿宋_GB2312" w:hAnsi="仿宋_GB2312" w:eastAsia="仿宋_GB2312" w:cs="仿宋_GB2312"/>
          <w:sz w:val="32"/>
          <w:szCs w:val="32"/>
        </w:rPr>
        <w:t>指完善省、市县、乡镇（街道）、村（社区）党对基层治理全面领导机制，第二个“</w:t>
      </w:r>
      <w:r>
        <w:rPr>
          <w:rFonts w:ascii="仿宋_GB2312" w:hAnsi="仿宋_GB2312" w:eastAsia="仿宋_GB2312" w:cs="仿宋_GB2312"/>
          <w:sz w:val="32"/>
          <w:szCs w:val="32"/>
        </w:rPr>
        <w:t>1”指设立县、乡、村级社会治理联动平台,“4”指设置乡镇（街道）党的建设、经济生态（城市管理）、平安法治、民生服务基层治理“四板块”，“3”</w:t>
      </w:r>
      <w:r>
        <w:rPr>
          <w:rFonts w:hint="eastAsia" w:ascii="仿宋_GB2312" w:hAnsi="仿宋_GB2312" w:eastAsia="仿宋_GB2312" w:cs="仿宋_GB2312"/>
          <w:sz w:val="32"/>
          <w:szCs w:val="32"/>
        </w:rPr>
        <w:t>指推进城乡社区自治、法治、德治“三融合”，第三个“</w:t>
      </w:r>
      <w:r>
        <w:rPr>
          <w:rFonts w:ascii="仿宋_GB2312" w:hAnsi="仿宋_GB2312" w:eastAsia="仿宋_GB2312" w:cs="仿宋_GB2312"/>
          <w:sz w:val="32"/>
          <w:szCs w:val="32"/>
        </w:rPr>
        <w:t>1”指推动村（社区）网格“多格合一、多员合一”。</w:t>
      </w:r>
      <w:bookmarkEnd w:id="153"/>
    </w:p>
    <w:sectPr>
      <w:footerReference r:id="rId4" w:type="default"/>
      <w:pgSz w:w="11906" w:h="16838"/>
      <w:pgMar w:top="2098" w:right="1474" w:bottom="1984" w:left="1587" w:header="851" w:footer="992" w:gutter="0"/>
      <w:cols w:space="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00000001" w:usb1="0800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___WRD_EMBED_SUB_45">
    <w:altName w:val="宋体"/>
    <w:panose1 w:val="00000000000000000000"/>
    <w:charset w:val="86"/>
    <w:family w:val="auto"/>
    <w:pitch w:val="default"/>
    <w:sig w:usb0="00000000" w:usb1="00000000" w:usb2="00000010" w:usb3="00000000" w:csb0="00040000" w:csb1="00000000"/>
  </w:font>
  <w:font w:name="东文宋体">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A0000287" w:usb1="28CF3C52" w:usb2="00000016" w:usb3="00000000" w:csb0="0004001F" w:csb1="00000000"/>
  </w:font>
  <w:font w:name="等线 Light">
    <w:altName w:val="仿宋"/>
    <w:panose1 w:val="00000000000000000000"/>
    <w:charset w:val="00"/>
    <w:family w:val="auto"/>
    <w:pitch w:val="default"/>
    <w:sig w:usb0="00000000" w:usb1="00000000" w:usb2="00000000" w:usb3="00000000" w:csb0="00000000" w:csb1="00000000"/>
  </w:font>
  <w:font w:name="创艺简标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7418"/>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4837920"/>
    </w:sdtPr>
    <w:sdtEndPr>
      <w:rPr>
        <w:rFonts w:hint="eastAsia" w:ascii="仿宋_GB2312" w:eastAsia="仿宋_GB2312"/>
        <w:sz w:val="21"/>
        <w:szCs w:val="21"/>
      </w:rPr>
    </w:sdtEndPr>
    <w:sdtContent>
      <w:sdt>
        <w:sdtPr>
          <w:id w:val="1879812485"/>
        </w:sdtPr>
        <w:sdtEndPr>
          <w:rPr>
            <w:rFonts w:hint="eastAsia" w:ascii="仿宋_GB2312" w:eastAsia="仿宋_GB2312"/>
            <w:sz w:val="21"/>
            <w:szCs w:val="21"/>
          </w:rPr>
        </w:sdtEndPr>
        <w:sdtContent>
          <w:p>
            <w:pPr>
              <w:pStyle w:val="13"/>
              <w:jc w:val="center"/>
              <w:rPr>
                <w:rFonts w:ascii="仿宋_GB2312" w:eastAsia="仿宋_GB2312"/>
                <w:sz w:val="21"/>
                <w:szCs w:val="21"/>
              </w:rPr>
            </w:pPr>
            <w:r>
              <w:rPr>
                <w:rFonts w:hint="eastAsia" w:ascii="仿宋_GB2312" w:eastAsia="仿宋_GB2312"/>
                <w:sz w:val="21"/>
                <w:szCs w:val="21"/>
                <w:lang w:val="zh-CN"/>
              </w:rPr>
              <w:t xml:space="preserve"> </w:t>
            </w:r>
            <w:r>
              <w:rPr>
                <w:rFonts w:ascii="仿宋_GB2312" w:eastAsia="仿宋_GB2312"/>
                <w:sz w:val="21"/>
                <w:szCs w:val="21"/>
                <w:lang w:val="zh-CN"/>
              </w:rPr>
              <w:t xml:space="preserve">                                                             </w:t>
            </w:r>
            <w:r>
              <w:rPr>
                <w:rFonts w:hint="eastAsia" w:ascii="仿宋_GB2312" w:eastAsia="仿宋_GB2312"/>
                <w:sz w:val="21"/>
                <w:szCs w:val="21"/>
                <w:lang w:val="zh-CN"/>
              </w:rPr>
              <w:t>第</w:t>
            </w:r>
            <w:r>
              <w:rPr>
                <w:rFonts w:hint="eastAsia" w:ascii="仿宋_GB2312" w:eastAsia="仿宋_GB2312"/>
                <w:b/>
                <w:bCs/>
                <w:sz w:val="21"/>
                <w:szCs w:val="21"/>
              </w:rPr>
              <w:fldChar w:fldCharType="begin"/>
            </w:r>
            <w:r>
              <w:rPr>
                <w:rFonts w:hint="eastAsia" w:ascii="仿宋_GB2312" w:eastAsia="仿宋_GB2312"/>
                <w:b/>
                <w:bCs/>
                <w:sz w:val="21"/>
                <w:szCs w:val="21"/>
              </w:rPr>
              <w:instrText xml:space="preserve">PAGE</w:instrText>
            </w:r>
            <w:r>
              <w:rPr>
                <w:rFonts w:hint="eastAsia" w:ascii="仿宋_GB2312" w:eastAsia="仿宋_GB2312"/>
                <w:b/>
                <w:bCs/>
                <w:sz w:val="21"/>
                <w:szCs w:val="21"/>
              </w:rPr>
              <w:fldChar w:fldCharType="separate"/>
            </w:r>
            <w:r>
              <w:rPr>
                <w:rFonts w:ascii="仿宋_GB2312" w:eastAsia="仿宋_GB2312"/>
                <w:b/>
                <w:bCs/>
                <w:sz w:val="21"/>
                <w:szCs w:val="21"/>
              </w:rPr>
              <w:t>83</w:t>
            </w:r>
            <w:r>
              <w:rPr>
                <w:rFonts w:hint="eastAsia" w:ascii="仿宋_GB2312" w:eastAsia="仿宋_GB2312"/>
                <w:b/>
                <w:bCs/>
                <w:sz w:val="21"/>
                <w:szCs w:val="21"/>
              </w:rPr>
              <w:fldChar w:fldCharType="end"/>
            </w:r>
            <w:r>
              <w:rPr>
                <w:rFonts w:hint="eastAsia" w:ascii="仿宋_GB2312" w:eastAsia="仿宋_GB2312"/>
                <w:sz w:val="21"/>
                <w:szCs w:val="21"/>
                <w:lang w:val="zh-CN"/>
              </w:rPr>
              <w:t xml:space="preserve"> 页/共 </w:t>
            </w:r>
            <w:r>
              <w:rPr>
                <w:rFonts w:hint="eastAsia" w:ascii="仿宋_GB2312" w:eastAsia="仿宋_GB2312"/>
                <w:b/>
                <w:bCs/>
                <w:sz w:val="21"/>
                <w:szCs w:val="21"/>
              </w:rPr>
              <w:fldChar w:fldCharType="begin"/>
            </w:r>
            <w:r>
              <w:rPr>
                <w:rFonts w:hint="eastAsia" w:ascii="仿宋_GB2312" w:eastAsia="仿宋_GB2312"/>
                <w:b/>
                <w:bCs/>
                <w:sz w:val="21"/>
                <w:szCs w:val="21"/>
              </w:rPr>
              <w:instrText xml:space="preserve">NUMPAGES</w:instrText>
            </w:r>
            <w:r>
              <w:rPr>
                <w:rFonts w:hint="eastAsia" w:ascii="仿宋_GB2312" w:eastAsia="仿宋_GB2312"/>
                <w:b/>
                <w:bCs/>
                <w:sz w:val="21"/>
                <w:szCs w:val="21"/>
              </w:rPr>
              <w:fldChar w:fldCharType="separate"/>
            </w:r>
            <w:r>
              <w:rPr>
                <w:rFonts w:ascii="仿宋_GB2312" w:eastAsia="仿宋_GB2312"/>
                <w:b/>
                <w:bCs/>
                <w:sz w:val="21"/>
                <w:szCs w:val="21"/>
              </w:rPr>
              <w:t>84</w:t>
            </w:r>
            <w:r>
              <w:rPr>
                <w:rFonts w:hint="eastAsia" w:ascii="仿宋_GB2312" w:eastAsia="仿宋_GB2312"/>
                <w:b/>
                <w:bCs/>
                <w:sz w:val="21"/>
                <w:szCs w:val="21"/>
              </w:rPr>
              <w:fldChar w:fldCharType="end"/>
            </w:r>
            <w:r>
              <w:rPr>
                <w:rFonts w:hint="eastAsia" w:ascii="仿宋_GB2312" w:eastAsia="仿宋_GB2312"/>
                <w:b/>
                <w:bCs/>
                <w:sz w:val="21"/>
                <w:szCs w:val="21"/>
              </w:rPr>
              <w:t xml:space="preserve"> 页</w:t>
            </w:r>
          </w:p>
        </w:sdtContent>
      </w:sdt>
    </w:sdtContent>
  </w:sdt>
  <w:p>
    <w:pPr>
      <w:pStyle w:val="13"/>
      <w:tabs>
        <w:tab w:val="left" w:pos="7418"/>
        <w:tab w:val="clear" w:pos="4153"/>
      </w:tabs>
    </w:pP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B73A1B"/>
    <w:multiLevelType w:val="multilevel"/>
    <w:tmpl w:val="42B73A1B"/>
    <w:lvl w:ilvl="0" w:tentative="0">
      <w:start w:val="1"/>
      <w:numFmt w:val="decimal"/>
      <w:lvlText w:val="%1."/>
      <w:lvlJc w:val="left"/>
      <w:pPr>
        <w:ind w:left="988" w:hanging="420"/>
      </w:pPr>
      <w:rPr>
        <w:b w:val="0"/>
        <w:sz w:val="32"/>
        <w:szCs w:val="32"/>
      </w:rPr>
    </w:lvl>
    <w:lvl w:ilvl="1" w:tentative="0">
      <w:start w:val="1"/>
      <w:numFmt w:val="lowerLetter"/>
      <w:lvlText w:val="%2)"/>
      <w:lvlJc w:val="left"/>
      <w:pPr>
        <w:ind w:left="-3124" w:hanging="420"/>
      </w:pPr>
    </w:lvl>
    <w:lvl w:ilvl="2" w:tentative="0">
      <w:start w:val="1"/>
      <w:numFmt w:val="lowerRoman"/>
      <w:lvlText w:val="%3."/>
      <w:lvlJc w:val="right"/>
      <w:pPr>
        <w:ind w:left="-1644" w:hanging="420"/>
      </w:pPr>
    </w:lvl>
    <w:lvl w:ilvl="3" w:tentative="0">
      <w:start w:val="1"/>
      <w:numFmt w:val="decimal"/>
      <w:lvlText w:val="%4."/>
      <w:lvlJc w:val="left"/>
      <w:pPr>
        <w:ind w:left="-1224" w:hanging="420"/>
      </w:pPr>
    </w:lvl>
    <w:lvl w:ilvl="4" w:tentative="0">
      <w:start w:val="1"/>
      <w:numFmt w:val="lowerLetter"/>
      <w:lvlText w:val="%5)"/>
      <w:lvlJc w:val="left"/>
      <w:pPr>
        <w:ind w:left="-804" w:hanging="420"/>
      </w:pPr>
    </w:lvl>
    <w:lvl w:ilvl="5" w:tentative="0">
      <w:start w:val="1"/>
      <w:numFmt w:val="lowerRoman"/>
      <w:lvlText w:val="%6."/>
      <w:lvlJc w:val="right"/>
      <w:pPr>
        <w:ind w:left="-384" w:hanging="420"/>
      </w:pPr>
    </w:lvl>
    <w:lvl w:ilvl="6" w:tentative="0">
      <w:start w:val="1"/>
      <w:numFmt w:val="decimal"/>
      <w:lvlText w:val="%7."/>
      <w:lvlJc w:val="left"/>
      <w:pPr>
        <w:ind w:left="36" w:hanging="420"/>
      </w:pPr>
    </w:lvl>
    <w:lvl w:ilvl="7" w:tentative="0">
      <w:start w:val="1"/>
      <w:numFmt w:val="lowerLetter"/>
      <w:lvlText w:val="%8)"/>
      <w:lvlJc w:val="left"/>
      <w:pPr>
        <w:ind w:left="456" w:hanging="420"/>
      </w:pPr>
    </w:lvl>
    <w:lvl w:ilvl="8" w:tentative="0">
      <w:start w:val="1"/>
      <w:numFmt w:val="lowerRoman"/>
      <w:lvlText w:val="%9."/>
      <w:lvlJc w:val="right"/>
      <w:pPr>
        <w:ind w:left="876" w:hanging="420"/>
      </w:pPr>
    </w:lvl>
  </w:abstractNum>
  <w:abstractNum w:abstractNumId="1">
    <w:nsid w:val="6948AF3F"/>
    <w:multiLevelType w:val="singleLevel"/>
    <w:tmpl w:val="6948AF3F"/>
    <w:lvl w:ilvl="0" w:tentative="0">
      <w:start w:val="2"/>
      <w:numFmt w:val="chineseCounting"/>
      <w:suff w:val="nothing"/>
      <w:lvlText w:val="（%1）"/>
      <w:lvlJc w:val="left"/>
    </w:lvl>
  </w:abstractNum>
  <w:abstractNum w:abstractNumId="2">
    <w:nsid w:val="7E097412"/>
    <w:multiLevelType w:val="multilevel"/>
    <w:tmpl w:val="7E097412"/>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HorizontalSpacing w:val="105"/>
  <w:drawingGridVerticalSpacing w:val="163"/>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EB4"/>
    <w:rsid w:val="0000105D"/>
    <w:rsid w:val="00001856"/>
    <w:rsid w:val="00001961"/>
    <w:rsid w:val="00002486"/>
    <w:rsid w:val="00003A5F"/>
    <w:rsid w:val="00003FBA"/>
    <w:rsid w:val="00004FC2"/>
    <w:rsid w:val="00005E51"/>
    <w:rsid w:val="0001064D"/>
    <w:rsid w:val="00010BCE"/>
    <w:rsid w:val="000110A9"/>
    <w:rsid w:val="00011CF2"/>
    <w:rsid w:val="00011D31"/>
    <w:rsid w:val="0001650E"/>
    <w:rsid w:val="00023B87"/>
    <w:rsid w:val="00023BCE"/>
    <w:rsid w:val="00024D4C"/>
    <w:rsid w:val="00025C02"/>
    <w:rsid w:val="000273CF"/>
    <w:rsid w:val="00027DC7"/>
    <w:rsid w:val="000316CE"/>
    <w:rsid w:val="00033233"/>
    <w:rsid w:val="00035FF8"/>
    <w:rsid w:val="00037567"/>
    <w:rsid w:val="0003760D"/>
    <w:rsid w:val="00042D04"/>
    <w:rsid w:val="0005041C"/>
    <w:rsid w:val="00051D0D"/>
    <w:rsid w:val="00054985"/>
    <w:rsid w:val="00054AF7"/>
    <w:rsid w:val="000573CC"/>
    <w:rsid w:val="00061497"/>
    <w:rsid w:val="00063520"/>
    <w:rsid w:val="000635C2"/>
    <w:rsid w:val="000646D7"/>
    <w:rsid w:val="00065C38"/>
    <w:rsid w:val="000679B3"/>
    <w:rsid w:val="0007038C"/>
    <w:rsid w:val="00071A5E"/>
    <w:rsid w:val="00072001"/>
    <w:rsid w:val="00072E9A"/>
    <w:rsid w:val="00073885"/>
    <w:rsid w:val="00074D70"/>
    <w:rsid w:val="000809CE"/>
    <w:rsid w:val="00081745"/>
    <w:rsid w:val="00084888"/>
    <w:rsid w:val="00086526"/>
    <w:rsid w:val="00090AAE"/>
    <w:rsid w:val="00090FC8"/>
    <w:rsid w:val="00096E27"/>
    <w:rsid w:val="000A0077"/>
    <w:rsid w:val="000A783A"/>
    <w:rsid w:val="000A7CE0"/>
    <w:rsid w:val="000B1B1F"/>
    <w:rsid w:val="000B5952"/>
    <w:rsid w:val="000B5EA8"/>
    <w:rsid w:val="000B79F8"/>
    <w:rsid w:val="000C3F94"/>
    <w:rsid w:val="000C5224"/>
    <w:rsid w:val="000D15E3"/>
    <w:rsid w:val="000D2510"/>
    <w:rsid w:val="000D478F"/>
    <w:rsid w:val="000D6732"/>
    <w:rsid w:val="000D7A78"/>
    <w:rsid w:val="000E02F7"/>
    <w:rsid w:val="000E0EFA"/>
    <w:rsid w:val="000E1155"/>
    <w:rsid w:val="000E1464"/>
    <w:rsid w:val="000E36EF"/>
    <w:rsid w:val="000E5BE8"/>
    <w:rsid w:val="000E65C6"/>
    <w:rsid w:val="000F1DA6"/>
    <w:rsid w:val="000F4DF4"/>
    <w:rsid w:val="000F5E05"/>
    <w:rsid w:val="000F7E7C"/>
    <w:rsid w:val="0010006B"/>
    <w:rsid w:val="00102216"/>
    <w:rsid w:val="00102E61"/>
    <w:rsid w:val="0010437C"/>
    <w:rsid w:val="00110CC1"/>
    <w:rsid w:val="0011179D"/>
    <w:rsid w:val="001132C7"/>
    <w:rsid w:val="0012015E"/>
    <w:rsid w:val="001211E1"/>
    <w:rsid w:val="0012204C"/>
    <w:rsid w:val="00123FA3"/>
    <w:rsid w:val="00124BE9"/>
    <w:rsid w:val="0013023E"/>
    <w:rsid w:val="00132101"/>
    <w:rsid w:val="00134CB5"/>
    <w:rsid w:val="00136CD9"/>
    <w:rsid w:val="001377FD"/>
    <w:rsid w:val="00141501"/>
    <w:rsid w:val="001519BF"/>
    <w:rsid w:val="00152B16"/>
    <w:rsid w:val="00156347"/>
    <w:rsid w:val="00157598"/>
    <w:rsid w:val="0015767D"/>
    <w:rsid w:val="00157AED"/>
    <w:rsid w:val="00161173"/>
    <w:rsid w:val="001614BA"/>
    <w:rsid w:val="00161BC7"/>
    <w:rsid w:val="00164086"/>
    <w:rsid w:val="00166F01"/>
    <w:rsid w:val="00171966"/>
    <w:rsid w:val="00171AF2"/>
    <w:rsid w:val="00171E98"/>
    <w:rsid w:val="00175CBE"/>
    <w:rsid w:val="0017659D"/>
    <w:rsid w:val="00177C42"/>
    <w:rsid w:val="00181E36"/>
    <w:rsid w:val="0018288A"/>
    <w:rsid w:val="0018301C"/>
    <w:rsid w:val="00183051"/>
    <w:rsid w:val="00184580"/>
    <w:rsid w:val="001910BA"/>
    <w:rsid w:val="00192F30"/>
    <w:rsid w:val="0019329A"/>
    <w:rsid w:val="00193C57"/>
    <w:rsid w:val="00197734"/>
    <w:rsid w:val="001A145C"/>
    <w:rsid w:val="001A2176"/>
    <w:rsid w:val="001A238A"/>
    <w:rsid w:val="001A2DC1"/>
    <w:rsid w:val="001A3E45"/>
    <w:rsid w:val="001A4F64"/>
    <w:rsid w:val="001A6BEF"/>
    <w:rsid w:val="001A6DE1"/>
    <w:rsid w:val="001A7455"/>
    <w:rsid w:val="001B1B70"/>
    <w:rsid w:val="001B34FF"/>
    <w:rsid w:val="001B4A48"/>
    <w:rsid w:val="001B5A93"/>
    <w:rsid w:val="001B5C75"/>
    <w:rsid w:val="001B6368"/>
    <w:rsid w:val="001B75AE"/>
    <w:rsid w:val="001C09EC"/>
    <w:rsid w:val="001C0C49"/>
    <w:rsid w:val="001C1BBF"/>
    <w:rsid w:val="001C761C"/>
    <w:rsid w:val="001C7972"/>
    <w:rsid w:val="001D1FBA"/>
    <w:rsid w:val="001D3EA4"/>
    <w:rsid w:val="001D4A67"/>
    <w:rsid w:val="001D62B8"/>
    <w:rsid w:val="001E1179"/>
    <w:rsid w:val="001E22F4"/>
    <w:rsid w:val="001E35EA"/>
    <w:rsid w:val="001E3E70"/>
    <w:rsid w:val="001E4DCE"/>
    <w:rsid w:val="001E5425"/>
    <w:rsid w:val="001F11F5"/>
    <w:rsid w:val="001F195D"/>
    <w:rsid w:val="00203672"/>
    <w:rsid w:val="00210DF8"/>
    <w:rsid w:val="00211F02"/>
    <w:rsid w:val="00212FA5"/>
    <w:rsid w:val="002157E4"/>
    <w:rsid w:val="00215CDA"/>
    <w:rsid w:val="00216339"/>
    <w:rsid w:val="0021654D"/>
    <w:rsid w:val="00216844"/>
    <w:rsid w:val="0022094F"/>
    <w:rsid w:val="00220B08"/>
    <w:rsid w:val="002220CD"/>
    <w:rsid w:val="00222118"/>
    <w:rsid w:val="00222CBB"/>
    <w:rsid w:val="00223C53"/>
    <w:rsid w:val="002251C6"/>
    <w:rsid w:val="00225C53"/>
    <w:rsid w:val="0022665E"/>
    <w:rsid w:val="00230273"/>
    <w:rsid w:val="00233377"/>
    <w:rsid w:val="002346CF"/>
    <w:rsid w:val="00235E67"/>
    <w:rsid w:val="00240ECA"/>
    <w:rsid w:val="00243860"/>
    <w:rsid w:val="00244244"/>
    <w:rsid w:val="002455BA"/>
    <w:rsid w:val="00246248"/>
    <w:rsid w:val="00246898"/>
    <w:rsid w:val="00252EE3"/>
    <w:rsid w:val="0025322E"/>
    <w:rsid w:val="00253F94"/>
    <w:rsid w:val="00254B8A"/>
    <w:rsid w:val="00254F65"/>
    <w:rsid w:val="00256C15"/>
    <w:rsid w:val="00261CF4"/>
    <w:rsid w:val="00273A76"/>
    <w:rsid w:val="00273FED"/>
    <w:rsid w:val="00275301"/>
    <w:rsid w:val="00276DA0"/>
    <w:rsid w:val="00281CC5"/>
    <w:rsid w:val="00281D06"/>
    <w:rsid w:val="00282BFC"/>
    <w:rsid w:val="002830EC"/>
    <w:rsid w:val="0028336C"/>
    <w:rsid w:val="0028375C"/>
    <w:rsid w:val="00283BAF"/>
    <w:rsid w:val="0028474B"/>
    <w:rsid w:val="00286F30"/>
    <w:rsid w:val="0029075F"/>
    <w:rsid w:val="002924DD"/>
    <w:rsid w:val="00294FA8"/>
    <w:rsid w:val="0029574D"/>
    <w:rsid w:val="00296658"/>
    <w:rsid w:val="002A1D01"/>
    <w:rsid w:val="002A305C"/>
    <w:rsid w:val="002A4312"/>
    <w:rsid w:val="002A4D85"/>
    <w:rsid w:val="002A7C4C"/>
    <w:rsid w:val="002B1720"/>
    <w:rsid w:val="002B1EC9"/>
    <w:rsid w:val="002B2F9F"/>
    <w:rsid w:val="002B5AFE"/>
    <w:rsid w:val="002C03B3"/>
    <w:rsid w:val="002C60EB"/>
    <w:rsid w:val="002C6160"/>
    <w:rsid w:val="002C61B4"/>
    <w:rsid w:val="002D034D"/>
    <w:rsid w:val="002D129C"/>
    <w:rsid w:val="002D2260"/>
    <w:rsid w:val="002D2BEF"/>
    <w:rsid w:val="002D461E"/>
    <w:rsid w:val="002E1E17"/>
    <w:rsid w:val="002E3777"/>
    <w:rsid w:val="002E3D24"/>
    <w:rsid w:val="002E6C20"/>
    <w:rsid w:val="002E75B8"/>
    <w:rsid w:val="002F1242"/>
    <w:rsid w:val="002F1C26"/>
    <w:rsid w:val="002F2897"/>
    <w:rsid w:val="00300BFC"/>
    <w:rsid w:val="00301F1B"/>
    <w:rsid w:val="00303C09"/>
    <w:rsid w:val="00305079"/>
    <w:rsid w:val="00310379"/>
    <w:rsid w:val="003128FE"/>
    <w:rsid w:val="00313614"/>
    <w:rsid w:val="003168F4"/>
    <w:rsid w:val="003172F7"/>
    <w:rsid w:val="00323062"/>
    <w:rsid w:val="0032582A"/>
    <w:rsid w:val="00330440"/>
    <w:rsid w:val="00334A44"/>
    <w:rsid w:val="003356C8"/>
    <w:rsid w:val="00336726"/>
    <w:rsid w:val="00336B4E"/>
    <w:rsid w:val="00337734"/>
    <w:rsid w:val="003400FB"/>
    <w:rsid w:val="00341C49"/>
    <w:rsid w:val="00343CFD"/>
    <w:rsid w:val="00345001"/>
    <w:rsid w:val="00346215"/>
    <w:rsid w:val="0035057D"/>
    <w:rsid w:val="00351CBE"/>
    <w:rsid w:val="00353ECD"/>
    <w:rsid w:val="00356307"/>
    <w:rsid w:val="003565B3"/>
    <w:rsid w:val="0035764F"/>
    <w:rsid w:val="0036066D"/>
    <w:rsid w:val="00361638"/>
    <w:rsid w:val="003641B0"/>
    <w:rsid w:val="0037099D"/>
    <w:rsid w:val="00370D4A"/>
    <w:rsid w:val="003720B1"/>
    <w:rsid w:val="00373A94"/>
    <w:rsid w:val="00374251"/>
    <w:rsid w:val="00376E45"/>
    <w:rsid w:val="00377150"/>
    <w:rsid w:val="003776E0"/>
    <w:rsid w:val="00377985"/>
    <w:rsid w:val="0038244F"/>
    <w:rsid w:val="00383018"/>
    <w:rsid w:val="0038327A"/>
    <w:rsid w:val="003854FD"/>
    <w:rsid w:val="003858A5"/>
    <w:rsid w:val="003871FB"/>
    <w:rsid w:val="00390536"/>
    <w:rsid w:val="00393E37"/>
    <w:rsid w:val="00396A86"/>
    <w:rsid w:val="00396FF9"/>
    <w:rsid w:val="003A1212"/>
    <w:rsid w:val="003A1B7B"/>
    <w:rsid w:val="003A39D3"/>
    <w:rsid w:val="003A43CD"/>
    <w:rsid w:val="003A4935"/>
    <w:rsid w:val="003A4E88"/>
    <w:rsid w:val="003A63B5"/>
    <w:rsid w:val="003A73AE"/>
    <w:rsid w:val="003A7531"/>
    <w:rsid w:val="003B0322"/>
    <w:rsid w:val="003B3607"/>
    <w:rsid w:val="003B3FAE"/>
    <w:rsid w:val="003B4586"/>
    <w:rsid w:val="003B6363"/>
    <w:rsid w:val="003B6445"/>
    <w:rsid w:val="003C019A"/>
    <w:rsid w:val="003C175F"/>
    <w:rsid w:val="003C1E5A"/>
    <w:rsid w:val="003C2380"/>
    <w:rsid w:val="003C51C6"/>
    <w:rsid w:val="003D0AF7"/>
    <w:rsid w:val="003D3A3E"/>
    <w:rsid w:val="003D3C89"/>
    <w:rsid w:val="003D67D0"/>
    <w:rsid w:val="003E2F2C"/>
    <w:rsid w:val="003E680E"/>
    <w:rsid w:val="003E71A9"/>
    <w:rsid w:val="003F2B4E"/>
    <w:rsid w:val="003F3CE7"/>
    <w:rsid w:val="003F6B63"/>
    <w:rsid w:val="003F7A24"/>
    <w:rsid w:val="00400092"/>
    <w:rsid w:val="004023C6"/>
    <w:rsid w:val="00403310"/>
    <w:rsid w:val="00403C45"/>
    <w:rsid w:val="00404A39"/>
    <w:rsid w:val="0041273E"/>
    <w:rsid w:val="00413C86"/>
    <w:rsid w:val="004143F5"/>
    <w:rsid w:val="00414CAE"/>
    <w:rsid w:val="00420F46"/>
    <w:rsid w:val="00424604"/>
    <w:rsid w:val="00430CB3"/>
    <w:rsid w:val="004313A7"/>
    <w:rsid w:val="00431F99"/>
    <w:rsid w:val="004412C8"/>
    <w:rsid w:val="0044215E"/>
    <w:rsid w:val="00444C95"/>
    <w:rsid w:val="00455108"/>
    <w:rsid w:val="004567D9"/>
    <w:rsid w:val="0046053B"/>
    <w:rsid w:val="00461D9B"/>
    <w:rsid w:val="004626AC"/>
    <w:rsid w:val="00464962"/>
    <w:rsid w:val="004660D5"/>
    <w:rsid w:val="00467D9B"/>
    <w:rsid w:val="0047175E"/>
    <w:rsid w:val="00472DD8"/>
    <w:rsid w:val="00474CEC"/>
    <w:rsid w:val="00477BF1"/>
    <w:rsid w:val="00481226"/>
    <w:rsid w:val="0048278D"/>
    <w:rsid w:val="00482FB8"/>
    <w:rsid w:val="00491282"/>
    <w:rsid w:val="00491661"/>
    <w:rsid w:val="00491FCB"/>
    <w:rsid w:val="00492269"/>
    <w:rsid w:val="004935A3"/>
    <w:rsid w:val="0049687E"/>
    <w:rsid w:val="004A0630"/>
    <w:rsid w:val="004A54C4"/>
    <w:rsid w:val="004A54F4"/>
    <w:rsid w:val="004A5797"/>
    <w:rsid w:val="004A7769"/>
    <w:rsid w:val="004A7C3C"/>
    <w:rsid w:val="004B2084"/>
    <w:rsid w:val="004B5600"/>
    <w:rsid w:val="004B59B6"/>
    <w:rsid w:val="004C4954"/>
    <w:rsid w:val="004D16AE"/>
    <w:rsid w:val="004D3503"/>
    <w:rsid w:val="004D60E1"/>
    <w:rsid w:val="004D7B35"/>
    <w:rsid w:val="004E0794"/>
    <w:rsid w:val="004E165D"/>
    <w:rsid w:val="004E3DB6"/>
    <w:rsid w:val="004E50D5"/>
    <w:rsid w:val="004E57A8"/>
    <w:rsid w:val="004F1305"/>
    <w:rsid w:val="004F26C0"/>
    <w:rsid w:val="004F3E27"/>
    <w:rsid w:val="004F52FE"/>
    <w:rsid w:val="004F7D48"/>
    <w:rsid w:val="005075DA"/>
    <w:rsid w:val="0051016F"/>
    <w:rsid w:val="0051035C"/>
    <w:rsid w:val="00511150"/>
    <w:rsid w:val="0051292A"/>
    <w:rsid w:val="0051305F"/>
    <w:rsid w:val="0051339E"/>
    <w:rsid w:val="00514433"/>
    <w:rsid w:val="00514E24"/>
    <w:rsid w:val="0051617A"/>
    <w:rsid w:val="005173F0"/>
    <w:rsid w:val="00517DF7"/>
    <w:rsid w:val="00520831"/>
    <w:rsid w:val="005222D3"/>
    <w:rsid w:val="00523B14"/>
    <w:rsid w:val="005258D1"/>
    <w:rsid w:val="005268FA"/>
    <w:rsid w:val="00530318"/>
    <w:rsid w:val="00531794"/>
    <w:rsid w:val="00535823"/>
    <w:rsid w:val="00537B98"/>
    <w:rsid w:val="0054063A"/>
    <w:rsid w:val="00544454"/>
    <w:rsid w:val="005453C2"/>
    <w:rsid w:val="005473A6"/>
    <w:rsid w:val="00550292"/>
    <w:rsid w:val="00550A89"/>
    <w:rsid w:val="00551D5D"/>
    <w:rsid w:val="00554AA6"/>
    <w:rsid w:val="0055662A"/>
    <w:rsid w:val="00557E79"/>
    <w:rsid w:val="0056419E"/>
    <w:rsid w:val="00565805"/>
    <w:rsid w:val="00566BE7"/>
    <w:rsid w:val="00571288"/>
    <w:rsid w:val="00571B49"/>
    <w:rsid w:val="00572811"/>
    <w:rsid w:val="005729C7"/>
    <w:rsid w:val="00572B44"/>
    <w:rsid w:val="0057317D"/>
    <w:rsid w:val="00576188"/>
    <w:rsid w:val="00577070"/>
    <w:rsid w:val="005773F4"/>
    <w:rsid w:val="00582309"/>
    <w:rsid w:val="00583ABE"/>
    <w:rsid w:val="00584672"/>
    <w:rsid w:val="00593E78"/>
    <w:rsid w:val="0059475E"/>
    <w:rsid w:val="00594D6F"/>
    <w:rsid w:val="005959E6"/>
    <w:rsid w:val="005972EA"/>
    <w:rsid w:val="005A57AE"/>
    <w:rsid w:val="005B4C33"/>
    <w:rsid w:val="005B5AEB"/>
    <w:rsid w:val="005C0AEE"/>
    <w:rsid w:val="005C2002"/>
    <w:rsid w:val="005C68A3"/>
    <w:rsid w:val="005C7FE8"/>
    <w:rsid w:val="005D3AD6"/>
    <w:rsid w:val="005E1F6F"/>
    <w:rsid w:val="005E39C0"/>
    <w:rsid w:val="005E52D5"/>
    <w:rsid w:val="005E5B66"/>
    <w:rsid w:val="005E64D5"/>
    <w:rsid w:val="005F3382"/>
    <w:rsid w:val="005F39D0"/>
    <w:rsid w:val="005F667B"/>
    <w:rsid w:val="005F77F6"/>
    <w:rsid w:val="00602DB8"/>
    <w:rsid w:val="006108C9"/>
    <w:rsid w:val="00612817"/>
    <w:rsid w:val="0061494F"/>
    <w:rsid w:val="00614CDF"/>
    <w:rsid w:val="006156E1"/>
    <w:rsid w:val="0061574F"/>
    <w:rsid w:val="00615F82"/>
    <w:rsid w:val="006165BC"/>
    <w:rsid w:val="0061726A"/>
    <w:rsid w:val="0061731A"/>
    <w:rsid w:val="006218CB"/>
    <w:rsid w:val="00622FF0"/>
    <w:rsid w:val="00623519"/>
    <w:rsid w:val="00623F33"/>
    <w:rsid w:val="00624877"/>
    <w:rsid w:val="00625553"/>
    <w:rsid w:val="0062640A"/>
    <w:rsid w:val="00630897"/>
    <w:rsid w:val="00630FCA"/>
    <w:rsid w:val="006313C4"/>
    <w:rsid w:val="00631A52"/>
    <w:rsid w:val="006368F0"/>
    <w:rsid w:val="00637627"/>
    <w:rsid w:val="00640334"/>
    <w:rsid w:val="00640D54"/>
    <w:rsid w:val="006418BF"/>
    <w:rsid w:val="00646740"/>
    <w:rsid w:val="0064688F"/>
    <w:rsid w:val="00646C0E"/>
    <w:rsid w:val="0064764B"/>
    <w:rsid w:val="00647892"/>
    <w:rsid w:val="00650A08"/>
    <w:rsid w:val="00650E5B"/>
    <w:rsid w:val="00651AB0"/>
    <w:rsid w:val="00653558"/>
    <w:rsid w:val="00654AB1"/>
    <w:rsid w:val="00655A83"/>
    <w:rsid w:val="00660E35"/>
    <w:rsid w:val="0066302E"/>
    <w:rsid w:val="00664141"/>
    <w:rsid w:val="00665534"/>
    <w:rsid w:val="00665EAC"/>
    <w:rsid w:val="00666345"/>
    <w:rsid w:val="0067493C"/>
    <w:rsid w:val="006765C2"/>
    <w:rsid w:val="00676DD8"/>
    <w:rsid w:val="006778BF"/>
    <w:rsid w:val="006812A9"/>
    <w:rsid w:val="0068329D"/>
    <w:rsid w:val="006848A5"/>
    <w:rsid w:val="0068511C"/>
    <w:rsid w:val="006853B5"/>
    <w:rsid w:val="00686F44"/>
    <w:rsid w:val="006871CD"/>
    <w:rsid w:val="00692C97"/>
    <w:rsid w:val="0069334A"/>
    <w:rsid w:val="00695CE9"/>
    <w:rsid w:val="00696524"/>
    <w:rsid w:val="006A0068"/>
    <w:rsid w:val="006A042D"/>
    <w:rsid w:val="006A11D1"/>
    <w:rsid w:val="006A25AA"/>
    <w:rsid w:val="006A32C7"/>
    <w:rsid w:val="006A6EF9"/>
    <w:rsid w:val="006B1234"/>
    <w:rsid w:val="006B557E"/>
    <w:rsid w:val="006B7507"/>
    <w:rsid w:val="006B7B02"/>
    <w:rsid w:val="006C080B"/>
    <w:rsid w:val="006C1C85"/>
    <w:rsid w:val="006C2795"/>
    <w:rsid w:val="006C327E"/>
    <w:rsid w:val="006C32B0"/>
    <w:rsid w:val="006C4168"/>
    <w:rsid w:val="006C45FA"/>
    <w:rsid w:val="006C5CA4"/>
    <w:rsid w:val="006D002B"/>
    <w:rsid w:val="006D0939"/>
    <w:rsid w:val="006D1169"/>
    <w:rsid w:val="006D33AC"/>
    <w:rsid w:val="006D4E27"/>
    <w:rsid w:val="006D5B6D"/>
    <w:rsid w:val="006D6F35"/>
    <w:rsid w:val="006D76FF"/>
    <w:rsid w:val="006E17A0"/>
    <w:rsid w:val="006E2AD5"/>
    <w:rsid w:val="006E5379"/>
    <w:rsid w:val="006E55F6"/>
    <w:rsid w:val="006E5B2D"/>
    <w:rsid w:val="006E7B25"/>
    <w:rsid w:val="006F2D1F"/>
    <w:rsid w:val="006F58D6"/>
    <w:rsid w:val="00701117"/>
    <w:rsid w:val="007016A8"/>
    <w:rsid w:val="00702590"/>
    <w:rsid w:val="00702A7E"/>
    <w:rsid w:val="00702DEC"/>
    <w:rsid w:val="00703B4F"/>
    <w:rsid w:val="007058B3"/>
    <w:rsid w:val="00705EDB"/>
    <w:rsid w:val="007064AA"/>
    <w:rsid w:val="007111F4"/>
    <w:rsid w:val="00713EAD"/>
    <w:rsid w:val="0071446B"/>
    <w:rsid w:val="007161E6"/>
    <w:rsid w:val="0072034B"/>
    <w:rsid w:val="00721AA7"/>
    <w:rsid w:val="00722775"/>
    <w:rsid w:val="00722A20"/>
    <w:rsid w:val="007268F6"/>
    <w:rsid w:val="00726F4B"/>
    <w:rsid w:val="007279CC"/>
    <w:rsid w:val="00734BF3"/>
    <w:rsid w:val="00735CAC"/>
    <w:rsid w:val="007410CE"/>
    <w:rsid w:val="00742B6F"/>
    <w:rsid w:val="00743293"/>
    <w:rsid w:val="00745811"/>
    <w:rsid w:val="0075107F"/>
    <w:rsid w:val="00752B0F"/>
    <w:rsid w:val="00752EB4"/>
    <w:rsid w:val="007537A4"/>
    <w:rsid w:val="007549ED"/>
    <w:rsid w:val="007573D9"/>
    <w:rsid w:val="00763C00"/>
    <w:rsid w:val="00764825"/>
    <w:rsid w:val="007678B9"/>
    <w:rsid w:val="00767C55"/>
    <w:rsid w:val="00771197"/>
    <w:rsid w:val="00772924"/>
    <w:rsid w:val="00772E71"/>
    <w:rsid w:val="00776300"/>
    <w:rsid w:val="00776F41"/>
    <w:rsid w:val="00777FB8"/>
    <w:rsid w:val="00780277"/>
    <w:rsid w:val="00781FF2"/>
    <w:rsid w:val="007826DF"/>
    <w:rsid w:val="007911EB"/>
    <w:rsid w:val="007918F2"/>
    <w:rsid w:val="007937AC"/>
    <w:rsid w:val="007A05BD"/>
    <w:rsid w:val="007A2E47"/>
    <w:rsid w:val="007A4F62"/>
    <w:rsid w:val="007A60DB"/>
    <w:rsid w:val="007A6444"/>
    <w:rsid w:val="007A6473"/>
    <w:rsid w:val="007B085C"/>
    <w:rsid w:val="007B0E21"/>
    <w:rsid w:val="007B1C9B"/>
    <w:rsid w:val="007B34BB"/>
    <w:rsid w:val="007B402C"/>
    <w:rsid w:val="007B686F"/>
    <w:rsid w:val="007B7EB2"/>
    <w:rsid w:val="007C0C46"/>
    <w:rsid w:val="007C3F4C"/>
    <w:rsid w:val="007C43CA"/>
    <w:rsid w:val="007C66E7"/>
    <w:rsid w:val="007D0E02"/>
    <w:rsid w:val="007D1E34"/>
    <w:rsid w:val="007D1EFB"/>
    <w:rsid w:val="007D2AFA"/>
    <w:rsid w:val="007D2DB5"/>
    <w:rsid w:val="007D3508"/>
    <w:rsid w:val="007D4F27"/>
    <w:rsid w:val="007E0209"/>
    <w:rsid w:val="007E2C5D"/>
    <w:rsid w:val="007E3C41"/>
    <w:rsid w:val="007E5C71"/>
    <w:rsid w:val="007E69CB"/>
    <w:rsid w:val="007E6EE4"/>
    <w:rsid w:val="007F117F"/>
    <w:rsid w:val="007F2136"/>
    <w:rsid w:val="007F4917"/>
    <w:rsid w:val="007F5429"/>
    <w:rsid w:val="007F606B"/>
    <w:rsid w:val="007F6BA6"/>
    <w:rsid w:val="007F7091"/>
    <w:rsid w:val="007F7802"/>
    <w:rsid w:val="007F7A43"/>
    <w:rsid w:val="00801278"/>
    <w:rsid w:val="00801E78"/>
    <w:rsid w:val="0080242E"/>
    <w:rsid w:val="00802901"/>
    <w:rsid w:val="00803029"/>
    <w:rsid w:val="008047DB"/>
    <w:rsid w:val="00804F49"/>
    <w:rsid w:val="00805D5B"/>
    <w:rsid w:val="008069D4"/>
    <w:rsid w:val="00810E00"/>
    <w:rsid w:val="00812C10"/>
    <w:rsid w:val="00813F46"/>
    <w:rsid w:val="00814D7C"/>
    <w:rsid w:val="00817A72"/>
    <w:rsid w:val="00820695"/>
    <w:rsid w:val="00820E1D"/>
    <w:rsid w:val="00821FAE"/>
    <w:rsid w:val="0082383B"/>
    <w:rsid w:val="00830457"/>
    <w:rsid w:val="00831CBD"/>
    <w:rsid w:val="008326CB"/>
    <w:rsid w:val="0083609D"/>
    <w:rsid w:val="008403EB"/>
    <w:rsid w:val="0084144D"/>
    <w:rsid w:val="00842220"/>
    <w:rsid w:val="008462F6"/>
    <w:rsid w:val="008507B5"/>
    <w:rsid w:val="00850B2F"/>
    <w:rsid w:val="0085223B"/>
    <w:rsid w:val="0085306B"/>
    <w:rsid w:val="00855DEC"/>
    <w:rsid w:val="00856399"/>
    <w:rsid w:val="00856469"/>
    <w:rsid w:val="008620F7"/>
    <w:rsid w:val="00862299"/>
    <w:rsid w:val="008653C7"/>
    <w:rsid w:val="008657AE"/>
    <w:rsid w:val="00865846"/>
    <w:rsid w:val="00866B7B"/>
    <w:rsid w:val="00866DCB"/>
    <w:rsid w:val="00867C40"/>
    <w:rsid w:val="00871F87"/>
    <w:rsid w:val="00876259"/>
    <w:rsid w:val="008762FD"/>
    <w:rsid w:val="00876B53"/>
    <w:rsid w:val="00877933"/>
    <w:rsid w:val="00882EF8"/>
    <w:rsid w:val="00885113"/>
    <w:rsid w:val="00885745"/>
    <w:rsid w:val="008876F4"/>
    <w:rsid w:val="00890833"/>
    <w:rsid w:val="00896D8A"/>
    <w:rsid w:val="008A0265"/>
    <w:rsid w:val="008A1CA0"/>
    <w:rsid w:val="008A3A61"/>
    <w:rsid w:val="008A7A30"/>
    <w:rsid w:val="008B102C"/>
    <w:rsid w:val="008B1473"/>
    <w:rsid w:val="008B3B5A"/>
    <w:rsid w:val="008B437F"/>
    <w:rsid w:val="008B4C38"/>
    <w:rsid w:val="008B4E62"/>
    <w:rsid w:val="008B61F6"/>
    <w:rsid w:val="008B6696"/>
    <w:rsid w:val="008C3225"/>
    <w:rsid w:val="008C32B2"/>
    <w:rsid w:val="008C35B1"/>
    <w:rsid w:val="008C60EF"/>
    <w:rsid w:val="008C76ED"/>
    <w:rsid w:val="008D3E43"/>
    <w:rsid w:val="008D7299"/>
    <w:rsid w:val="008D7CE9"/>
    <w:rsid w:val="008E274C"/>
    <w:rsid w:val="008E3B33"/>
    <w:rsid w:val="008E7C28"/>
    <w:rsid w:val="008F521F"/>
    <w:rsid w:val="008F589B"/>
    <w:rsid w:val="0090211A"/>
    <w:rsid w:val="00903B23"/>
    <w:rsid w:val="00906D17"/>
    <w:rsid w:val="0090749B"/>
    <w:rsid w:val="0090758F"/>
    <w:rsid w:val="009077C1"/>
    <w:rsid w:val="00911D5E"/>
    <w:rsid w:val="00912F34"/>
    <w:rsid w:val="00913E8E"/>
    <w:rsid w:val="00924A28"/>
    <w:rsid w:val="00925AFF"/>
    <w:rsid w:val="00926ACC"/>
    <w:rsid w:val="00926F77"/>
    <w:rsid w:val="009305F2"/>
    <w:rsid w:val="00931D82"/>
    <w:rsid w:val="00932140"/>
    <w:rsid w:val="009360DE"/>
    <w:rsid w:val="0093742B"/>
    <w:rsid w:val="00940BD9"/>
    <w:rsid w:val="0094349F"/>
    <w:rsid w:val="0094373E"/>
    <w:rsid w:val="00944EA8"/>
    <w:rsid w:val="009456A7"/>
    <w:rsid w:val="00950232"/>
    <w:rsid w:val="009507DD"/>
    <w:rsid w:val="00953C8B"/>
    <w:rsid w:val="009546F6"/>
    <w:rsid w:val="0095781C"/>
    <w:rsid w:val="00957968"/>
    <w:rsid w:val="009609DA"/>
    <w:rsid w:val="00961661"/>
    <w:rsid w:val="0096234B"/>
    <w:rsid w:val="009641E8"/>
    <w:rsid w:val="00964562"/>
    <w:rsid w:val="00965021"/>
    <w:rsid w:val="00965764"/>
    <w:rsid w:val="009708EF"/>
    <w:rsid w:val="0097214D"/>
    <w:rsid w:val="0097259D"/>
    <w:rsid w:val="00972730"/>
    <w:rsid w:val="00973BED"/>
    <w:rsid w:val="00973DB3"/>
    <w:rsid w:val="00980060"/>
    <w:rsid w:val="009802DF"/>
    <w:rsid w:val="00980EE8"/>
    <w:rsid w:val="0098187E"/>
    <w:rsid w:val="00981E2D"/>
    <w:rsid w:val="00982A49"/>
    <w:rsid w:val="0098375F"/>
    <w:rsid w:val="00984956"/>
    <w:rsid w:val="00985692"/>
    <w:rsid w:val="00991DE0"/>
    <w:rsid w:val="00992744"/>
    <w:rsid w:val="00992A4C"/>
    <w:rsid w:val="00993C03"/>
    <w:rsid w:val="0099494C"/>
    <w:rsid w:val="00996D44"/>
    <w:rsid w:val="00997F87"/>
    <w:rsid w:val="009A16C7"/>
    <w:rsid w:val="009A17A8"/>
    <w:rsid w:val="009A1A1F"/>
    <w:rsid w:val="009A23FC"/>
    <w:rsid w:val="009A2EA8"/>
    <w:rsid w:val="009A3DC9"/>
    <w:rsid w:val="009A6C4E"/>
    <w:rsid w:val="009A79BC"/>
    <w:rsid w:val="009B0C43"/>
    <w:rsid w:val="009B18AB"/>
    <w:rsid w:val="009B1B3B"/>
    <w:rsid w:val="009B20C0"/>
    <w:rsid w:val="009B2712"/>
    <w:rsid w:val="009B2C55"/>
    <w:rsid w:val="009C0039"/>
    <w:rsid w:val="009C02AE"/>
    <w:rsid w:val="009C216C"/>
    <w:rsid w:val="009C2520"/>
    <w:rsid w:val="009C5302"/>
    <w:rsid w:val="009C5EA6"/>
    <w:rsid w:val="009C639C"/>
    <w:rsid w:val="009D568F"/>
    <w:rsid w:val="009D5863"/>
    <w:rsid w:val="009D6A53"/>
    <w:rsid w:val="009E28D0"/>
    <w:rsid w:val="009E377C"/>
    <w:rsid w:val="009E38DC"/>
    <w:rsid w:val="009E62E5"/>
    <w:rsid w:val="009E7674"/>
    <w:rsid w:val="009E78C4"/>
    <w:rsid w:val="009F22D7"/>
    <w:rsid w:val="009F3130"/>
    <w:rsid w:val="009F5D45"/>
    <w:rsid w:val="009F66D2"/>
    <w:rsid w:val="009F70B7"/>
    <w:rsid w:val="009F7967"/>
    <w:rsid w:val="00A01604"/>
    <w:rsid w:val="00A04165"/>
    <w:rsid w:val="00A04B1A"/>
    <w:rsid w:val="00A061EB"/>
    <w:rsid w:val="00A10507"/>
    <w:rsid w:val="00A14A6E"/>
    <w:rsid w:val="00A224BF"/>
    <w:rsid w:val="00A22D6C"/>
    <w:rsid w:val="00A242D0"/>
    <w:rsid w:val="00A264BD"/>
    <w:rsid w:val="00A34258"/>
    <w:rsid w:val="00A363BA"/>
    <w:rsid w:val="00A3685F"/>
    <w:rsid w:val="00A37D18"/>
    <w:rsid w:val="00A4249E"/>
    <w:rsid w:val="00A43CAF"/>
    <w:rsid w:val="00A44560"/>
    <w:rsid w:val="00A4789C"/>
    <w:rsid w:val="00A51E13"/>
    <w:rsid w:val="00A54825"/>
    <w:rsid w:val="00A564B6"/>
    <w:rsid w:val="00A57EA7"/>
    <w:rsid w:val="00A61116"/>
    <w:rsid w:val="00A62CE0"/>
    <w:rsid w:val="00A63326"/>
    <w:rsid w:val="00A63492"/>
    <w:rsid w:val="00A6374B"/>
    <w:rsid w:val="00A63F9F"/>
    <w:rsid w:val="00A6694D"/>
    <w:rsid w:val="00A676A0"/>
    <w:rsid w:val="00A70A98"/>
    <w:rsid w:val="00A734CB"/>
    <w:rsid w:val="00A73F95"/>
    <w:rsid w:val="00A82660"/>
    <w:rsid w:val="00A859AA"/>
    <w:rsid w:val="00A8695B"/>
    <w:rsid w:val="00A86B1E"/>
    <w:rsid w:val="00A87D4B"/>
    <w:rsid w:val="00A9027C"/>
    <w:rsid w:val="00A9085B"/>
    <w:rsid w:val="00A93EF0"/>
    <w:rsid w:val="00A9707B"/>
    <w:rsid w:val="00AA0800"/>
    <w:rsid w:val="00AA40E5"/>
    <w:rsid w:val="00AA6312"/>
    <w:rsid w:val="00AB08D2"/>
    <w:rsid w:val="00AB08E9"/>
    <w:rsid w:val="00AB0BCB"/>
    <w:rsid w:val="00AB22BC"/>
    <w:rsid w:val="00AB253B"/>
    <w:rsid w:val="00AB30F7"/>
    <w:rsid w:val="00AB57C9"/>
    <w:rsid w:val="00AB6912"/>
    <w:rsid w:val="00AB789D"/>
    <w:rsid w:val="00AC5D49"/>
    <w:rsid w:val="00AC6408"/>
    <w:rsid w:val="00AD23FA"/>
    <w:rsid w:val="00AD37D3"/>
    <w:rsid w:val="00AD6AF1"/>
    <w:rsid w:val="00AD75F1"/>
    <w:rsid w:val="00AD79D3"/>
    <w:rsid w:val="00AE0643"/>
    <w:rsid w:val="00AE2443"/>
    <w:rsid w:val="00AE2731"/>
    <w:rsid w:val="00AE39B4"/>
    <w:rsid w:val="00AE438A"/>
    <w:rsid w:val="00AE7159"/>
    <w:rsid w:val="00AF0C2C"/>
    <w:rsid w:val="00AF0DAC"/>
    <w:rsid w:val="00AF372A"/>
    <w:rsid w:val="00AF3A82"/>
    <w:rsid w:val="00AF4BE5"/>
    <w:rsid w:val="00AF4F28"/>
    <w:rsid w:val="00B00994"/>
    <w:rsid w:val="00B02615"/>
    <w:rsid w:val="00B042D4"/>
    <w:rsid w:val="00B05389"/>
    <w:rsid w:val="00B06042"/>
    <w:rsid w:val="00B07C54"/>
    <w:rsid w:val="00B07F8B"/>
    <w:rsid w:val="00B1032D"/>
    <w:rsid w:val="00B13C08"/>
    <w:rsid w:val="00B13D95"/>
    <w:rsid w:val="00B15D2F"/>
    <w:rsid w:val="00B229B8"/>
    <w:rsid w:val="00B25820"/>
    <w:rsid w:val="00B25C0C"/>
    <w:rsid w:val="00B274FB"/>
    <w:rsid w:val="00B27FF3"/>
    <w:rsid w:val="00B31345"/>
    <w:rsid w:val="00B31D97"/>
    <w:rsid w:val="00B320C1"/>
    <w:rsid w:val="00B3348A"/>
    <w:rsid w:val="00B339E9"/>
    <w:rsid w:val="00B3762C"/>
    <w:rsid w:val="00B4121E"/>
    <w:rsid w:val="00B415E6"/>
    <w:rsid w:val="00B41FE5"/>
    <w:rsid w:val="00B42647"/>
    <w:rsid w:val="00B43120"/>
    <w:rsid w:val="00B44964"/>
    <w:rsid w:val="00B458A7"/>
    <w:rsid w:val="00B45AD4"/>
    <w:rsid w:val="00B508FF"/>
    <w:rsid w:val="00B5180E"/>
    <w:rsid w:val="00B534A8"/>
    <w:rsid w:val="00B53E6F"/>
    <w:rsid w:val="00B55C39"/>
    <w:rsid w:val="00B570BB"/>
    <w:rsid w:val="00B605C0"/>
    <w:rsid w:val="00B6717E"/>
    <w:rsid w:val="00B672AA"/>
    <w:rsid w:val="00B67A9B"/>
    <w:rsid w:val="00B7089F"/>
    <w:rsid w:val="00B732B9"/>
    <w:rsid w:val="00B73CAD"/>
    <w:rsid w:val="00B80DB6"/>
    <w:rsid w:val="00B829D8"/>
    <w:rsid w:val="00B82AE5"/>
    <w:rsid w:val="00B85546"/>
    <w:rsid w:val="00B86E1A"/>
    <w:rsid w:val="00B915C4"/>
    <w:rsid w:val="00B91EB2"/>
    <w:rsid w:val="00B92588"/>
    <w:rsid w:val="00B92CE9"/>
    <w:rsid w:val="00BA0CA9"/>
    <w:rsid w:val="00BA2206"/>
    <w:rsid w:val="00BA43E4"/>
    <w:rsid w:val="00BA48F7"/>
    <w:rsid w:val="00BA69D4"/>
    <w:rsid w:val="00BB03E4"/>
    <w:rsid w:val="00BB4D46"/>
    <w:rsid w:val="00BB65BF"/>
    <w:rsid w:val="00BB6FE0"/>
    <w:rsid w:val="00BC010E"/>
    <w:rsid w:val="00BC2342"/>
    <w:rsid w:val="00BC26AA"/>
    <w:rsid w:val="00BC4961"/>
    <w:rsid w:val="00BC4C30"/>
    <w:rsid w:val="00BC5DA9"/>
    <w:rsid w:val="00BC65CA"/>
    <w:rsid w:val="00BD3BCB"/>
    <w:rsid w:val="00BD4BF5"/>
    <w:rsid w:val="00BD4F9B"/>
    <w:rsid w:val="00BD7CCD"/>
    <w:rsid w:val="00BE1E33"/>
    <w:rsid w:val="00BE3073"/>
    <w:rsid w:val="00BE3428"/>
    <w:rsid w:val="00BE3A2F"/>
    <w:rsid w:val="00BE3D50"/>
    <w:rsid w:val="00BE6A6F"/>
    <w:rsid w:val="00BE6D75"/>
    <w:rsid w:val="00BE765F"/>
    <w:rsid w:val="00BF18A7"/>
    <w:rsid w:val="00BF32EA"/>
    <w:rsid w:val="00BF4417"/>
    <w:rsid w:val="00C00B37"/>
    <w:rsid w:val="00C02467"/>
    <w:rsid w:val="00C0292D"/>
    <w:rsid w:val="00C06379"/>
    <w:rsid w:val="00C13CB5"/>
    <w:rsid w:val="00C16D05"/>
    <w:rsid w:val="00C242D0"/>
    <w:rsid w:val="00C24613"/>
    <w:rsid w:val="00C246B6"/>
    <w:rsid w:val="00C247F7"/>
    <w:rsid w:val="00C30B3D"/>
    <w:rsid w:val="00C325EE"/>
    <w:rsid w:val="00C34C7B"/>
    <w:rsid w:val="00C35C02"/>
    <w:rsid w:val="00C36DE0"/>
    <w:rsid w:val="00C37525"/>
    <w:rsid w:val="00C4113C"/>
    <w:rsid w:val="00C424F3"/>
    <w:rsid w:val="00C43367"/>
    <w:rsid w:val="00C43969"/>
    <w:rsid w:val="00C440C6"/>
    <w:rsid w:val="00C44173"/>
    <w:rsid w:val="00C441D6"/>
    <w:rsid w:val="00C46FD3"/>
    <w:rsid w:val="00C473C8"/>
    <w:rsid w:val="00C47F2D"/>
    <w:rsid w:val="00C519E2"/>
    <w:rsid w:val="00C52C99"/>
    <w:rsid w:val="00C54679"/>
    <w:rsid w:val="00C5685F"/>
    <w:rsid w:val="00C56A5D"/>
    <w:rsid w:val="00C573C8"/>
    <w:rsid w:val="00C602D1"/>
    <w:rsid w:val="00C61605"/>
    <w:rsid w:val="00C630E2"/>
    <w:rsid w:val="00C653F1"/>
    <w:rsid w:val="00C6552E"/>
    <w:rsid w:val="00C7016C"/>
    <w:rsid w:val="00C71189"/>
    <w:rsid w:val="00C715E3"/>
    <w:rsid w:val="00C71C00"/>
    <w:rsid w:val="00C76138"/>
    <w:rsid w:val="00C77129"/>
    <w:rsid w:val="00C81D62"/>
    <w:rsid w:val="00C83DFE"/>
    <w:rsid w:val="00C87FEC"/>
    <w:rsid w:val="00C910D8"/>
    <w:rsid w:val="00C93387"/>
    <w:rsid w:val="00C93DAC"/>
    <w:rsid w:val="00C94BBF"/>
    <w:rsid w:val="00C956CB"/>
    <w:rsid w:val="00C978E2"/>
    <w:rsid w:val="00CA02E3"/>
    <w:rsid w:val="00CA229B"/>
    <w:rsid w:val="00CA26A7"/>
    <w:rsid w:val="00CA2D69"/>
    <w:rsid w:val="00CA4D50"/>
    <w:rsid w:val="00CA73E9"/>
    <w:rsid w:val="00CB2862"/>
    <w:rsid w:val="00CB7BE9"/>
    <w:rsid w:val="00CC1945"/>
    <w:rsid w:val="00CC1B5C"/>
    <w:rsid w:val="00CC653B"/>
    <w:rsid w:val="00CD16FA"/>
    <w:rsid w:val="00CD4A02"/>
    <w:rsid w:val="00CD655D"/>
    <w:rsid w:val="00CD665A"/>
    <w:rsid w:val="00CE065B"/>
    <w:rsid w:val="00CE090F"/>
    <w:rsid w:val="00CE56E4"/>
    <w:rsid w:val="00CE5F54"/>
    <w:rsid w:val="00CE67CE"/>
    <w:rsid w:val="00CF009C"/>
    <w:rsid w:val="00CF0483"/>
    <w:rsid w:val="00CF2521"/>
    <w:rsid w:val="00CF2C07"/>
    <w:rsid w:val="00CF3718"/>
    <w:rsid w:val="00CF5482"/>
    <w:rsid w:val="00CF69E1"/>
    <w:rsid w:val="00CF73DA"/>
    <w:rsid w:val="00D008AE"/>
    <w:rsid w:val="00D01A0E"/>
    <w:rsid w:val="00D038E4"/>
    <w:rsid w:val="00D143EA"/>
    <w:rsid w:val="00D215F1"/>
    <w:rsid w:val="00D21EC1"/>
    <w:rsid w:val="00D24403"/>
    <w:rsid w:val="00D270D2"/>
    <w:rsid w:val="00D3019B"/>
    <w:rsid w:val="00D3065E"/>
    <w:rsid w:val="00D307A9"/>
    <w:rsid w:val="00D3310A"/>
    <w:rsid w:val="00D3453B"/>
    <w:rsid w:val="00D353B3"/>
    <w:rsid w:val="00D35400"/>
    <w:rsid w:val="00D3569F"/>
    <w:rsid w:val="00D426F2"/>
    <w:rsid w:val="00D43E45"/>
    <w:rsid w:val="00D44CA6"/>
    <w:rsid w:val="00D4628C"/>
    <w:rsid w:val="00D4695A"/>
    <w:rsid w:val="00D46AA6"/>
    <w:rsid w:val="00D51A68"/>
    <w:rsid w:val="00D5242A"/>
    <w:rsid w:val="00D526B8"/>
    <w:rsid w:val="00D543FF"/>
    <w:rsid w:val="00D55BDB"/>
    <w:rsid w:val="00D56A62"/>
    <w:rsid w:val="00D60E13"/>
    <w:rsid w:val="00D60FAC"/>
    <w:rsid w:val="00D654D9"/>
    <w:rsid w:val="00D65E62"/>
    <w:rsid w:val="00D65FFB"/>
    <w:rsid w:val="00D665E7"/>
    <w:rsid w:val="00D66C30"/>
    <w:rsid w:val="00D672D8"/>
    <w:rsid w:val="00D7336E"/>
    <w:rsid w:val="00D80E0C"/>
    <w:rsid w:val="00D80EA3"/>
    <w:rsid w:val="00D81D6B"/>
    <w:rsid w:val="00D81F04"/>
    <w:rsid w:val="00D85CA9"/>
    <w:rsid w:val="00D873C4"/>
    <w:rsid w:val="00D919EF"/>
    <w:rsid w:val="00D91C00"/>
    <w:rsid w:val="00D9504A"/>
    <w:rsid w:val="00D956F7"/>
    <w:rsid w:val="00D968B6"/>
    <w:rsid w:val="00D97AA5"/>
    <w:rsid w:val="00DA0F65"/>
    <w:rsid w:val="00DA377E"/>
    <w:rsid w:val="00DA43F1"/>
    <w:rsid w:val="00DA4B30"/>
    <w:rsid w:val="00DB03DA"/>
    <w:rsid w:val="00DB1089"/>
    <w:rsid w:val="00DB5DB1"/>
    <w:rsid w:val="00DB7FD9"/>
    <w:rsid w:val="00DC20E1"/>
    <w:rsid w:val="00DC253A"/>
    <w:rsid w:val="00DC4A97"/>
    <w:rsid w:val="00DC6F98"/>
    <w:rsid w:val="00DC7903"/>
    <w:rsid w:val="00DC7D5C"/>
    <w:rsid w:val="00DD41BA"/>
    <w:rsid w:val="00DD4F09"/>
    <w:rsid w:val="00DE118B"/>
    <w:rsid w:val="00DE1880"/>
    <w:rsid w:val="00DE194E"/>
    <w:rsid w:val="00DE4A2A"/>
    <w:rsid w:val="00DE52E7"/>
    <w:rsid w:val="00DE60BE"/>
    <w:rsid w:val="00DE6B89"/>
    <w:rsid w:val="00DE7900"/>
    <w:rsid w:val="00DF4609"/>
    <w:rsid w:val="00DF75AC"/>
    <w:rsid w:val="00DF76D1"/>
    <w:rsid w:val="00DF7D66"/>
    <w:rsid w:val="00E01E44"/>
    <w:rsid w:val="00E026D9"/>
    <w:rsid w:val="00E03C37"/>
    <w:rsid w:val="00E0400C"/>
    <w:rsid w:val="00E04C2B"/>
    <w:rsid w:val="00E05622"/>
    <w:rsid w:val="00E061BE"/>
    <w:rsid w:val="00E07184"/>
    <w:rsid w:val="00E12AB3"/>
    <w:rsid w:val="00E12C03"/>
    <w:rsid w:val="00E13386"/>
    <w:rsid w:val="00E16222"/>
    <w:rsid w:val="00E17029"/>
    <w:rsid w:val="00E1728F"/>
    <w:rsid w:val="00E20F7B"/>
    <w:rsid w:val="00E2652B"/>
    <w:rsid w:val="00E32EE8"/>
    <w:rsid w:val="00E346CC"/>
    <w:rsid w:val="00E35425"/>
    <w:rsid w:val="00E35FC5"/>
    <w:rsid w:val="00E46FC1"/>
    <w:rsid w:val="00E5387B"/>
    <w:rsid w:val="00E54D22"/>
    <w:rsid w:val="00E60EC4"/>
    <w:rsid w:val="00E61CE5"/>
    <w:rsid w:val="00E626FF"/>
    <w:rsid w:val="00E62F35"/>
    <w:rsid w:val="00E637A8"/>
    <w:rsid w:val="00E63B18"/>
    <w:rsid w:val="00E63E39"/>
    <w:rsid w:val="00E64671"/>
    <w:rsid w:val="00E649EA"/>
    <w:rsid w:val="00E64D46"/>
    <w:rsid w:val="00E652F8"/>
    <w:rsid w:val="00E65F7A"/>
    <w:rsid w:val="00E66245"/>
    <w:rsid w:val="00E706EC"/>
    <w:rsid w:val="00E7076D"/>
    <w:rsid w:val="00E71773"/>
    <w:rsid w:val="00E72C16"/>
    <w:rsid w:val="00E7549B"/>
    <w:rsid w:val="00E7601C"/>
    <w:rsid w:val="00E77258"/>
    <w:rsid w:val="00E8011A"/>
    <w:rsid w:val="00E82153"/>
    <w:rsid w:val="00E8505F"/>
    <w:rsid w:val="00E90400"/>
    <w:rsid w:val="00E90CA5"/>
    <w:rsid w:val="00E940B9"/>
    <w:rsid w:val="00E940E1"/>
    <w:rsid w:val="00EA45A3"/>
    <w:rsid w:val="00EA57C8"/>
    <w:rsid w:val="00EA5E31"/>
    <w:rsid w:val="00EA69F8"/>
    <w:rsid w:val="00EB059B"/>
    <w:rsid w:val="00EB05BE"/>
    <w:rsid w:val="00EB0650"/>
    <w:rsid w:val="00EB0B70"/>
    <w:rsid w:val="00EB15E1"/>
    <w:rsid w:val="00EB1EDE"/>
    <w:rsid w:val="00EB1F41"/>
    <w:rsid w:val="00EB7817"/>
    <w:rsid w:val="00EC266E"/>
    <w:rsid w:val="00EC2DF1"/>
    <w:rsid w:val="00EC4038"/>
    <w:rsid w:val="00EC53AB"/>
    <w:rsid w:val="00ED23A1"/>
    <w:rsid w:val="00ED39AF"/>
    <w:rsid w:val="00ED4149"/>
    <w:rsid w:val="00ED6850"/>
    <w:rsid w:val="00ED7E54"/>
    <w:rsid w:val="00EE1332"/>
    <w:rsid w:val="00EE3B19"/>
    <w:rsid w:val="00EE6A35"/>
    <w:rsid w:val="00EF080C"/>
    <w:rsid w:val="00EF1B0F"/>
    <w:rsid w:val="00EF1FA7"/>
    <w:rsid w:val="00EF2707"/>
    <w:rsid w:val="00EF2D4C"/>
    <w:rsid w:val="00EF337C"/>
    <w:rsid w:val="00EF4066"/>
    <w:rsid w:val="00EF5840"/>
    <w:rsid w:val="00EF5974"/>
    <w:rsid w:val="00EF5D36"/>
    <w:rsid w:val="00EF6B73"/>
    <w:rsid w:val="00F01FF0"/>
    <w:rsid w:val="00F02CA1"/>
    <w:rsid w:val="00F02D26"/>
    <w:rsid w:val="00F043D8"/>
    <w:rsid w:val="00F05E1F"/>
    <w:rsid w:val="00F07557"/>
    <w:rsid w:val="00F122D3"/>
    <w:rsid w:val="00F123D5"/>
    <w:rsid w:val="00F157AF"/>
    <w:rsid w:val="00F1593C"/>
    <w:rsid w:val="00F2104F"/>
    <w:rsid w:val="00F21328"/>
    <w:rsid w:val="00F225B1"/>
    <w:rsid w:val="00F22FA3"/>
    <w:rsid w:val="00F231CE"/>
    <w:rsid w:val="00F23D7A"/>
    <w:rsid w:val="00F26E19"/>
    <w:rsid w:val="00F31058"/>
    <w:rsid w:val="00F3285B"/>
    <w:rsid w:val="00F33A6A"/>
    <w:rsid w:val="00F35F3B"/>
    <w:rsid w:val="00F36547"/>
    <w:rsid w:val="00F36EE1"/>
    <w:rsid w:val="00F37000"/>
    <w:rsid w:val="00F409CB"/>
    <w:rsid w:val="00F4198A"/>
    <w:rsid w:val="00F44590"/>
    <w:rsid w:val="00F50B43"/>
    <w:rsid w:val="00F5301A"/>
    <w:rsid w:val="00F5443D"/>
    <w:rsid w:val="00F5721A"/>
    <w:rsid w:val="00F60A1F"/>
    <w:rsid w:val="00F60C6C"/>
    <w:rsid w:val="00F60E97"/>
    <w:rsid w:val="00F62978"/>
    <w:rsid w:val="00F63C92"/>
    <w:rsid w:val="00F642E2"/>
    <w:rsid w:val="00F6596A"/>
    <w:rsid w:val="00F70F72"/>
    <w:rsid w:val="00F73415"/>
    <w:rsid w:val="00F73FD2"/>
    <w:rsid w:val="00F74FF8"/>
    <w:rsid w:val="00F76D44"/>
    <w:rsid w:val="00F8072F"/>
    <w:rsid w:val="00F8180C"/>
    <w:rsid w:val="00F833BE"/>
    <w:rsid w:val="00F83B81"/>
    <w:rsid w:val="00F842AA"/>
    <w:rsid w:val="00F85FA6"/>
    <w:rsid w:val="00F91DCD"/>
    <w:rsid w:val="00F926BA"/>
    <w:rsid w:val="00F946A7"/>
    <w:rsid w:val="00F9739E"/>
    <w:rsid w:val="00FA325D"/>
    <w:rsid w:val="00FA3A9E"/>
    <w:rsid w:val="00FA54E5"/>
    <w:rsid w:val="00FA7BE1"/>
    <w:rsid w:val="00FB1A82"/>
    <w:rsid w:val="00FB1B9A"/>
    <w:rsid w:val="00FB4E75"/>
    <w:rsid w:val="00FB5DDB"/>
    <w:rsid w:val="00FB6A4B"/>
    <w:rsid w:val="00FB7999"/>
    <w:rsid w:val="00FC0ADE"/>
    <w:rsid w:val="00FC0D20"/>
    <w:rsid w:val="00FC18AA"/>
    <w:rsid w:val="00FC4DA4"/>
    <w:rsid w:val="00FC6B6C"/>
    <w:rsid w:val="00FD202A"/>
    <w:rsid w:val="00FD2705"/>
    <w:rsid w:val="00FD2FAF"/>
    <w:rsid w:val="00FD6162"/>
    <w:rsid w:val="00FE042A"/>
    <w:rsid w:val="00FE0D82"/>
    <w:rsid w:val="00FE2182"/>
    <w:rsid w:val="00FE27EA"/>
    <w:rsid w:val="00FE2BCA"/>
    <w:rsid w:val="00FE3141"/>
    <w:rsid w:val="00FE50D4"/>
    <w:rsid w:val="00FF18DB"/>
    <w:rsid w:val="00FF2D15"/>
    <w:rsid w:val="00FF47FF"/>
    <w:rsid w:val="00FF6C2B"/>
    <w:rsid w:val="00FF7A3C"/>
    <w:rsid w:val="01DA2706"/>
    <w:rsid w:val="02605A92"/>
    <w:rsid w:val="037758A7"/>
    <w:rsid w:val="04001403"/>
    <w:rsid w:val="04AF59C8"/>
    <w:rsid w:val="05B80505"/>
    <w:rsid w:val="05E77CBE"/>
    <w:rsid w:val="06082D1E"/>
    <w:rsid w:val="06670DBB"/>
    <w:rsid w:val="06B029AB"/>
    <w:rsid w:val="06E53C4B"/>
    <w:rsid w:val="0895702F"/>
    <w:rsid w:val="0B074758"/>
    <w:rsid w:val="0B4A0834"/>
    <w:rsid w:val="0B823AE5"/>
    <w:rsid w:val="0BA77399"/>
    <w:rsid w:val="0BDD173C"/>
    <w:rsid w:val="0D755E72"/>
    <w:rsid w:val="0EE01DB8"/>
    <w:rsid w:val="0F6E4444"/>
    <w:rsid w:val="0FFA726D"/>
    <w:rsid w:val="103219FA"/>
    <w:rsid w:val="11DB4E41"/>
    <w:rsid w:val="13185F27"/>
    <w:rsid w:val="139111DE"/>
    <w:rsid w:val="1482629C"/>
    <w:rsid w:val="14BC0473"/>
    <w:rsid w:val="17061847"/>
    <w:rsid w:val="1953126C"/>
    <w:rsid w:val="1A265528"/>
    <w:rsid w:val="1D0A4E3B"/>
    <w:rsid w:val="1D124470"/>
    <w:rsid w:val="1D34792F"/>
    <w:rsid w:val="1D7E6956"/>
    <w:rsid w:val="1DFC2D72"/>
    <w:rsid w:val="1E110018"/>
    <w:rsid w:val="1E2A0062"/>
    <w:rsid w:val="1FB215A9"/>
    <w:rsid w:val="21C61C71"/>
    <w:rsid w:val="22651FC5"/>
    <w:rsid w:val="22AB39C7"/>
    <w:rsid w:val="231808F7"/>
    <w:rsid w:val="253A3F09"/>
    <w:rsid w:val="26090BE8"/>
    <w:rsid w:val="268D3D79"/>
    <w:rsid w:val="27B302B6"/>
    <w:rsid w:val="299E3DD2"/>
    <w:rsid w:val="29D93BCF"/>
    <w:rsid w:val="2A771BF1"/>
    <w:rsid w:val="2B084F3D"/>
    <w:rsid w:val="2B8577C8"/>
    <w:rsid w:val="2BA07DED"/>
    <w:rsid w:val="2D411BE2"/>
    <w:rsid w:val="2D943D55"/>
    <w:rsid w:val="2F4F1FFE"/>
    <w:rsid w:val="2F531E84"/>
    <w:rsid w:val="304E133C"/>
    <w:rsid w:val="30754AA9"/>
    <w:rsid w:val="314F6398"/>
    <w:rsid w:val="31C438F8"/>
    <w:rsid w:val="32084ACC"/>
    <w:rsid w:val="33093FF2"/>
    <w:rsid w:val="334627DA"/>
    <w:rsid w:val="355F5F73"/>
    <w:rsid w:val="36675C71"/>
    <w:rsid w:val="36EE6E94"/>
    <w:rsid w:val="36F54E8F"/>
    <w:rsid w:val="37406469"/>
    <w:rsid w:val="37435392"/>
    <w:rsid w:val="386E5D80"/>
    <w:rsid w:val="38933D8D"/>
    <w:rsid w:val="394A6E24"/>
    <w:rsid w:val="3A230C04"/>
    <w:rsid w:val="3AC336C7"/>
    <w:rsid w:val="3C2753C4"/>
    <w:rsid w:val="3C2E52E6"/>
    <w:rsid w:val="3D605D68"/>
    <w:rsid w:val="3D70360B"/>
    <w:rsid w:val="3E422716"/>
    <w:rsid w:val="3E83244D"/>
    <w:rsid w:val="408A0512"/>
    <w:rsid w:val="421C57B3"/>
    <w:rsid w:val="44DF4911"/>
    <w:rsid w:val="463E77D5"/>
    <w:rsid w:val="46E357F7"/>
    <w:rsid w:val="47755268"/>
    <w:rsid w:val="491B4ACA"/>
    <w:rsid w:val="4A5D6245"/>
    <w:rsid w:val="4AFB71E8"/>
    <w:rsid w:val="4C6B5046"/>
    <w:rsid w:val="4CD13297"/>
    <w:rsid w:val="4E057365"/>
    <w:rsid w:val="4EB82083"/>
    <w:rsid w:val="4FAE543C"/>
    <w:rsid w:val="4FB20735"/>
    <w:rsid w:val="50C17A7B"/>
    <w:rsid w:val="51F01487"/>
    <w:rsid w:val="521960FD"/>
    <w:rsid w:val="52326B8F"/>
    <w:rsid w:val="52644E63"/>
    <w:rsid w:val="52C26F22"/>
    <w:rsid w:val="53A61D5F"/>
    <w:rsid w:val="54472F25"/>
    <w:rsid w:val="54C1404A"/>
    <w:rsid w:val="54DC7CF2"/>
    <w:rsid w:val="54EE3B68"/>
    <w:rsid w:val="554E29B7"/>
    <w:rsid w:val="56512E50"/>
    <w:rsid w:val="56830F86"/>
    <w:rsid w:val="56D62371"/>
    <w:rsid w:val="56E173C5"/>
    <w:rsid w:val="584C6375"/>
    <w:rsid w:val="58961ACA"/>
    <w:rsid w:val="58E33F92"/>
    <w:rsid w:val="5AC07B88"/>
    <w:rsid w:val="5ADF17CD"/>
    <w:rsid w:val="5AFB3F32"/>
    <w:rsid w:val="5B317ABF"/>
    <w:rsid w:val="5C2630C9"/>
    <w:rsid w:val="5C3E2D78"/>
    <w:rsid w:val="5D2947F0"/>
    <w:rsid w:val="5FEA379E"/>
    <w:rsid w:val="5FEE307D"/>
    <w:rsid w:val="60DC577E"/>
    <w:rsid w:val="6172150F"/>
    <w:rsid w:val="625C23E0"/>
    <w:rsid w:val="62813512"/>
    <w:rsid w:val="62A77DA4"/>
    <w:rsid w:val="63144ECD"/>
    <w:rsid w:val="64FB3EE3"/>
    <w:rsid w:val="65CF5643"/>
    <w:rsid w:val="65F70C7B"/>
    <w:rsid w:val="661B0AE8"/>
    <w:rsid w:val="666122E3"/>
    <w:rsid w:val="66783DB6"/>
    <w:rsid w:val="66B9072A"/>
    <w:rsid w:val="66E44A01"/>
    <w:rsid w:val="66F97AA3"/>
    <w:rsid w:val="66FB73BF"/>
    <w:rsid w:val="673D162F"/>
    <w:rsid w:val="67783CCC"/>
    <w:rsid w:val="6A7969A7"/>
    <w:rsid w:val="6B4C523F"/>
    <w:rsid w:val="6B6B0741"/>
    <w:rsid w:val="6BC85D01"/>
    <w:rsid w:val="6C835C9D"/>
    <w:rsid w:val="6D5A1A38"/>
    <w:rsid w:val="6DB91830"/>
    <w:rsid w:val="6EE548C1"/>
    <w:rsid w:val="71285EE4"/>
    <w:rsid w:val="73797382"/>
    <w:rsid w:val="74280319"/>
    <w:rsid w:val="74D1495F"/>
    <w:rsid w:val="751F3526"/>
    <w:rsid w:val="75921712"/>
    <w:rsid w:val="75B2474A"/>
    <w:rsid w:val="77285690"/>
    <w:rsid w:val="77586A0D"/>
    <w:rsid w:val="786E254D"/>
    <w:rsid w:val="78772C0C"/>
    <w:rsid w:val="78B04295"/>
    <w:rsid w:val="78B32326"/>
    <w:rsid w:val="792937B0"/>
    <w:rsid w:val="794878D2"/>
    <w:rsid w:val="7998253B"/>
    <w:rsid w:val="79BB608C"/>
    <w:rsid w:val="7B2F0475"/>
    <w:rsid w:val="7BFA548A"/>
    <w:rsid w:val="7C8D3100"/>
    <w:rsid w:val="7D4B5036"/>
    <w:rsid w:val="7D5549DF"/>
    <w:rsid w:val="7E233FD2"/>
    <w:rsid w:val="7E4064B7"/>
    <w:rsid w:val="7E6967FE"/>
    <w:rsid w:val="7F911DC3"/>
    <w:rsid w:val="7FDB798D"/>
    <w:rsid w:val="7FDC2C2B"/>
    <w:rsid w:val="9DABE48D"/>
    <w:rsid w:val="DFDDADE5"/>
    <w:rsid w:val="FB6FB0D0"/>
    <w:rsid w:val="FBDB37C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9"/>
    <w:qFormat/>
    <w:uiPriority w:val="0"/>
    <w:pPr>
      <w:keepNext/>
      <w:keepLines/>
      <w:spacing w:before="340" w:after="330" w:line="576" w:lineRule="auto"/>
      <w:outlineLvl w:val="0"/>
    </w:pPr>
    <w:rPr>
      <w:b/>
      <w:kern w:val="44"/>
      <w:sz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2">
    <w:name w:val="heading 3"/>
    <w:basedOn w:val="1"/>
    <w:next w:val="1"/>
    <w:link w:val="30"/>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3">
    <w:name w:val="Default Paragraph Font"/>
    <w:unhideWhenUsed/>
    <w:qFormat/>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ind w:firstLine="420" w:firstLineChars="200"/>
    </w:pPr>
  </w:style>
  <w:style w:type="paragraph" w:styleId="7">
    <w:name w:val="annotation text"/>
    <w:basedOn w:val="1"/>
    <w:link w:val="50"/>
    <w:unhideWhenUsed/>
    <w:qFormat/>
    <w:uiPriority w:val="99"/>
    <w:pPr>
      <w:jc w:val="left"/>
    </w:pPr>
  </w:style>
  <w:style w:type="paragraph" w:styleId="8">
    <w:name w:val="Salutation"/>
    <w:basedOn w:val="1"/>
    <w:next w:val="1"/>
    <w:link w:val="46"/>
    <w:qFormat/>
    <w:uiPriority w:val="0"/>
  </w:style>
  <w:style w:type="paragraph" w:styleId="9">
    <w:name w:val="Body Text"/>
    <w:basedOn w:val="1"/>
    <w:link w:val="34"/>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29"/>
      <w:szCs w:val="29"/>
      <w:lang w:eastAsia="en-US"/>
    </w:rPr>
  </w:style>
  <w:style w:type="paragraph" w:styleId="10">
    <w:name w:val="Body Text Indent"/>
    <w:basedOn w:val="1"/>
    <w:link w:val="44"/>
    <w:unhideWhenUsed/>
    <w:qFormat/>
    <w:uiPriority w:val="99"/>
    <w:pPr>
      <w:spacing w:after="120"/>
      <w:ind w:left="420" w:leftChars="200"/>
    </w:pPr>
  </w:style>
  <w:style w:type="paragraph" w:styleId="11">
    <w:name w:val="toc 3"/>
    <w:basedOn w:val="1"/>
    <w:next w:val="1"/>
    <w:unhideWhenUsed/>
    <w:qFormat/>
    <w:uiPriority w:val="39"/>
    <w:pPr>
      <w:ind w:left="840" w:leftChars="400"/>
    </w:pPr>
  </w:style>
  <w:style w:type="paragraph" w:styleId="12">
    <w:name w:val="Balloon Text"/>
    <w:basedOn w:val="1"/>
    <w:link w:val="41"/>
    <w:unhideWhenUsed/>
    <w:qFormat/>
    <w:uiPriority w:val="99"/>
    <w:rPr>
      <w:sz w:val="18"/>
      <w:szCs w:val="18"/>
    </w:r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paragraph" w:styleId="1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8">
    <w:name w:val="Normal (Web)"/>
    <w:basedOn w:val="1"/>
    <w:unhideWhenUsed/>
    <w:qFormat/>
    <w:uiPriority w:val="0"/>
    <w:pPr>
      <w:spacing w:beforeAutospacing="1" w:after="100" w:afterAutospacing="1" w:line="278" w:lineRule="auto"/>
    </w:pPr>
    <w:rPr>
      <w:sz w:val="24"/>
      <w:szCs w:val="22"/>
    </w:rPr>
  </w:style>
  <w:style w:type="paragraph" w:styleId="19">
    <w:name w:val="annotation subject"/>
    <w:basedOn w:val="7"/>
    <w:next w:val="7"/>
    <w:link w:val="51"/>
    <w:unhideWhenUsed/>
    <w:qFormat/>
    <w:uiPriority w:val="99"/>
    <w:rPr>
      <w:b/>
      <w:bCs/>
    </w:rPr>
  </w:style>
  <w:style w:type="paragraph" w:styleId="20">
    <w:name w:val="Body Text First Indent 2"/>
    <w:basedOn w:val="10"/>
    <w:link w:val="45"/>
    <w:unhideWhenUsed/>
    <w:qFormat/>
    <w:uiPriority w:val="99"/>
    <w:pPr>
      <w:ind w:firstLine="420" w:firstLineChars="200"/>
    </w:p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Hyperlink"/>
    <w:basedOn w:val="23"/>
    <w:unhideWhenUsed/>
    <w:qFormat/>
    <w:uiPriority w:val="99"/>
    <w:rPr>
      <w:color w:val="0563C1" w:themeColor="hyperlink"/>
      <w:u w:val="single"/>
      <w14:textFill>
        <w14:solidFill>
          <w14:schemeClr w14:val="hlink"/>
        </w14:solidFill>
      </w14:textFill>
    </w:rPr>
  </w:style>
  <w:style w:type="character" w:styleId="26">
    <w:name w:val="annotation reference"/>
    <w:basedOn w:val="23"/>
    <w:unhideWhenUsed/>
    <w:qFormat/>
    <w:uiPriority w:val="99"/>
    <w:rPr>
      <w:sz w:val="21"/>
      <w:szCs w:val="21"/>
    </w:rPr>
  </w:style>
  <w:style w:type="character" w:customStyle="1" w:styleId="27">
    <w:name w:val="页眉 字符"/>
    <w:basedOn w:val="23"/>
    <w:link w:val="14"/>
    <w:qFormat/>
    <w:uiPriority w:val="99"/>
    <w:rPr>
      <w:rFonts w:ascii="Calibri" w:hAnsi="Calibri" w:eastAsia="宋体" w:cs="Times New Roman"/>
      <w:sz w:val="18"/>
      <w:szCs w:val="18"/>
    </w:rPr>
  </w:style>
  <w:style w:type="character" w:customStyle="1" w:styleId="28">
    <w:name w:val="页脚 字符"/>
    <w:basedOn w:val="23"/>
    <w:link w:val="13"/>
    <w:qFormat/>
    <w:uiPriority w:val="99"/>
    <w:rPr>
      <w:rFonts w:ascii="Calibri" w:hAnsi="Calibri" w:eastAsia="宋体" w:cs="Times New Roman"/>
      <w:sz w:val="18"/>
      <w:szCs w:val="18"/>
    </w:rPr>
  </w:style>
  <w:style w:type="character" w:customStyle="1" w:styleId="29">
    <w:name w:val="标题 1 字符"/>
    <w:basedOn w:val="23"/>
    <w:link w:val="3"/>
    <w:qFormat/>
    <w:uiPriority w:val="0"/>
    <w:rPr>
      <w:rFonts w:ascii="Calibri" w:hAnsi="Calibri" w:eastAsia="宋体" w:cs="Times New Roman"/>
      <w:b/>
      <w:kern w:val="44"/>
      <w:sz w:val="44"/>
      <w:szCs w:val="24"/>
    </w:rPr>
  </w:style>
  <w:style w:type="character" w:customStyle="1" w:styleId="30">
    <w:name w:val="标题 3 字符"/>
    <w:basedOn w:val="23"/>
    <w:link w:val="2"/>
    <w:qFormat/>
    <w:uiPriority w:val="9"/>
    <w:rPr>
      <w:rFonts w:ascii="Calibri" w:hAnsi="Calibri" w:eastAsia="宋体" w:cs="Times New Roman"/>
      <w:b/>
      <w:bCs/>
      <w:kern w:val="2"/>
      <w:sz w:val="32"/>
      <w:szCs w:val="32"/>
    </w:rPr>
  </w:style>
  <w:style w:type="character" w:customStyle="1" w:styleId="31">
    <w:name w:val="标题 4 字符"/>
    <w:basedOn w:val="23"/>
    <w:link w:val="5"/>
    <w:semiHidden/>
    <w:qFormat/>
    <w:uiPriority w:val="9"/>
    <w:rPr>
      <w:rFonts w:asciiTheme="majorHAnsi" w:hAnsiTheme="majorHAnsi" w:eastAsiaTheme="majorEastAsia" w:cstheme="majorBidi"/>
      <w:b/>
      <w:bCs/>
      <w:kern w:val="2"/>
      <w:sz w:val="28"/>
      <w:szCs w:val="28"/>
    </w:rPr>
  </w:style>
  <w:style w:type="paragraph" w:customStyle="1" w:styleId="32">
    <w:name w:val="ds-markdown-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33">
    <w:name w:val="标题 2 字符"/>
    <w:basedOn w:val="23"/>
    <w:link w:val="4"/>
    <w:qFormat/>
    <w:uiPriority w:val="9"/>
    <w:rPr>
      <w:rFonts w:asciiTheme="majorHAnsi" w:hAnsiTheme="majorHAnsi" w:eastAsiaTheme="majorEastAsia" w:cstheme="majorBidi"/>
      <w:b/>
      <w:bCs/>
      <w:kern w:val="2"/>
      <w:sz w:val="32"/>
      <w:szCs w:val="32"/>
    </w:rPr>
  </w:style>
  <w:style w:type="character" w:customStyle="1" w:styleId="34">
    <w:name w:val="正文文本 字符"/>
    <w:basedOn w:val="23"/>
    <w:link w:val="9"/>
    <w:qFormat/>
    <w:uiPriority w:val="0"/>
    <w:rPr>
      <w:rFonts w:ascii="仿宋" w:hAnsi="仿宋" w:cs="仿宋"/>
      <w:snapToGrid w:val="0"/>
      <w:color w:val="000000"/>
      <w:sz w:val="29"/>
      <w:szCs w:val="29"/>
      <w:lang w:eastAsia="en-US"/>
    </w:rPr>
  </w:style>
  <w:style w:type="character" w:customStyle="1" w:styleId="35">
    <w:name w:val="fontstyle01"/>
    <w:basedOn w:val="23"/>
    <w:qFormat/>
    <w:uiPriority w:val="0"/>
    <w:rPr>
      <w:rFonts w:hint="eastAsia" w:ascii="仿宋_GB2312" w:eastAsia="仿宋_GB2312"/>
      <w:color w:val="000000"/>
      <w:sz w:val="28"/>
      <w:szCs w:val="28"/>
    </w:rPr>
  </w:style>
  <w:style w:type="character" w:customStyle="1" w:styleId="36">
    <w:name w:val="fontstyle11"/>
    <w:basedOn w:val="23"/>
    <w:qFormat/>
    <w:uiPriority w:val="0"/>
    <w:rPr>
      <w:rFonts w:hint="default" w:ascii="Times New Roman" w:hAnsi="Times New Roman" w:cs="Times New Roman"/>
      <w:b/>
      <w:bCs/>
      <w:color w:val="000000"/>
      <w:sz w:val="28"/>
      <w:szCs w:val="28"/>
    </w:rPr>
  </w:style>
  <w:style w:type="character" w:customStyle="1" w:styleId="37">
    <w:name w:val="fontstyle21"/>
    <w:basedOn w:val="23"/>
    <w:qFormat/>
    <w:uiPriority w:val="0"/>
    <w:rPr>
      <w:rFonts w:hint="eastAsia" w:ascii="楷体_GB2312" w:eastAsia="楷体_GB2312"/>
      <w:color w:val="000000"/>
      <w:sz w:val="28"/>
      <w:szCs w:val="28"/>
    </w:rPr>
  </w:style>
  <w:style w:type="character" w:customStyle="1" w:styleId="38">
    <w:name w:val="fontstyle41"/>
    <w:basedOn w:val="23"/>
    <w:qFormat/>
    <w:uiPriority w:val="0"/>
    <w:rPr>
      <w:rFonts w:hint="eastAsia" w:ascii="宋体" w:hAnsi="宋体" w:eastAsia="宋体"/>
      <w:color w:val="000000"/>
      <w:sz w:val="28"/>
      <w:szCs w:val="28"/>
    </w:rPr>
  </w:style>
  <w:style w:type="paragraph" w:customStyle="1" w:styleId="39">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F5597" w:themeColor="accent1" w:themeShade="BF"/>
      <w:kern w:val="0"/>
      <w:sz w:val="32"/>
      <w:szCs w:val="32"/>
    </w:rPr>
  </w:style>
  <w:style w:type="paragraph" w:customStyle="1" w:styleId="40">
    <w:name w:val="列出段落1"/>
    <w:basedOn w:val="1"/>
    <w:qFormat/>
    <w:uiPriority w:val="99"/>
    <w:pPr>
      <w:ind w:firstLine="420" w:firstLineChars="200"/>
    </w:pPr>
  </w:style>
  <w:style w:type="character" w:customStyle="1" w:styleId="41">
    <w:name w:val="批注框文本 字符"/>
    <w:basedOn w:val="23"/>
    <w:link w:val="12"/>
    <w:semiHidden/>
    <w:qFormat/>
    <w:uiPriority w:val="99"/>
    <w:rPr>
      <w:rFonts w:ascii="Calibri" w:hAnsi="Calibri"/>
      <w:kern w:val="2"/>
      <w:sz w:val="18"/>
      <w:szCs w:val="18"/>
    </w:rPr>
  </w:style>
  <w:style w:type="paragraph" w:customStyle="1" w:styleId="42">
    <w:name w:val="列出段落2"/>
    <w:basedOn w:val="1"/>
    <w:qFormat/>
    <w:uiPriority w:val="99"/>
    <w:pPr>
      <w:ind w:firstLine="420" w:firstLineChars="200"/>
    </w:pPr>
  </w:style>
  <w:style w:type="paragraph" w:customStyle="1" w:styleId="43">
    <w:name w:val="列出段落3"/>
    <w:basedOn w:val="1"/>
    <w:qFormat/>
    <w:uiPriority w:val="99"/>
    <w:pPr>
      <w:ind w:firstLine="420" w:firstLineChars="200"/>
    </w:pPr>
  </w:style>
  <w:style w:type="character" w:customStyle="1" w:styleId="44">
    <w:name w:val="正文文本缩进 字符"/>
    <w:basedOn w:val="23"/>
    <w:link w:val="10"/>
    <w:semiHidden/>
    <w:qFormat/>
    <w:uiPriority w:val="99"/>
    <w:rPr>
      <w:rFonts w:ascii="Calibri" w:hAnsi="Calibri"/>
      <w:kern w:val="2"/>
      <w:sz w:val="21"/>
      <w:szCs w:val="24"/>
    </w:rPr>
  </w:style>
  <w:style w:type="character" w:customStyle="1" w:styleId="45">
    <w:name w:val="正文首行缩进 2 字符"/>
    <w:basedOn w:val="44"/>
    <w:link w:val="20"/>
    <w:qFormat/>
    <w:uiPriority w:val="99"/>
    <w:rPr>
      <w:rFonts w:ascii="Calibri" w:hAnsi="Calibri"/>
      <w:kern w:val="2"/>
      <w:sz w:val="21"/>
      <w:szCs w:val="24"/>
    </w:rPr>
  </w:style>
  <w:style w:type="character" w:customStyle="1" w:styleId="46">
    <w:name w:val="称呼 字符"/>
    <w:basedOn w:val="23"/>
    <w:link w:val="8"/>
    <w:qFormat/>
    <w:uiPriority w:val="0"/>
    <w:rPr>
      <w:rFonts w:ascii="Calibri" w:hAnsi="Calibri"/>
      <w:kern w:val="2"/>
      <w:sz w:val="21"/>
      <w:szCs w:val="24"/>
    </w:rPr>
  </w:style>
  <w:style w:type="paragraph" w:customStyle="1" w:styleId="47">
    <w:name w:val="报告正文"/>
    <w:basedOn w:val="1"/>
    <w:qFormat/>
    <w:uiPriority w:val="0"/>
    <w:pPr>
      <w:adjustRightInd w:val="0"/>
      <w:snapToGrid w:val="0"/>
      <w:spacing w:line="588" w:lineRule="exact"/>
      <w:ind w:firstLine="600" w:firstLineChars="200"/>
    </w:pPr>
    <w:rPr>
      <w:rFonts w:ascii="Times New Roman" w:hAnsi="Times New Roman" w:eastAsia="仿宋"/>
      <w:sz w:val="30"/>
      <w:szCs w:val="30"/>
      <w:shd w:val="clear" w:color="auto" w:fill="FFFFFF"/>
    </w:rPr>
  </w:style>
  <w:style w:type="paragraph" w:customStyle="1" w:styleId="48">
    <w:name w:val="专栏文字"/>
    <w:basedOn w:val="1"/>
    <w:qFormat/>
    <w:uiPriority w:val="0"/>
    <w:pPr>
      <w:adjustRightInd w:val="0"/>
      <w:snapToGrid w:val="0"/>
      <w:spacing w:before="50" w:beforeLines="50" w:after="50" w:afterLines="50" w:line="276" w:lineRule="auto"/>
      <w:ind w:firstLine="200" w:firstLineChars="200"/>
      <w:contextualSpacing/>
    </w:pPr>
    <w:rPr>
      <w:rFonts w:ascii="Times New Roman" w:hAnsi="Times New Roman" w:eastAsia="楷体" w:cs="楷体"/>
      <w:sz w:val="28"/>
      <w:szCs w:val="28"/>
    </w:rPr>
  </w:style>
  <w:style w:type="table" w:customStyle="1" w:styleId="49">
    <w:name w:val="网格型311"/>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50">
    <w:name w:val="批注文字 字符"/>
    <w:basedOn w:val="23"/>
    <w:link w:val="7"/>
    <w:qFormat/>
    <w:uiPriority w:val="99"/>
    <w:rPr>
      <w:rFonts w:ascii="Calibri" w:hAnsi="Calibri"/>
      <w:kern w:val="2"/>
      <w:sz w:val="21"/>
      <w:szCs w:val="24"/>
    </w:rPr>
  </w:style>
  <w:style w:type="character" w:customStyle="1" w:styleId="51">
    <w:name w:val="批注主题 字符"/>
    <w:basedOn w:val="50"/>
    <w:link w:val="19"/>
    <w:semiHidden/>
    <w:qFormat/>
    <w:uiPriority w:val="99"/>
    <w:rPr>
      <w:rFonts w:ascii="Calibri" w:hAnsi="Calibri"/>
      <w:b/>
      <w:bCs/>
      <w:kern w:val="2"/>
      <w:sz w:val="21"/>
      <w:szCs w:val="24"/>
    </w:rPr>
  </w:style>
  <w:style w:type="paragraph" w:customStyle="1" w:styleId="52">
    <w:name w:val="列出段落4"/>
    <w:basedOn w:val="1"/>
    <w:qFormat/>
    <w:uiPriority w:val="99"/>
    <w:pPr>
      <w:ind w:firstLine="420" w:firstLineChars="200"/>
    </w:pPr>
  </w:style>
  <w:style w:type="paragraph" w:customStyle="1" w:styleId="53">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standalone='no'?>
<b:Sources xmlns:b="http://schemas.openxmlformats.org/officeDocument/2006/bibliography" SelectedStyle="\APASixthEditionOfficeOnline.xsl" StyleName="APA" Version="6" xmlns:b="http://schemas.openxmlformats.org/officeDocument/2006/bibliography"/>

</file>

<file path=customXml/itemProps1.xml><?xml version="1.0" encoding="utf-8"?>
<ds:datastoreItem xmlns:ds="http://schemas.openxmlformats.org/officeDocument/2006/customXml" ds:itemID="{51EEE91D-C002-4FC9-86DA-426726C593A5}">
  <ds:schemaRefs/>
</ds:datastoreItem>
</file>

<file path=docProps/app.xml><?xml version="1.0" encoding="utf-8"?>
<Properties xmlns="http://schemas.openxmlformats.org/officeDocument/2006/extended-properties" xmlns:vt="http://schemas.openxmlformats.org/officeDocument/2006/docPropsVTypes">
  <Template>Normal</Template>
  <Pages>84</Pages>
  <Words>6717</Words>
  <Characters>38287</Characters>
  <Lines>319</Lines>
  <Paragraphs>89</Paragraphs>
  <TotalTime>3</TotalTime>
  <ScaleCrop>false</ScaleCrop>
  <LinksUpToDate>false</LinksUpToDate>
  <CharactersWithSpaces>44915</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2026-07-24T05:10:00Z</dcterms:created>
  <dc:creator>wyt</dc:creator>
  <cp:lastModifiedBy>user</cp:lastModifiedBy>
  <cp:lastPrinted>2026-08-10T17:29:00Z</cp:lastPrinted>
  <dcterms:modified xsi:type="dcterms:W3CDTF">2026-09-14T08:34:59Z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eyJoZGlkIjoiZTk2NTU4NjA1NjBlNWE3ZGU4MDdlOTBkMTM2YjcwOWQiLCJ1c2VySWQiOiIzOTMwODg1MzIifQ==</vt:lpwstr>
  </property>
  <property fmtid="{D5CDD505-2E9C-101B-9397-08002B2CF9AE}" pid="3" name="KSOProductBuildVer">
    <vt:lpwstr>2052-11.8.2.12219</vt:lpwstr>
  </property>
  <property fmtid="{D5CDD505-2E9C-101B-9397-08002B2CF9AE}" pid="4" name="ICV">
    <vt:lpwstr>364E8E0D1ED57D833341A76AE1986A59</vt:lpwstr>
  </property>
</Properties>
</file>