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D5D2" w14:textId="6E69E509" w:rsidR="000D603D" w:rsidRDefault="00000000">
      <w:pPr>
        <w:jc w:val="center"/>
        <w:rPr>
          <w:rFonts w:ascii="宋体" w:eastAsia="宋体" w:hAnsi="宋体" w:cs="宋体" w:hint="eastAsia"/>
          <w:b/>
          <w:bCs/>
          <w:sz w:val="32"/>
          <w:szCs w:val="21"/>
          <w14:ligatures w14:val="none"/>
        </w:rPr>
      </w:pPr>
      <w:r>
        <w:rPr>
          <w:rFonts w:ascii="宋体" w:eastAsia="宋体" w:hAnsi="宋体" w:cs="宋体" w:hint="eastAsia"/>
          <w:b/>
          <w:bCs/>
          <w:sz w:val="32"/>
          <w:szCs w:val="21"/>
          <w14:ligatures w14:val="none"/>
        </w:rPr>
        <w:t>海棠</w:t>
      </w:r>
      <w:proofErr w:type="gramStart"/>
      <w:r>
        <w:rPr>
          <w:rFonts w:ascii="宋体" w:eastAsia="宋体" w:hAnsi="宋体" w:cs="宋体" w:hint="eastAsia"/>
          <w:b/>
          <w:bCs/>
          <w:sz w:val="32"/>
          <w:szCs w:val="21"/>
          <w14:ligatures w14:val="none"/>
        </w:rPr>
        <w:t>区藤海</w:t>
      </w:r>
      <w:proofErr w:type="gramEnd"/>
      <w:r>
        <w:rPr>
          <w:rFonts w:ascii="宋体" w:eastAsia="宋体" w:hAnsi="宋体" w:cs="宋体" w:hint="eastAsia"/>
          <w:b/>
          <w:bCs/>
          <w:sz w:val="32"/>
          <w:szCs w:val="21"/>
          <w14:ligatures w14:val="none"/>
        </w:rPr>
        <w:t>社区独立地块项目详细规划</w:t>
      </w:r>
      <w:r>
        <w:rPr>
          <w:rFonts w:ascii="宋体" w:eastAsia="宋体" w:hAnsi="宋体" w:cs="宋体"/>
          <w:b/>
          <w:bCs/>
          <w:sz w:val="32"/>
          <w:szCs w:val="21"/>
          <w14:ligatures w14:val="none"/>
        </w:rPr>
        <w:br/>
      </w:r>
      <w:r>
        <w:rPr>
          <w:rFonts w:ascii="宋体" w:eastAsia="宋体" w:hAnsi="宋体" w:cs="宋体" w:hint="eastAsia"/>
          <w:b/>
          <w:bCs/>
          <w:sz w:val="32"/>
          <w:szCs w:val="21"/>
          <w14:ligatures w14:val="none"/>
        </w:rPr>
        <w:t>（</w:t>
      </w:r>
      <w:r w:rsidR="00EE4033" w:rsidRPr="00EE4033">
        <w:rPr>
          <w:rFonts w:ascii="宋体" w:eastAsia="宋体" w:hAnsi="宋体" w:cs="宋体" w:hint="eastAsia"/>
          <w:b/>
          <w:bCs/>
          <w:sz w:val="32"/>
          <w:szCs w:val="21"/>
          <w14:ligatures w14:val="none"/>
        </w:rPr>
        <w:t>批后公布稿</w:t>
      </w:r>
      <w:r>
        <w:rPr>
          <w:rFonts w:ascii="宋体" w:eastAsia="宋体" w:hAnsi="宋体" w:cs="宋体" w:hint="eastAsia"/>
          <w:b/>
          <w:bCs/>
          <w:sz w:val="32"/>
          <w:szCs w:val="21"/>
          <w14:ligatures w14:val="none"/>
        </w:rPr>
        <w:t>）</w:t>
      </w:r>
    </w:p>
    <w:p w14:paraId="5499A5A4" w14:textId="6068FC48" w:rsidR="000D603D" w:rsidRDefault="00BC50EA">
      <w:pPr>
        <w:pStyle w:val="aa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</w:pPr>
      <w:r w:rsidRPr="00BC50EA"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  <w:t>项目背景</w:t>
      </w:r>
    </w:p>
    <w:p w14:paraId="40483E58" w14:textId="77777777" w:rsidR="00CC4A00" w:rsidRPr="00CC4A00" w:rsidRDefault="00CC4A00" w:rsidP="00CC4A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 w:rsidRPr="00CC4A00">
        <w:rPr>
          <w:rFonts w:hint="eastAsia"/>
          <w:sz w:val="24"/>
          <w:szCs w:val="18"/>
        </w:rPr>
        <w:t>近年来，</w:t>
      </w:r>
      <w:proofErr w:type="gramStart"/>
      <w:r w:rsidRPr="00CC4A00">
        <w:rPr>
          <w:rFonts w:hint="eastAsia"/>
          <w:sz w:val="24"/>
          <w:szCs w:val="18"/>
        </w:rPr>
        <w:t>藤海社区</w:t>
      </w:r>
      <w:proofErr w:type="gramEnd"/>
      <w:r w:rsidRPr="00CC4A00">
        <w:rPr>
          <w:rFonts w:hint="eastAsia"/>
          <w:sz w:val="24"/>
          <w:szCs w:val="18"/>
        </w:rPr>
        <w:t>依托皇后湾适宜冲浪的自然环境和临近</w:t>
      </w:r>
      <w:proofErr w:type="gramStart"/>
      <w:r w:rsidRPr="00CC4A00">
        <w:rPr>
          <w:rFonts w:hint="eastAsia"/>
          <w:sz w:val="24"/>
          <w:szCs w:val="18"/>
        </w:rPr>
        <w:t>蜈</w:t>
      </w:r>
      <w:proofErr w:type="gramEnd"/>
      <w:r w:rsidRPr="00CC4A00">
        <w:rPr>
          <w:rFonts w:hint="eastAsia"/>
          <w:sz w:val="24"/>
          <w:szCs w:val="18"/>
        </w:rPr>
        <w:t>支洲岛景区的区位优势，逐渐发展成为国内知名“冲浪圣地”、“网红渔村”。为增强社区旅游可持续发展，以及提升居民生活品质、增强社区凝聚力和满足居民及游客多样化、个性化需求，</w:t>
      </w:r>
      <w:proofErr w:type="gramStart"/>
      <w:r w:rsidRPr="00CC4A00">
        <w:rPr>
          <w:rFonts w:hint="eastAsia"/>
          <w:sz w:val="24"/>
          <w:szCs w:val="18"/>
        </w:rPr>
        <w:t>藤海社区</w:t>
      </w:r>
      <w:proofErr w:type="gramEnd"/>
      <w:r w:rsidRPr="00CC4A00">
        <w:rPr>
          <w:rFonts w:hint="eastAsia"/>
          <w:sz w:val="24"/>
          <w:szCs w:val="18"/>
        </w:rPr>
        <w:t>拟在社区两南部</w:t>
      </w:r>
      <w:proofErr w:type="gramStart"/>
      <w:r w:rsidRPr="00CC4A00">
        <w:rPr>
          <w:rFonts w:hint="eastAsia"/>
          <w:sz w:val="24"/>
          <w:szCs w:val="18"/>
        </w:rPr>
        <w:t>建设藤海社区</w:t>
      </w:r>
      <w:proofErr w:type="gramEnd"/>
      <w:r w:rsidRPr="00CC4A00">
        <w:rPr>
          <w:rFonts w:hint="eastAsia"/>
          <w:sz w:val="24"/>
          <w:szCs w:val="18"/>
        </w:rPr>
        <w:t>乡村振兴产业融合发展项目。</w:t>
      </w:r>
    </w:p>
    <w:p w14:paraId="3043BAFA" w14:textId="62394113" w:rsidR="00BC50EA" w:rsidRPr="007614B4" w:rsidRDefault="00CC4A00" w:rsidP="00CC4A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 w:rsidRPr="00CC4A00">
        <w:rPr>
          <w:rFonts w:hint="eastAsia"/>
          <w:sz w:val="24"/>
          <w:szCs w:val="18"/>
        </w:rPr>
        <w:t>本项目属于村庄建设边界</w:t>
      </w:r>
      <w:proofErr w:type="gramStart"/>
      <w:r w:rsidRPr="00CC4A00">
        <w:rPr>
          <w:rFonts w:hint="eastAsia"/>
          <w:sz w:val="24"/>
          <w:szCs w:val="18"/>
        </w:rPr>
        <w:t>外独立</w:t>
      </w:r>
      <w:proofErr w:type="gramEnd"/>
      <w:r w:rsidRPr="00CC4A00">
        <w:rPr>
          <w:rFonts w:hint="eastAsia"/>
          <w:sz w:val="24"/>
          <w:szCs w:val="18"/>
        </w:rPr>
        <w:t>地块，为推进项目建设实施提供法定依据，完善项目功能布局及地块开发强度指标等。经三亚市海棠区人民政府会议研究，同意启动海棠</w:t>
      </w:r>
      <w:proofErr w:type="gramStart"/>
      <w:r w:rsidRPr="00CC4A00">
        <w:rPr>
          <w:rFonts w:hint="eastAsia"/>
          <w:sz w:val="24"/>
          <w:szCs w:val="18"/>
        </w:rPr>
        <w:t>区藤海</w:t>
      </w:r>
      <w:proofErr w:type="gramEnd"/>
      <w:r w:rsidRPr="00CC4A00">
        <w:rPr>
          <w:rFonts w:hint="eastAsia"/>
          <w:sz w:val="24"/>
          <w:szCs w:val="18"/>
        </w:rPr>
        <w:t>社区独立地块项目详细规划编制工作。本次规划根据《海南自由贸易港国土空间规划条例》关于城镇开发边界外村庄规划编制程序开展</w:t>
      </w:r>
      <w:r w:rsidR="007614B4" w:rsidRPr="007614B4">
        <w:rPr>
          <w:rFonts w:hint="eastAsia"/>
          <w:sz w:val="24"/>
          <w:szCs w:val="18"/>
        </w:rPr>
        <w:t>。</w:t>
      </w:r>
    </w:p>
    <w:p w14:paraId="30D1249E" w14:textId="3BDD6288" w:rsidR="007D40E8" w:rsidRPr="007D40E8" w:rsidRDefault="007D40E8" w:rsidP="007D40E8">
      <w:pPr>
        <w:pStyle w:val="aa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</w:pPr>
      <w:r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  <w:t>规划范围</w:t>
      </w:r>
    </w:p>
    <w:p w14:paraId="257461F1" w14:textId="67B41F51" w:rsidR="000D603D" w:rsidRDefault="000000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本项目位于三亚市海棠</w:t>
      </w:r>
      <w:proofErr w:type="gramStart"/>
      <w:r>
        <w:rPr>
          <w:rFonts w:hint="eastAsia"/>
          <w:sz w:val="24"/>
          <w:szCs w:val="18"/>
        </w:rPr>
        <w:t>湾藤海</w:t>
      </w:r>
      <w:proofErr w:type="gramEnd"/>
      <w:r>
        <w:rPr>
          <w:rFonts w:hint="eastAsia"/>
          <w:sz w:val="24"/>
          <w:szCs w:val="18"/>
        </w:rPr>
        <w:t>社区，东起渔港路</w:t>
      </w:r>
      <w:r>
        <w:rPr>
          <w:sz w:val="24"/>
          <w:szCs w:val="18"/>
        </w:rPr>
        <w:t>，西至</w:t>
      </w:r>
      <w:r>
        <w:rPr>
          <w:rFonts w:hint="eastAsia"/>
          <w:sz w:val="24"/>
          <w:szCs w:val="18"/>
        </w:rPr>
        <w:t>社区居民</w:t>
      </w:r>
      <w:r>
        <w:rPr>
          <w:sz w:val="24"/>
          <w:szCs w:val="18"/>
        </w:rPr>
        <w:t>产权</w:t>
      </w:r>
      <w:r>
        <w:rPr>
          <w:rFonts w:hint="eastAsia"/>
          <w:sz w:val="24"/>
          <w:szCs w:val="18"/>
        </w:rPr>
        <w:t>地</w:t>
      </w:r>
      <w:r>
        <w:rPr>
          <w:sz w:val="24"/>
          <w:szCs w:val="18"/>
        </w:rPr>
        <w:t>，北</w:t>
      </w:r>
      <w:proofErr w:type="gramStart"/>
      <w:r>
        <w:rPr>
          <w:sz w:val="24"/>
          <w:szCs w:val="18"/>
        </w:rPr>
        <w:t>抵</w:t>
      </w:r>
      <w:r>
        <w:rPr>
          <w:rFonts w:hint="eastAsia"/>
          <w:sz w:val="24"/>
          <w:szCs w:val="18"/>
        </w:rPr>
        <w:t>藤海</w:t>
      </w:r>
      <w:proofErr w:type="gramEnd"/>
      <w:r>
        <w:rPr>
          <w:sz w:val="24"/>
          <w:szCs w:val="18"/>
        </w:rPr>
        <w:t>小学</w:t>
      </w:r>
      <w:r>
        <w:rPr>
          <w:rFonts w:hint="eastAsia"/>
          <w:sz w:val="24"/>
          <w:szCs w:val="18"/>
        </w:rPr>
        <w:t>南</w:t>
      </w:r>
      <w:r>
        <w:rPr>
          <w:sz w:val="24"/>
          <w:szCs w:val="18"/>
        </w:rPr>
        <w:t>端</w:t>
      </w:r>
      <w:r>
        <w:rPr>
          <w:rFonts w:hint="eastAsia"/>
          <w:sz w:val="24"/>
          <w:szCs w:val="18"/>
        </w:rPr>
        <w:t>，规划项目包括两个地块，总用地面积约0.77公顷（约11.55亩），其中HH-01地块结合土地权属及现状设施情况划定，用地面积为7262㎡（约10.89亩），HH-02地块根据第三次</w:t>
      </w:r>
      <w:r>
        <w:rPr>
          <w:sz w:val="24"/>
          <w:szCs w:val="18"/>
        </w:rPr>
        <w:t>国土调查界定的</w:t>
      </w:r>
      <w:r>
        <w:rPr>
          <w:rFonts w:hint="eastAsia"/>
          <w:sz w:val="24"/>
          <w:szCs w:val="18"/>
        </w:rPr>
        <w:t>特殊用地边界划定，用地面积为43</w:t>
      </w:r>
      <w:r w:rsidR="008657C4">
        <w:rPr>
          <w:rFonts w:hint="eastAsia"/>
          <w:sz w:val="24"/>
          <w:szCs w:val="18"/>
        </w:rPr>
        <w:t>6</w:t>
      </w:r>
      <w:r>
        <w:rPr>
          <w:rFonts w:hint="eastAsia"/>
          <w:sz w:val="24"/>
          <w:szCs w:val="18"/>
        </w:rPr>
        <w:t>㎡（约0.6</w:t>
      </w:r>
      <w:r w:rsidR="008657C4">
        <w:rPr>
          <w:rFonts w:hint="eastAsia"/>
          <w:sz w:val="24"/>
          <w:szCs w:val="18"/>
        </w:rPr>
        <w:t>5</w:t>
      </w:r>
      <w:r>
        <w:rPr>
          <w:rFonts w:hint="eastAsia"/>
          <w:sz w:val="24"/>
          <w:szCs w:val="18"/>
        </w:rPr>
        <w:t>亩）。项目位于城镇开发边界外，不涉及</w:t>
      </w:r>
      <w:r w:rsidR="00F53401">
        <w:rPr>
          <w:rFonts w:hint="eastAsia"/>
          <w:sz w:val="24"/>
          <w:szCs w:val="18"/>
        </w:rPr>
        <w:t>永久</w:t>
      </w:r>
      <w:r>
        <w:rPr>
          <w:rFonts w:hint="eastAsia"/>
          <w:sz w:val="24"/>
          <w:szCs w:val="18"/>
        </w:rPr>
        <w:t>基本农田及生态保护红线。项目选址所属用地权属</w:t>
      </w:r>
      <w:proofErr w:type="gramStart"/>
      <w:r>
        <w:rPr>
          <w:rFonts w:hint="eastAsia"/>
          <w:sz w:val="24"/>
          <w:szCs w:val="18"/>
        </w:rPr>
        <w:t>为藤海居委会</w:t>
      </w:r>
      <w:proofErr w:type="gramEnd"/>
      <w:r>
        <w:rPr>
          <w:rFonts w:hint="eastAsia"/>
          <w:sz w:val="24"/>
          <w:szCs w:val="18"/>
        </w:rPr>
        <w:t>。</w:t>
      </w:r>
    </w:p>
    <w:p w14:paraId="7CDE1A76" w14:textId="77777777" w:rsidR="000D603D" w:rsidRDefault="00000000">
      <w:pPr>
        <w:pStyle w:val="aa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</w:pPr>
      <w:r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  <w:t>发展目标</w:t>
      </w:r>
    </w:p>
    <w:p w14:paraId="6FAA1EBE" w14:textId="42B71D06" w:rsidR="000D603D" w:rsidRDefault="000000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项目建设以本地居民的“菜篮子工程”、游客的“文化体验窗口”、渔民的“产品直销平台”、社区的“公共活动空间”为主要功能定位，</w:t>
      </w:r>
      <w:proofErr w:type="gramStart"/>
      <w:r>
        <w:rPr>
          <w:rFonts w:hint="eastAsia"/>
          <w:sz w:val="24"/>
          <w:szCs w:val="18"/>
        </w:rPr>
        <w:t>打造藤海社区</w:t>
      </w:r>
      <w:proofErr w:type="gramEnd"/>
      <w:r>
        <w:rPr>
          <w:rFonts w:hint="eastAsia"/>
          <w:sz w:val="24"/>
          <w:szCs w:val="18"/>
        </w:rPr>
        <w:t>周边区域乡村休闲体验旅游集散中心之一</w:t>
      </w:r>
      <w:r w:rsidR="00AA0039">
        <w:rPr>
          <w:rFonts w:hint="eastAsia"/>
          <w:sz w:val="24"/>
          <w:szCs w:val="18"/>
        </w:rPr>
        <w:t>，</w:t>
      </w:r>
      <w:r>
        <w:rPr>
          <w:rFonts w:hint="eastAsia"/>
          <w:sz w:val="24"/>
          <w:szCs w:val="18"/>
        </w:rPr>
        <w:t>疍</w:t>
      </w:r>
      <w:proofErr w:type="gramStart"/>
      <w:r>
        <w:rPr>
          <w:rFonts w:hint="eastAsia"/>
          <w:sz w:val="24"/>
          <w:szCs w:val="18"/>
        </w:rPr>
        <w:t>家文化</w:t>
      </w:r>
      <w:proofErr w:type="gramEnd"/>
      <w:r>
        <w:rPr>
          <w:rFonts w:hint="eastAsia"/>
          <w:sz w:val="24"/>
          <w:szCs w:val="18"/>
        </w:rPr>
        <w:t>集中展示的重要窗口。</w:t>
      </w:r>
    </w:p>
    <w:p w14:paraId="6C6A6538" w14:textId="77777777" w:rsidR="000D603D" w:rsidRDefault="00000000">
      <w:pPr>
        <w:pStyle w:val="aa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</w:pPr>
      <w:r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  <w:t>功能分区</w:t>
      </w:r>
    </w:p>
    <w:p w14:paraId="48B9FB79" w14:textId="77777777" w:rsidR="000D603D" w:rsidRDefault="000000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根据项目发展需要，结合现状地形及景观资源，规划HH-01地块为综合便民服务区、HH-02地块为疍</w:t>
      </w:r>
      <w:proofErr w:type="gramStart"/>
      <w:r>
        <w:rPr>
          <w:rFonts w:hint="eastAsia"/>
          <w:sz w:val="24"/>
          <w:szCs w:val="18"/>
        </w:rPr>
        <w:t>家文化</w:t>
      </w:r>
      <w:proofErr w:type="gramEnd"/>
      <w:r>
        <w:rPr>
          <w:rFonts w:hint="eastAsia"/>
          <w:sz w:val="24"/>
          <w:szCs w:val="18"/>
        </w:rPr>
        <w:t>展示区。综合便民服务区形成以便民</w:t>
      </w:r>
      <w:r>
        <w:rPr>
          <w:sz w:val="24"/>
          <w:szCs w:val="18"/>
        </w:rPr>
        <w:t>服务、</w:t>
      </w:r>
      <w:r>
        <w:rPr>
          <w:rFonts w:hint="eastAsia"/>
          <w:sz w:val="24"/>
          <w:szCs w:val="18"/>
        </w:rPr>
        <w:t>特色购物和休闲餐饮功能为一体的便民综合</w:t>
      </w:r>
      <w:r>
        <w:rPr>
          <w:sz w:val="24"/>
          <w:szCs w:val="18"/>
        </w:rPr>
        <w:t>服务</w:t>
      </w:r>
      <w:r>
        <w:rPr>
          <w:rFonts w:hint="eastAsia"/>
          <w:sz w:val="24"/>
          <w:szCs w:val="18"/>
        </w:rPr>
        <w:t>区，疍</w:t>
      </w:r>
      <w:proofErr w:type="gramStart"/>
      <w:r>
        <w:rPr>
          <w:rFonts w:hint="eastAsia"/>
          <w:sz w:val="24"/>
          <w:szCs w:val="18"/>
        </w:rPr>
        <w:t>家文化</w:t>
      </w:r>
      <w:proofErr w:type="gramEnd"/>
      <w:r>
        <w:rPr>
          <w:rFonts w:hint="eastAsia"/>
          <w:sz w:val="24"/>
          <w:szCs w:val="18"/>
        </w:rPr>
        <w:t>展示区建设疍</w:t>
      </w:r>
      <w:proofErr w:type="gramStart"/>
      <w:r>
        <w:rPr>
          <w:rFonts w:hint="eastAsia"/>
          <w:sz w:val="24"/>
          <w:szCs w:val="18"/>
        </w:rPr>
        <w:t>家文化</w:t>
      </w:r>
      <w:proofErr w:type="gramEnd"/>
      <w:r>
        <w:rPr>
          <w:rFonts w:hint="eastAsia"/>
          <w:sz w:val="24"/>
          <w:szCs w:val="18"/>
        </w:rPr>
        <w:t>接</w:t>
      </w:r>
      <w:r>
        <w:rPr>
          <w:rFonts w:hint="eastAsia"/>
          <w:sz w:val="24"/>
          <w:szCs w:val="18"/>
        </w:rPr>
        <w:lastRenderedPageBreak/>
        <w:t>待及展示中心。</w:t>
      </w:r>
    </w:p>
    <w:p w14:paraId="21F11A9D" w14:textId="77777777" w:rsidR="000D603D" w:rsidRDefault="00000000">
      <w:pPr>
        <w:pStyle w:val="aa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</w:pPr>
      <w:r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  <w:t>用地布局</w:t>
      </w:r>
    </w:p>
    <w:p w14:paraId="3996C1B7" w14:textId="77777777" w:rsidR="000D603D" w:rsidRDefault="000000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本项目为乡村振兴产业融合发展项目，HH-01地块拟建社区农贸市场、HH-02地块拟建社区文化展览与居民公共服务功能。规划根据《国土空间调查、规划、用途管制用地用海分类指南》，细化并明确地块的用地性质，HH-01地块拟定用地性质为零售商业用地（090101），HH-02地块拟定为农村社区服务设施用地（0704）。</w:t>
      </w:r>
    </w:p>
    <w:p w14:paraId="67926AA9" w14:textId="77777777" w:rsidR="000D603D" w:rsidRDefault="00000000">
      <w:pPr>
        <w:pStyle w:val="aa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</w:pPr>
      <w:r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  <w:t>土地使用指标控制</w:t>
      </w:r>
    </w:p>
    <w:p w14:paraId="7712C5C9" w14:textId="2D2611D0" w:rsidR="000D603D" w:rsidRDefault="000000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根据地块的具体功能和建设要求，参照相关规范，确定地块的控制指标。</w:t>
      </w:r>
    </w:p>
    <w:p w14:paraId="263A9B8B" w14:textId="5818E384" w:rsidR="000D603D" w:rsidRDefault="00000000">
      <w:pPr>
        <w:pStyle w:val="009955955125"/>
        <w:spacing w:line="360" w:lineRule="auto"/>
        <w:ind w:left="-37" w:firstLineChars="0" w:firstLine="0"/>
        <w:rPr>
          <w:rFonts w:hint="eastAsia"/>
          <w:b/>
          <w:bCs/>
          <w:sz w:val="24"/>
          <w:szCs w:val="18"/>
        </w:rPr>
      </w:pPr>
      <w:r>
        <w:rPr>
          <w:rFonts w:hint="eastAsia"/>
          <w:b/>
          <w:bCs/>
          <w:sz w:val="24"/>
          <w:szCs w:val="18"/>
        </w:rPr>
        <w:t>（一）开发强度控制</w:t>
      </w:r>
    </w:p>
    <w:p w14:paraId="316DF026" w14:textId="77777777" w:rsidR="000D603D" w:rsidRDefault="000000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HH-01地块容积率≤</w:t>
      </w:r>
      <w:r>
        <w:rPr>
          <w:sz w:val="24"/>
          <w:szCs w:val="18"/>
        </w:rPr>
        <w:t>0.8</w:t>
      </w:r>
      <w:r>
        <w:rPr>
          <w:rFonts w:hint="eastAsia"/>
          <w:sz w:val="24"/>
          <w:szCs w:val="18"/>
        </w:rPr>
        <w:t>，HH-02地块容积率≤1.5。</w:t>
      </w:r>
    </w:p>
    <w:p w14:paraId="61A2B4AC" w14:textId="77777777" w:rsidR="000D603D" w:rsidRDefault="00000000">
      <w:pPr>
        <w:pStyle w:val="009955955125"/>
        <w:spacing w:line="360" w:lineRule="auto"/>
        <w:ind w:left="-37" w:firstLineChars="0" w:firstLine="0"/>
        <w:rPr>
          <w:rFonts w:hint="eastAsia"/>
          <w:b/>
          <w:bCs/>
          <w:sz w:val="24"/>
          <w:szCs w:val="18"/>
        </w:rPr>
      </w:pPr>
      <w:r>
        <w:rPr>
          <w:rFonts w:hint="eastAsia"/>
          <w:b/>
          <w:bCs/>
          <w:sz w:val="24"/>
          <w:szCs w:val="18"/>
        </w:rPr>
        <w:t>（二）建设高度控制</w:t>
      </w:r>
    </w:p>
    <w:p w14:paraId="39FA26A4" w14:textId="77777777" w:rsidR="000D603D" w:rsidRDefault="000000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HH-01地块建筑高度≤12米，HH-02地块建筑高度≤12米。</w:t>
      </w:r>
    </w:p>
    <w:p w14:paraId="4CA93A98" w14:textId="263164FB" w:rsidR="000D603D" w:rsidRDefault="00000000">
      <w:pPr>
        <w:pStyle w:val="009955955125"/>
        <w:spacing w:line="360" w:lineRule="auto"/>
        <w:ind w:left="-37" w:firstLineChars="0" w:firstLine="0"/>
        <w:rPr>
          <w:rFonts w:hint="eastAsia"/>
          <w:b/>
          <w:bCs/>
          <w:sz w:val="24"/>
          <w:szCs w:val="18"/>
        </w:rPr>
      </w:pPr>
      <w:r>
        <w:rPr>
          <w:rFonts w:hint="eastAsia"/>
          <w:b/>
          <w:bCs/>
          <w:sz w:val="24"/>
          <w:szCs w:val="18"/>
        </w:rPr>
        <w:t>（三）</w:t>
      </w:r>
      <w:r w:rsidR="00DA6366">
        <w:rPr>
          <w:rFonts w:hint="eastAsia"/>
          <w:b/>
          <w:bCs/>
          <w:sz w:val="24"/>
          <w:szCs w:val="18"/>
        </w:rPr>
        <w:t>建筑</w:t>
      </w:r>
      <w:r>
        <w:rPr>
          <w:rFonts w:hint="eastAsia"/>
          <w:b/>
          <w:bCs/>
          <w:sz w:val="24"/>
          <w:szCs w:val="18"/>
        </w:rPr>
        <w:t>密度控制</w:t>
      </w:r>
    </w:p>
    <w:p w14:paraId="1339AAF8" w14:textId="77777777" w:rsidR="000D603D" w:rsidRDefault="000000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HH-01地块建筑密度≤45%，HH-02地块为点状用地，考虑地块周边为农林用地，利用现状存量建设用地建设，因地块面积狭小，该地块不限建筑密度。</w:t>
      </w:r>
    </w:p>
    <w:p w14:paraId="2660A617" w14:textId="77777777" w:rsidR="000D603D" w:rsidRDefault="00000000">
      <w:pPr>
        <w:pStyle w:val="009955955125"/>
        <w:spacing w:line="360" w:lineRule="auto"/>
        <w:ind w:left="-37" w:firstLineChars="0" w:firstLine="0"/>
        <w:rPr>
          <w:rFonts w:hint="eastAsia"/>
          <w:b/>
          <w:bCs/>
          <w:sz w:val="24"/>
          <w:szCs w:val="18"/>
        </w:rPr>
      </w:pPr>
      <w:r>
        <w:rPr>
          <w:rFonts w:hint="eastAsia"/>
          <w:b/>
          <w:bCs/>
          <w:sz w:val="24"/>
          <w:szCs w:val="18"/>
        </w:rPr>
        <w:t>（四）绿地率控制</w:t>
      </w:r>
    </w:p>
    <w:p w14:paraId="64D08A75" w14:textId="59777B46" w:rsidR="000D603D" w:rsidRDefault="00000000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HH-01地块绿地率≥2</w:t>
      </w:r>
      <w:r w:rsidR="0057453F">
        <w:rPr>
          <w:rFonts w:hint="eastAsia"/>
          <w:sz w:val="24"/>
          <w:szCs w:val="18"/>
        </w:rPr>
        <w:t>5</w:t>
      </w:r>
      <w:r>
        <w:rPr>
          <w:rFonts w:hint="eastAsia"/>
          <w:sz w:val="24"/>
          <w:szCs w:val="18"/>
        </w:rPr>
        <w:t>%，HH-02地块不限绿地率。</w:t>
      </w:r>
    </w:p>
    <w:p w14:paraId="2F5C9CFF" w14:textId="77777777" w:rsidR="000D603D" w:rsidRDefault="00000000">
      <w:pPr>
        <w:pStyle w:val="aa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</w:pPr>
      <w:r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  <w:t>道路交通系统</w:t>
      </w:r>
    </w:p>
    <w:p w14:paraId="0EFFAB18" w14:textId="2A88CDBE" w:rsidR="000D603D" w:rsidRDefault="0078691C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 w:rsidRPr="0078691C">
        <w:rPr>
          <w:rFonts w:hint="eastAsia"/>
          <w:sz w:val="24"/>
          <w:szCs w:val="18"/>
        </w:rPr>
        <w:t>对外交通主要通过位于两地块西侧路幅6米的渔港路与106乡道相连</w:t>
      </w:r>
      <w:r>
        <w:rPr>
          <w:sz w:val="24"/>
          <w:szCs w:val="18"/>
        </w:rPr>
        <w:t>。</w:t>
      </w:r>
      <w:r>
        <w:rPr>
          <w:rFonts w:hint="eastAsia"/>
          <w:sz w:val="24"/>
          <w:szCs w:val="18"/>
        </w:rPr>
        <w:t>HH-01</w:t>
      </w:r>
      <w:r>
        <w:rPr>
          <w:sz w:val="24"/>
          <w:szCs w:val="18"/>
        </w:rPr>
        <w:t>地块</w:t>
      </w:r>
      <w:r>
        <w:rPr>
          <w:rFonts w:hint="eastAsia"/>
          <w:sz w:val="24"/>
          <w:szCs w:val="18"/>
        </w:rPr>
        <w:t>为环状内部道路，</w:t>
      </w:r>
      <w:r>
        <w:rPr>
          <w:sz w:val="24"/>
          <w:szCs w:val="18"/>
        </w:rPr>
        <w:t>路幅4米</w:t>
      </w:r>
      <w:r>
        <w:rPr>
          <w:rFonts w:hint="eastAsia"/>
          <w:sz w:val="24"/>
          <w:szCs w:val="18"/>
        </w:rPr>
        <w:t>。地块西侧设置两个机动车出入口，东侧设置一个机动车出入口。HH-02地块通过西侧内部道路连接市政道路HH-01地块,</w:t>
      </w:r>
      <w:r>
        <w:rPr>
          <w:sz w:val="24"/>
          <w:szCs w:val="18"/>
        </w:rPr>
        <w:t>路幅4米。</w:t>
      </w:r>
    </w:p>
    <w:p w14:paraId="01538400" w14:textId="77777777" w:rsidR="000D603D" w:rsidRDefault="00000000">
      <w:pPr>
        <w:pStyle w:val="aa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</w:pPr>
      <w:r>
        <w:rPr>
          <w:rFonts w:ascii="宋体" w:eastAsia="宋体" w:hAnsi="宋体" w:cs="宋体" w:hint="eastAsia"/>
          <w:b/>
          <w:bCs/>
          <w:sz w:val="24"/>
          <w:szCs w:val="18"/>
          <w14:ligatures w14:val="none"/>
        </w:rPr>
        <w:t>城市设计引导和控制</w:t>
      </w:r>
    </w:p>
    <w:p w14:paraId="7BFBA407" w14:textId="00D5E071" w:rsidR="000D603D" w:rsidRDefault="00000000" w:rsidP="00B3370A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建筑风貌应以现代建筑风格为主要风貌形态，建筑布局具有疍家和滨海特有元素，同时在建筑设计主题、装饰构件和纹样等设计中充分挖掘和体现三亚和海</w:t>
      </w:r>
      <w:r>
        <w:rPr>
          <w:rFonts w:hint="eastAsia"/>
          <w:sz w:val="24"/>
          <w:szCs w:val="18"/>
        </w:rPr>
        <w:lastRenderedPageBreak/>
        <w:t>棠湾的地域传统文化特征。建筑色彩宜以高明度，低彩度的白色、蓝色为主。</w:t>
      </w:r>
      <w:r w:rsidR="00B3370A" w:rsidRPr="00B3370A">
        <w:rPr>
          <w:rFonts w:hint="eastAsia"/>
          <w:sz w:val="24"/>
          <w:szCs w:val="18"/>
        </w:rPr>
        <w:t>室外环境应营造凸显建筑的滨海游憩景观风貌</w:t>
      </w:r>
      <w:r>
        <w:rPr>
          <w:rFonts w:hint="eastAsia"/>
          <w:sz w:val="24"/>
          <w:szCs w:val="18"/>
        </w:rPr>
        <w:t>。</w:t>
      </w:r>
    </w:p>
    <w:p w14:paraId="490A900D" w14:textId="00EA1C1A" w:rsidR="00B05E6F" w:rsidRDefault="00B05E6F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</w:p>
    <w:p w14:paraId="7FD08AF0" w14:textId="6F1ABD03" w:rsidR="000D603D" w:rsidRDefault="000D603D" w:rsidP="00C12ED4">
      <w:pPr>
        <w:pStyle w:val="009955955125"/>
        <w:spacing w:line="360" w:lineRule="auto"/>
        <w:ind w:left="-37" w:firstLine="480"/>
        <w:rPr>
          <w:rFonts w:hint="eastAsia"/>
          <w:sz w:val="24"/>
          <w:szCs w:val="18"/>
        </w:rPr>
      </w:pPr>
    </w:p>
    <w:p w14:paraId="7E6F223A" w14:textId="77777777" w:rsidR="000D603D" w:rsidRDefault="00000000">
      <w:pPr>
        <w:pStyle w:val="009955955125"/>
        <w:spacing w:line="360" w:lineRule="auto"/>
        <w:ind w:left="-37" w:firstLine="482"/>
        <w:rPr>
          <w:rFonts w:hint="eastAsia"/>
          <w:b/>
          <w:bCs/>
          <w:sz w:val="24"/>
          <w:szCs w:val="18"/>
        </w:rPr>
      </w:pPr>
      <w:r>
        <w:rPr>
          <w:rFonts w:hint="eastAsia"/>
          <w:b/>
          <w:bCs/>
          <w:sz w:val="24"/>
          <w:szCs w:val="18"/>
        </w:rPr>
        <w:t>附图</w:t>
      </w:r>
    </w:p>
    <w:p w14:paraId="088113D1" w14:textId="77777777" w:rsidR="000D603D" w:rsidRDefault="00000000">
      <w:pPr>
        <w:pStyle w:val="009955955125"/>
        <w:numPr>
          <w:ilvl w:val="0"/>
          <w:numId w:val="2"/>
        </w:numPr>
        <w:spacing w:line="240" w:lineRule="auto"/>
        <w:ind w:leftChars="0" w:left="799" w:firstLineChars="0" w:hanging="357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区位图</w:t>
      </w:r>
    </w:p>
    <w:p w14:paraId="01AB85CC" w14:textId="77777777" w:rsidR="00B05E6F" w:rsidRDefault="00B05E6F" w:rsidP="00B05E6F">
      <w:pPr>
        <w:pStyle w:val="009955955125"/>
        <w:numPr>
          <w:ilvl w:val="0"/>
          <w:numId w:val="2"/>
        </w:numPr>
        <w:spacing w:line="240" w:lineRule="auto"/>
        <w:ind w:leftChars="0" w:left="799" w:firstLineChars="0" w:hanging="357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土地利用规划图</w:t>
      </w:r>
    </w:p>
    <w:p w14:paraId="2375EB38" w14:textId="77777777" w:rsidR="003A3F32" w:rsidRDefault="00B05E6F" w:rsidP="003A3F32">
      <w:pPr>
        <w:pStyle w:val="009955955125"/>
        <w:numPr>
          <w:ilvl w:val="0"/>
          <w:numId w:val="2"/>
        </w:numPr>
        <w:spacing w:line="240" w:lineRule="auto"/>
        <w:ind w:leftChars="0" w:left="799" w:firstLineChars="0" w:hanging="357"/>
        <w:rPr>
          <w:rFonts w:hint="eastAsia"/>
          <w:sz w:val="24"/>
          <w:szCs w:val="18"/>
        </w:rPr>
        <w:sectPr w:rsidR="003A3F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24"/>
          <w:szCs w:val="18"/>
        </w:rPr>
        <w:t>图则</w:t>
      </w:r>
    </w:p>
    <w:p w14:paraId="1E9A5D7D" w14:textId="020C4B75" w:rsidR="003A3F32" w:rsidRDefault="003A3F32" w:rsidP="003A3F32">
      <w:pPr>
        <w:pStyle w:val="009955955125"/>
        <w:spacing w:line="240" w:lineRule="auto"/>
        <w:ind w:leftChars="0" w:left="0" w:firstLineChars="0" w:firstLine="0"/>
        <w:jc w:val="center"/>
        <w:rPr>
          <w:sz w:val="24"/>
          <w:szCs w:val="18"/>
        </w:rPr>
      </w:pPr>
      <w:r>
        <w:rPr>
          <w:rFonts w:hint="eastAsia"/>
          <w:noProof/>
          <w:sz w:val="24"/>
          <w:szCs w:val="18"/>
        </w:rPr>
        <w:lastRenderedPageBreak/>
        <w:drawing>
          <wp:inline distT="0" distB="0" distL="0" distR="0" wp14:anchorId="251B61EF" wp14:editId="517D5C0D">
            <wp:extent cx="12218276" cy="8420234"/>
            <wp:effectExtent l="0" t="0" r="0" b="0"/>
            <wp:docPr id="685704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 t="2570" r="254" b="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289" cy="84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8C9BF" w14:textId="35432F92" w:rsidR="003A3F32" w:rsidRDefault="003A3F32" w:rsidP="003A3F32">
      <w:pPr>
        <w:pStyle w:val="009955955125"/>
        <w:spacing w:line="240" w:lineRule="auto"/>
        <w:ind w:leftChars="0" w:left="0" w:firstLineChars="0" w:firstLine="0"/>
        <w:jc w:val="center"/>
        <w:rPr>
          <w:sz w:val="24"/>
          <w:szCs w:val="18"/>
        </w:rPr>
      </w:pPr>
      <w:r>
        <w:rPr>
          <w:noProof/>
          <w:sz w:val="24"/>
          <w:szCs w:val="18"/>
        </w:rPr>
        <w:lastRenderedPageBreak/>
        <w:drawing>
          <wp:inline distT="0" distB="0" distL="0" distR="0" wp14:anchorId="17C4958A" wp14:editId="1990579A">
            <wp:extent cx="11808372" cy="8352107"/>
            <wp:effectExtent l="0" t="0" r="3175" b="0"/>
            <wp:docPr id="12982899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1876" r="1453" b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082" cy="83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46604" w14:textId="1C22E9D5" w:rsidR="003A3F32" w:rsidRPr="003A3F32" w:rsidRDefault="003A3F32" w:rsidP="003A3F32">
      <w:pPr>
        <w:pStyle w:val="009955955125"/>
        <w:spacing w:line="240" w:lineRule="auto"/>
        <w:ind w:leftChars="0" w:left="0" w:firstLineChars="0" w:firstLine="0"/>
        <w:jc w:val="center"/>
        <w:rPr>
          <w:rFonts w:hint="eastAsia"/>
          <w:sz w:val="24"/>
          <w:szCs w:val="18"/>
        </w:rPr>
      </w:pPr>
      <w:r>
        <w:rPr>
          <w:noProof/>
          <w:sz w:val="24"/>
          <w:szCs w:val="18"/>
        </w:rPr>
        <w:lastRenderedPageBreak/>
        <w:drawing>
          <wp:inline distT="0" distB="0" distL="0" distR="0" wp14:anchorId="686CB8A0" wp14:editId="50D86B11">
            <wp:extent cx="11580343" cy="8265968"/>
            <wp:effectExtent l="19050" t="19050" r="21590" b="20955"/>
            <wp:docPr id="12340730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t="2439" r="3236" b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637" cy="8271888"/>
                    </a:xfrm>
                    <a:prstGeom prst="rect">
                      <a:avLst/>
                    </a:prstGeom>
                    <a:noFill/>
                    <a:ln w="127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F32" w:rsidRPr="003A3F32" w:rsidSect="003A3F32">
      <w:pgSz w:w="23811" w:h="16838" w:orient="landscape" w:code="8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3C0EF" w14:textId="77777777" w:rsidR="00705DDF" w:rsidRDefault="00705DDF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76BF2FC5" w14:textId="77777777" w:rsidR="00705DDF" w:rsidRDefault="00705DDF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186C4" w14:textId="77777777" w:rsidR="00705DDF" w:rsidRDefault="00705DDF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907B9DF" w14:textId="77777777" w:rsidR="00705DDF" w:rsidRDefault="00705DDF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F"/>
    <w:multiLevelType w:val="multilevel"/>
    <w:tmpl w:val="02E06B4F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FF50B30"/>
    <w:multiLevelType w:val="multilevel"/>
    <w:tmpl w:val="2FF50B30"/>
    <w:lvl w:ilvl="0">
      <w:start w:val="1"/>
      <w:numFmt w:val="decimal"/>
      <w:lvlText w:val="%1."/>
      <w:lvlJc w:val="left"/>
      <w:pPr>
        <w:ind w:left="80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3" w:hanging="440"/>
      </w:pPr>
    </w:lvl>
    <w:lvl w:ilvl="2">
      <w:start w:val="1"/>
      <w:numFmt w:val="lowerRoman"/>
      <w:lvlText w:val="%3."/>
      <w:lvlJc w:val="right"/>
      <w:pPr>
        <w:ind w:left="1763" w:hanging="440"/>
      </w:pPr>
    </w:lvl>
    <w:lvl w:ilvl="3">
      <w:start w:val="1"/>
      <w:numFmt w:val="decimal"/>
      <w:lvlText w:val="%4."/>
      <w:lvlJc w:val="left"/>
      <w:pPr>
        <w:ind w:left="2203" w:hanging="440"/>
      </w:pPr>
    </w:lvl>
    <w:lvl w:ilvl="4">
      <w:start w:val="1"/>
      <w:numFmt w:val="lowerLetter"/>
      <w:lvlText w:val="%5)"/>
      <w:lvlJc w:val="left"/>
      <w:pPr>
        <w:ind w:left="2643" w:hanging="440"/>
      </w:pPr>
    </w:lvl>
    <w:lvl w:ilvl="5">
      <w:start w:val="1"/>
      <w:numFmt w:val="lowerRoman"/>
      <w:lvlText w:val="%6."/>
      <w:lvlJc w:val="right"/>
      <w:pPr>
        <w:ind w:left="3083" w:hanging="440"/>
      </w:pPr>
    </w:lvl>
    <w:lvl w:ilvl="6">
      <w:start w:val="1"/>
      <w:numFmt w:val="decimal"/>
      <w:lvlText w:val="%7."/>
      <w:lvlJc w:val="left"/>
      <w:pPr>
        <w:ind w:left="3523" w:hanging="440"/>
      </w:pPr>
    </w:lvl>
    <w:lvl w:ilvl="7">
      <w:start w:val="1"/>
      <w:numFmt w:val="lowerLetter"/>
      <w:lvlText w:val="%8)"/>
      <w:lvlJc w:val="left"/>
      <w:pPr>
        <w:ind w:left="3963" w:hanging="440"/>
      </w:pPr>
    </w:lvl>
    <w:lvl w:ilvl="8">
      <w:start w:val="1"/>
      <w:numFmt w:val="lowerRoman"/>
      <w:lvlText w:val="%9."/>
      <w:lvlJc w:val="right"/>
      <w:pPr>
        <w:ind w:left="4403" w:hanging="440"/>
      </w:pPr>
    </w:lvl>
  </w:abstractNum>
  <w:num w:numId="1" w16cid:durableId="340351399">
    <w:abstractNumId w:val="0"/>
  </w:num>
  <w:num w:numId="2" w16cid:durableId="1996643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12C"/>
    <w:rsid w:val="00032CA4"/>
    <w:rsid w:val="0003413A"/>
    <w:rsid w:val="00060D7E"/>
    <w:rsid w:val="00060F37"/>
    <w:rsid w:val="000D603D"/>
    <w:rsid w:val="00121DD4"/>
    <w:rsid w:val="00193031"/>
    <w:rsid w:val="001D0153"/>
    <w:rsid w:val="00210973"/>
    <w:rsid w:val="00241354"/>
    <w:rsid w:val="00246DC0"/>
    <w:rsid w:val="00273A18"/>
    <w:rsid w:val="00346298"/>
    <w:rsid w:val="00381204"/>
    <w:rsid w:val="003A0E0E"/>
    <w:rsid w:val="003A3492"/>
    <w:rsid w:val="003A3F32"/>
    <w:rsid w:val="003B3D61"/>
    <w:rsid w:val="00402808"/>
    <w:rsid w:val="0046412C"/>
    <w:rsid w:val="004B05A8"/>
    <w:rsid w:val="004D7726"/>
    <w:rsid w:val="00526263"/>
    <w:rsid w:val="00546449"/>
    <w:rsid w:val="0057453F"/>
    <w:rsid w:val="00584EA0"/>
    <w:rsid w:val="00636FC9"/>
    <w:rsid w:val="0066020C"/>
    <w:rsid w:val="00672426"/>
    <w:rsid w:val="006C4A2F"/>
    <w:rsid w:val="00705DDF"/>
    <w:rsid w:val="0073061A"/>
    <w:rsid w:val="007614B4"/>
    <w:rsid w:val="007740A0"/>
    <w:rsid w:val="0078691C"/>
    <w:rsid w:val="007A4061"/>
    <w:rsid w:val="007D40E8"/>
    <w:rsid w:val="00801A5D"/>
    <w:rsid w:val="00806445"/>
    <w:rsid w:val="00844DA4"/>
    <w:rsid w:val="008657C4"/>
    <w:rsid w:val="008A3066"/>
    <w:rsid w:val="0094468E"/>
    <w:rsid w:val="00A01005"/>
    <w:rsid w:val="00AA0039"/>
    <w:rsid w:val="00B05E6F"/>
    <w:rsid w:val="00B3370A"/>
    <w:rsid w:val="00B84953"/>
    <w:rsid w:val="00B968FF"/>
    <w:rsid w:val="00BC3B25"/>
    <w:rsid w:val="00BC50EA"/>
    <w:rsid w:val="00C12ED4"/>
    <w:rsid w:val="00C12F96"/>
    <w:rsid w:val="00C61A6B"/>
    <w:rsid w:val="00CC4A00"/>
    <w:rsid w:val="00D70550"/>
    <w:rsid w:val="00D86F6E"/>
    <w:rsid w:val="00DA6366"/>
    <w:rsid w:val="00E72652"/>
    <w:rsid w:val="00E90674"/>
    <w:rsid w:val="00EE4033"/>
    <w:rsid w:val="00F429C5"/>
    <w:rsid w:val="00F53401"/>
    <w:rsid w:val="00F61671"/>
    <w:rsid w:val="00FE515D"/>
    <w:rsid w:val="449D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910C93"/>
  <w15:docId w15:val="{9FBE2FD6-CB9C-401B-867C-A94FCA69E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6">
    <w:name w:val="Title"/>
    <w:basedOn w:val="a"/>
    <w:next w:val="a"/>
    <w:link w:val="a7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7">
    <w:name w:val="标题 字符"/>
    <w:basedOn w:val="a0"/>
    <w:link w:val="a6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customStyle="1" w:styleId="009955955125">
    <w:name w:val="样式 左侧:  0.09 厘米 段前: 9.55 磅 段后: 9.55 磅 行距: 多倍行距 1.25 字行"/>
    <w:basedOn w:val="a"/>
    <w:pPr>
      <w:spacing w:before="120" w:after="120" w:line="300" w:lineRule="auto"/>
      <w:ind w:leftChars="-17" w:left="51" w:firstLineChars="200" w:firstLine="200"/>
      <w:jc w:val="both"/>
    </w:pPr>
    <w:rPr>
      <w:rFonts w:ascii="宋体" w:eastAsia="宋体" w:hAnsi="宋体" w:cs="宋体"/>
      <w:sz w:val="28"/>
      <w:szCs w:val="20"/>
      <w14:ligatures w14:val="none"/>
    </w:rPr>
  </w:style>
  <w:style w:type="paragraph" w:styleId="ad">
    <w:name w:val="header"/>
    <w:basedOn w:val="a"/>
    <w:link w:val="ae"/>
    <w:uiPriority w:val="99"/>
    <w:unhideWhenUsed/>
    <w:rsid w:val="00EE403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EE4033"/>
    <w:rPr>
      <w:kern w:val="2"/>
      <w:sz w:val="18"/>
      <w:szCs w:val="18"/>
      <w14:ligatures w14:val="standardContextual"/>
    </w:rPr>
  </w:style>
  <w:style w:type="paragraph" w:styleId="af">
    <w:name w:val="footer"/>
    <w:basedOn w:val="a"/>
    <w:link w:val="af0"/>
    <w:uiPriority w:val="99"/>
    <w:unhideWhenUsed/>
    <w:rsid w:val="00EE403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EE4033"/>
    <w:rPr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41</cp:revision>
  <dcterms:created xsi:type="dcterms:W3CDTF">2026-03-23T07:42:00Z</dcterms:created>
  <dcterms:modified xsi:type="dcterms:W3CDTF">2026-04-20T02:25:00Z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eyJoZGlkIjoiNTcwZTJmNjI5ZjRhZDgwNzlmMmRjNTgwMjBlNDc5ZmMiLCJ1c2VySWQiOiI1ODYwMTQ4MjcifQ==</vt:lpwstr>
  </property>
  <property fmtid="{D5CDD505-2E9C-101B-9397-08002B2CF9AE}" pid="3" name="KSOProductBuildVer">
    <vt:lpwstr>2052-12.1.0.23125</vt:lpwstr>
  </property>
  <property fmtid="{D5CDD505-2E9C-101B-9397-08002B2CF9AE}" pid="4" name="ICV">
    <vt:lpwstr>728E775BF34C4CDE8807EEC993600676_12</vt:lpwstr>
  </property>
</Properties>
</file>