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0" w:firstLineChars="200"/>
        <w:rPr>
          <w:rFonts w:hint="eastAsia" w:ascii="仿宋_GB2312" w:hAnsi="仿宋_GB2312" w:cs="仿宋_GB2312"/>
          <w:sz w:val="30"/>
          <w:szCs w:val="30"/>
          <w:highlight w:val="none"/>
        </w:rPr>
      </w:pP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highlight w:val="none"/>
        </w:rPr>
      </w:pPr>
      <w:bookmarkStart w:id="0" w:name="_Toc15460"/>
      <w:r>
        <w:rPr>
          <w:rFonts w:hint="eastAsia"/>
          <w:highlight w:val="none"/>
        </w:rPr>
        <w:t>三亚市</w:t>
      </w:r>
      <w:r>
        <w:rPr>
          <w:rFonts w:hint="eastAsia"/>
          <w:highlight w:val="none"/>
          <w:lang w:eastAsia="zh-CN"/>
        </w:rPr>
        <w:t>海棠区</w:t>
      </w:r>
      <w:r>
        <w:rPr>
          <w:rFonts w:hint="eastAsia"/>
          <w:highlight w:val="none"/>
        </w:rPr>
        <w:t>政府投资项目</w:t>
      </w:r>
      <w:r>
        <w:rPr>
          <w:rFonts w:hint="eastAsia"/>
          <w:highlight w:val="none"/>
          <w:lang w:eastAsia="zh-CN"/>
        </w:rPr>
        <w:t>暂行</w:t>
      </w:r>
      <w:r>
        <w:rPr>
          <w:rFonts w:hint="eastAsia"/>
          <w:highlight w:val="none"/>
        </w:rPr>
        <w:t>管理规定</w:t>
      </w:r>
      <w:bookmarkEnd w:id="0"/>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仿宋_GB2312" w:hAnsi="仿宋_GB2312" w:eastAsia="仿宋_GB2312" w:cs="仿宋_GB2312"/>
          <w:bCs/>
          <w:kern w:val="2"/>
          <w:sz w:val="32"/>
          <w:szCs w:val="32"/>
          <w:highlight w:val="none"/>
          <w:lang w:val="en-US" w:eastAsia="zh-CN" w:bidi="ar-SA"/>
        </w:rPr>
      </w:pPr>
      <w:r>
        <w:rPr>
          <w:rFonts w:hint="eastAsia" w:ascii="仿宋_GB2312" w:hAnsi="仿宋_GB2312" w:eastAsia="仿宋_GB2312" w:cs="仿宋_GB2312"/>
          <w:bCs/>
          <w:kern w:val="2"/>
          <w:sz w:val="32"/>
          <w:szCs w:val="32"/>
          <w:highlight w:val="none"/>
          <w:lang w:val="en-US" w:eastAsia="zh-CN" w:bidi="ar-SA"/>
        </w:rPr>
        <w:t>（征求意见稿）</w:t>
      </w:r>
    </w:p>
    <w:p>
      <w:pPr>
        <w:spacing w:line="500" w:lineRule="exact"/>
        <w:jc w:val="both"/>
        <w:rPr>
          <w:rFonts w:hint="eastAsia" w:ascii="方正楷体简体" w:hAnsi="方正仿宋简体" w:eastAsia="方正楷体简体" w:cs="方正仿宋简体"/>
          <w:b/>
          <w:sz w:val="30"/>
          <w:szCs w:val="30"/>
          <w:highlight w:val="none"/>
        </w:rPr>
      </w:pPr>
    </w:p>
    <w:p>
      <w:pPr>
        <w:pStyle w:val="12"/>
        <w:rPr>
          <w:rFonts w:hint="eastAsia"/>
          <w:highlight w:val="none"/>
        </w:rPr>
      </w:pPr>
      <w:r>
        <w:rPr>
          <w:rFonts w:hint="eastAsia"/>
          <w:highlight w:val="none"/>
        </w:rPr>
        <w:t>第一章  总  则</w:t>
      </w:r>
    </w:p>
    <w:p>
      <w:pPr>
        <w:pStyle w:val="10"/>
        <w:ind w:firstLine="600"/>
        <w:rPr>
          <w:rFonts w:hint="eastAsia"/>
          <w:highlight w:val="none"/>
        </w:rPr>
      </w:pP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第一条</w:t>
      </w:r>
      <w:r>
        <w:rPr>
          <w:rFonts w:hint="eastAsia" w:ascii="仿宋_GB2312" w:hAnsi="仿宋_GB2312" w:cs="仿宋_GB2312"/>
          <w:sz w:val="30"/>
          <w:szCs w:val="30"/>
          <w:highlight w:val="none"/>
        </w:rPr>
        <w:t xml:space="preserve">  为规范三亚市</w:t>
      </w:r>
      <w:r>
        <w:rPr>
          <w:rFonts w:hint="eastAsia" w:ascii="仿宋_GB2312" w:hAnsi="仿宋_GB2312" w:cs="仿宋_GB2312"/>
          <w:sz w:val="30"/>
          <w:szCs w:val="30"/>
          <w:highlight w:val="none"/>
          <w:lang w:eastAsia="zh-CN"/>
        </w:rPr>
        <w:t>海棠区</w:t>
      </w:r>
      <w:r>
        <w:rPr>
          <w:rFonts w:hint="eastAsia" w:ascii="仿宋_GB2312" w:hAnsi="仿宋_GB2312" w:cs="仿宋_GB2312"/>
          <w:sz w:val="30"/>
          <w:szCs w:val="30"/>
          <w:highlight w:val="none"/>
        </w:rPr>
        <w:t>政府投资项目管理，建立健全科学的政府投资项目决策程序和组织实施程序，保证工程质量，提高投资效益，根据《</w:t>
      </w:r>
      <w:r>
        <w:rPr>
          <w:rFonts w:hint="eastAsia" w:ascii="仿宋_GB2312" w:hAnsi="仿宋_GB2312" w:cs="仿宋_GB2312"/>
          <w:sz w:val="30"/>
          <w:szCs w:val="30"/>
          <w:highlight w:val="none"/>
          <w:lang w:eastAsia="zh-CN"/>
        </w:rPr>
        <w:t>政府投资条例</w:t>
      </w:r>
      <w:r>
        <w:rPr>
          <w:rFonts w:hint="eastAsia" w:ascii="仿宋_GB2312" w:hAnsi="仿宋_GB2312" w:cs="仿宋_GB2312"/>
          <w:sz w:val="30"/>
          <w:szCs w:val="30"/>
          <w:highlight w:val="none"/>
        </w:rPr>
        <w:t>》</w:t>
      </w:r>
      <w:r>
        <w:rPr>
          <w:rFonts w:hint="eastAsia" w:ascii="仿宋_GB2312" w:hAnsi="仿宋_GB2312" w:cs="仿宋_GB2312"/>
          <w:sz w:val="30"/>
          <w:szCs w:val="30"/>
          <w:highlight w:val="none"/>
          <w:lang w:eastAsia="zh-CN"/>
        </w:rPr>
        <w:t>《海南省政府投资项目管理办法》《三亚市政府投资项目管理规定》《三亚市政府投资建设项目代建制管理办法》《三亚市政府投资建设项目设计变更管理规定》《三亚市人民政府关于印发三亚市区级行政审批及管理服务事项目录的通知》（三府〔2015〕5号）、《三亚市发展和改革委员会关于下放行政许可事项权限的通知》（三发改办〔2017〕14号）、《三亚市工程建设项目审批制度改革实施方案》（三府〔2019〕214号）、《三亚市海棠区人民政府办公室关于明确政府投资项目审批相关事宜的通知》（海棠府办〔2019〕41号）</w:t>
      </w:r>
      <w:r>
        <w:rPr>
          <w:rFonts w:hint="eastAsia" w:ascii="仿宋_GB2312" w:hAnsi="仿宋_GB2312" w:cs="仿宋_GB2312"/>
          <w:sz w:val="30"/>
          <w:szCs w:val="30"/>
          <w:highlight w:val="none"/>
        </w:rPr>
        <w:t>及有关法律、法规的基本原则，结合</w:t>
      </w:r>
      <w:r>
        <w:rPr>
          <w:rFonts w:hint="eastAsia" w:ascii="仿宋_GB2312" w:hAnsi="仿宋_GB2312" w:cs="仿宋_GB2312"/>
          <w:sz w:val="30"/>
          <w:szCs w:val="30"/>
          <w:highlight w:val="none"/>
          <w:lang w:eastAsia="zh-CN"/>
        </w:rPr>
        <w:t>海棠区</w:t>
      </w:r>
      <w:r>
        <w:rPr>
          <w:rFonts w:hint="eastAsia" w:ascii="仿宋_GB2312" w:hAnsi="仿宋_GB2312" w:cs="仿宋_GB2312"/>
          <w:sz w:val="30"/>
          <w:szCs w:val="30"/>
          <w:highlight w:val="none"/>
        </w:rPr>
        <w:t>实际，制定本规定。</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第二条</w:t>
      </w:r>
      <w:r>
        <w:rPr>
          <w:rFonts w:hint="eastAsia" w:ascii="仿宋_GB2312" w:hAnsi="仿宋_GB2312" w:cs="仿宋_GB2312"/>
          <w:sz w:val="30"/>
          <w:szCs w:val="30"/>
          <w:highlight w:val="none"/>
        </w:rPr>
        <w:t xml:space="preserve">  本规定所称的政府投资项目，是指</w:t>
      </w:r>
      <w:r>
        <w:rPr>
          <w:rFonts w:hint="default" w:ascii="仿宋_GB2312" w:hAnsi="仿宋_GB2312" w:cs="仿宋_GB2312"/>
          <w:sz w:val="30"/>
          <w:szCs w:val="30"/>
          <w:highlight w:val="none"/>
        </w:rPr>
        <w:t>由海棠区各职能部门、区属国企在</w:t>
      </w:r>
      <w:r>
        <w:rPr>
          <w:rFonts w:hint="eastAsia" w:ascii="仿宋_GB2312" w:hAnsi="仿宋_GB2312" w:cs="仿宋_GB2312"/>
          <w:sz w:val="30"/>
          <w:szCs w:val="30"/>
          <w:highlight w:val="none"/>
        </w:rPr>
        <w:t>本区行政区域内使用</w:t>
      </w:r>
      <w:r>
        <w:rPr>
          <w:rFonts w:hint="eastAsia" w:ascii="仿宋_GB2312" w:hAnsi="仿宋_GB2312" w:cs="仿宋_GB2312"/>
          <w:sz w:val="30"/>
          <w:szCs w:val="30"/>
          <w:highlight w:val="none"/>
          <w:lang w:val="en-US" w:eastAsia="zh-CN"/>
        </w:rPr>
        <w:t>区级财政资金（含市财政统筹安排各区的项目建设资金）或由市级财政资金（含政府融资）</w:t>
      </w:r>
      <w:r>
        <w:rPr>
          <w:rFonts w:hint="eastAsia" w:ascii="仿宋_GB2312" w:hAnsi="仿宋_GB2312" w:cs="仿宋_GB2312"/>
          <w:sz w:val="30"/>
          <w:szCs w:val="30"/>
          <w:highlight w:val="none"/>
        </w:rPr>
        <w:t>及政府性债务</w:t>
      </w:r>
      <w:r>
        <w:rPr>
          <w:rFonts w:hint="default" w:ascii="仿宋_GB2312" w:hAnsi="仿宋_GB2312" w:cs="仿宋_GB2312"/>
          <w:sz w:val="30"/>
          <w:szCs w:val="30"/>
          <w:highlight w:val="none"/>
        </w:rPr>
        <w:t>资金</w:t>
      </w:r>
      <w:r>
        <w:rPr>
          <w:rFonts w:hint="eastAsia" w:ascii="仿宋_GB2312" w:hAnsi="仿宋_GB2312" w:cs="仿宋_GB2312"/>
          <w:sz w:val="30"/>
          <w:szCs w:val="30"/>
          <w:highlight w:val="none"/>
          <w:lang w:val="en-US" w:eastAsia="zh-CN"/>
        </w:rPr>
        <w:t>安排的3000万元以下（不含3000万元）</w:t>
      </w:r>
      <w:r>
        <w:rPr>
          <w:rFonts w:hint="eastAsia" w:ascii="仿宋_GB2312" w:hAnsi="仿宋_GB2312" w:cs="仿宋_GB2312"/>
          <w:sz w:val="30"/>
          <w:szCs w:val="30"/>
          <w:highlight w:val="none"/>
        </w:rPr>
        <w:t>进行新建、扩建、改建、技术改造等固定资产投资项目。</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第三条</w:t>
      </w:r>
      <w:r>
        <w:rPr>
          <w:rFonts w:hint="eastAsia" w:ascii="仿宋_GB2312" w:hAnsi="仿宋_GB2312" w:cs="仿宋_GB2312"/>
          <w:sz w:val="30"/>
          <w:szCs w:val="30"/>
          <w:highlight w:val="none"/>
        </w:rPr>
        <w:t xml:space="preserve">  政府投资项目应当遵循以下基本原则： </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（一）政府投资项目计划应当依据国家法律法规和有关政策、</w:t>
      </w:r>
      <w:r>
        <w:rPr>
          <w:rFonts w:hint="eastAsia" w:ascii="仿宋_GB2312" w:hAnsi="仿宋_GB2312" w:cs="仿宋_GB2312"/>
          <w:sz w:val="30"/>
          <w:szCs w:val="30"/>
          <w:highlight w:val="none"/>
          <w:lang w:eastAsia="zh-CN"/>
        </w:rPr>
        <w:t>省、</w:t>
      </w:r>
      <w:r>
        <w:rPr>
          <w:rFonts w:hint="eastAsia" w:ascii="仿宋_GB2312" w:hAnsi="仿宋_GB2312" w:cs="仿宋_GB2312"/>
          <w:sz w:val="30"/>
          <w:szCs w:val="30"/>
          <w:highlight w:val="none"/>
        </w:rPr>
        <w:t>市</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 xml:space="preserve">国民经济和社会发展计划、城市规划以及实际需要编制。对有合理回报和一定投资回收能力的政府经营性项目，应当积极创造条件，利用多种方式吸引社会资本参与投资; </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 xml:space="preserve">（二）政府投资项目严格执行估算控制概算、概算控制预算、预算控制决算的原则; </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 xml:space="preserve">（三）政府投资项目应当建立健全投资、进度、质量三大控制体系。严格执行项目法人责任制、招投标制、监理制、合同管理制等四项基本制，确保工程质量。 </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（四）政府投资项目必须结合国民经济和社会发展规划，并且严格按照批准的年度政府投资计划进行投资建设。</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第四条</w:t>
      </w:r>
      <w:r>
        <w:rPr>
          <w:rFonts w:hint="eastAsia" w:ascii="仿宋_GB2312" w:hAnsi="仿宋_GB2312" w:cs="仿宋_GB2312"/>
          <w:sz w:val="30"/>
          <w:szCs w:val="30"/>
          <w:highlight w:val="none"/>
        </w:rPr>
        <w:t xml:space="preserve">  政府投资可以采取直接投资、项目资本金注入、投资补助和贷款贴息等方式。本办法只适用于直接投资、项目资本金注入的政府投资项目。投资补助和贷款贴息等方式的政府投资项目，按照有关规定执行。</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 xml:space="preserve">安排政府投资资金，应当符合有关要求，并平等对待各类投资主体，不得设置歧视性条件。 </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第五条</w:t>
      </w:r>
      <w:r>
        <w:rPr>
          <w:rFonts w:hint="eastAsia" w:ascii="仿宋_GB2312" w:hAnsi="仿宋_GB2312" w:cs="仿宋_GB2312"/>
          <w:sz w:val="30"/>
          <w:szCs w:val="30"/>
          <w:highlight w:val="none"/>
        </w:rPr>
        <w:t xml:space="preserve">  </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投资主管部门具体负责政府投资项目计划的编制和管理。</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政府财政、规划、建设、审计、</w:t>
      </w:r>
      <w:r>
        <w:rPr>
          <w:rFonts w:hint="eastAsia" w:ascii="仿宋_GB2312" w:hAnsi="仿宋_GB2312" w:cs="仿宋_GB2312"/>
          <w:sz w:val="30"/>
          <w:szCs w:val="30"/>
          <w:highlight w:val="none"/>
          <w:lang w:eastAsia="zh-CN"/>
        </w:rPr>
        <w:t>纪检监察机关</w:t>
      </w:r>
      <w:r>
        <w:rPr>
          <w:rFonts w:hint="eastAsia" w:ascii="仿宋_GB2312" w:hAnsi="仿宋_GB2312" w:cs="仿宋_GB2312"/>
          <w:sz w:val="30"/>
          <w:szCs w:val="30"/>
          <w:highlight w:val="none"/>
        </w:rPr>
        <w:t xml:space="preserve">及其他有关部门按其职责对政府投资项目进行管理和监督。 </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第六条</w:t>
      </w:r>
      <w:r>
        <w:rPr>
          <w:rFonts w:hint="eastAsia" w:ascii="仿宋_GB2312" w:hAnsi="仿宋_GB2312" w:cs="仿宋_GB2312"/>
          <w:b/>
          <w:sz w:val="30"/>
          <w:szCs w:val="30"/>
          <w:highlight w:val="none"/>
          <w:lang w:val="en-US" w:eastAsia="zh-CN"/>
        </w:rPr>
        <w:t xml:space="preserve">  </w:t>
      </w:r>
      <w:r>
        <w:rPr>
          <w:rFonts w:hint="default" w:ascii="仿宋_GB2312" w:hAnsi="仿宋_GB2312" w:cs="仿宋_GB2312"/>
          <w:b w:val="0"/>
          <w:bCs w:val="0"/>
          <w:sz w:val="30"/>
          <w:szCs w:val="30"/>
          <w:highlight w:val="none"/>
          <w:lang w:eastAsia="zh-CN"/>
        </w:rPr>
        <w:t>海棠区</w:t>
      </w:r>
      <w:r>
        <w:rPr>
          <w:rFonts w:hint="eastAsia" w:ascii="仿宋_GB2312" w:hAnsi="仿宋_GB2312" w:cs="仿宋_GB2312"/>
          <w:sz w:val="30"/>
          <w:szCs w:val="30"/>
          <w:highlight w:val="none"/>
        </w:rPr>
        <w:t>政府投资项目原则上由行业主管部门（含下属事业单位）</w:t>
      </w:r>
      <w:r>
        <w:rPr>
          <w:rFonts w:hint="default" w:ascii="仿宋_GB2312" w:hAnsi="仿宋_GB2312" w:cs="仿宋_GB2312"/>
          <w:sz w:val="30"/>
          <w:szCs w:val="30"/>
          <w:highlight w:val="none"/>
        </w:rPr>
        <w:t>或</w:t>
      </w:r>
      <w:r>
        <w:rPr>
          <w:rFonts w:hint="eastAsia" w:ascii="仿宋_GB2312" w:hAnsi="仿宋_GB2312" w:cs="仿宋_GB2312"/>
          <w:sz w:val="30"/>
          <w:szCs w:val="30"/>
          <w:highlight w:val="none"/>
        </w:rPr>
        <w:t>区属国企作为项目业主负责建设</w:t>
      </w:r>
      <w:r>
        <w:rPr>
          <w:rFonts w:hint="eastAsia" w:ascii="仿宋_GB2312" w:hAnsi="仿宋_GB2312" w:cs="仿宋_GB2312"/>
          <w:sz w:val="30"/>
          <w:szCs w:val="30"/>
          <w:highlight w:val="none"/>
          <w:lang w:eastAsia="zh-CN"/>
        </w:rPr>
        <w:t>。</w:t>
      </w:r>
      <w:r>
        <w:rPr>
          <w:rFonts w:hint="eastAsia" w:ascii="仿宋_GB2312" w:hAnsi="仿宋_GB2312" w:cs="仿宋_GB2312"/>
          <w:sz w:val="30"/>
          <w:szCs w:val="30"/>
          <w:highlight w:val="none"/>
        </w:rPr>
        <w:t>除涉及国家安全、国家秘密的项目外，不具备自行建设和管理条件的政府投资项目可实行代建制或代管制</w:t>
      </w:r>
      <w:r>
        <w:rPr>
          <w:rFonts w:hint="eastAsia" w:ascii="仿宋_GB2312" w:hAnsi="仿宋_GB2312" w:cs="仿宋_GB2312"/>
          <w:sz w:val="30"/>
          <w:szCs w:val="30"/>
          <w:highlight w:val="none"/>
          <w:lang w:eastAsia="zh-CN"/>
        </w:rPr>
        <w:t>，</w:t>
      </w:r>
      <w:r>
        <w:rPr>
          <w:rFonts w:hint="eastAsia" w:ascii="仿宋_GB2312" w:hAnsi="仿宋_GB2312" w:cs="仿宋_GB2312"/>
          <w:sz w:val="30"/>
          <w:szCs w:val="30"/>
          <w:highlight w:val="none"/>
        </w:rPr>
        <w:t>具体办理程序按</w:t>
      </w:r>
      <w:r>
        <w:rPr>
          <w:rFonts w:hint="eastAsia" w:ascii="仿宋_GB2312" w:hAnsi="仿宋_GB2312" w:cs="仿宋_GB2312"/>
          <w:sz w:val="30"/>
          <w:szCs w:val="30"/>
          <w:highlight w:val="none"/>
          <w:lang w:eastAsia="zh-CN"/>
        </w:rPr>
        <w:t>省、</w:t>
      </w:r>
      <w:r>
        <w:rPr>
          <w:rFonts w:hint="eastAsia" w:ascii="仿宋_GB2312" w:hAnsi="仿宋_GB2312" w:cs="仿宋_GB2312"/>
          <w:sz w:val="30"/>
          <w:szCs w:val="30"/>
          <w:highlight w:val="none"/>
        </w:rPr>
        <w:t>市、区政府投资建设项目代建或代管相关规定执行。项目业主是项目实施和管理的责任主体</w:t>
      </w:r>
      <w:r>
        <w:rPr>
          <w:rFonts w:hint="eastAsia" w:ascii="仿宋_GB2312" w:hAnsi="仿宋_GB2312" w:cs="仿宋_GB2312"/>
          <w:sz w:val="30"/>
          <w:szCs w:val="30"/>
          <w:highlight w:val="none"/>
          <w:lang w:eastAsia="zh-CN"/>
        </w:rPr>
        <w:t>。</w:t>
      </w:r>
    </w:p>
    <w:p>
      <w:pPr>
        <w:spacing w:line="500" w:lineRule="exact"/>
        <w:ind w:firstLine="600" w:firstLineChars="200"/>
        <w:rPr>
          <w:rFonts w:hint="eastAsia" w:ascii="方正仿宋简体" w:hAnsi="方正仿宋简体" w:eastAsia="方正仿宋简体" w:cs="方正仿宋简体"/>
          <w:sz w:val="30"/>
          <w:szCs w:val="30"/>
          <w:highlight w:val="none"/>
        </w:rPr>
      </w:pPr>
    </w:p>
    <w:p>
      <w:pPr>
        <w:pStyle w:val="12"/>
        <w:rPr>
          <w:rFonts w:hint="eastAsia"/>
          <w:highlight w:val="none"/>
        </w:rPr>
      </w:pPr>
      <w:r>
        <w:rPr>
          <w:rFonts w:hint="eastAsia"/>
          <w:highlight w:val="none"/>
        </w:rPr>
        <w:t>第二章  政府投资项目的前期管理</w:t>
      </w:r>
    </w:p>
    <w:p>
      <w:pPr>
        <w:spacing w:line="500" w:lineRule="exact"/>
        <w:ind w:firstLine="600" w:firstLineChars="200"/>
        <w:rPr>
          <w:rFonts w:hint="eastAsia" w:ascii="仿宋_GB2312" w:hAnsi="仿宋_GB2312" w:cs="仿宋_GB2312"/>
          <w:sz w:val="30"/>
          <w:szCs w:val="30"/>
          <w:highlight w:val="none"/>
        </w:rPr>
      </w:pPr>
    </w:p>
    <w:p>
      <w:pPr>
        <w:spacing w:line="500" w:lineRule="exact"/>
        <w:ind w:firstLine="602" w:firstLineChars="200"/>
        <w:rPr>
          <w:rFonts w:hint="eastAsia" w:ascii="仿宋_GB2312" w:hAnsi="仿宋_GB2312" w:cs="仿宋_GB2312"/>
          <w:b/>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七</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政府投资项目应当符合国民经济和社会发展规划、 海南省、三亚市</w:t>
      </w:r>
      <w:r>
        <w:rPr>
          <w:rFonts w:hint="eastAsia" w:ascii="仿宋_GB2312" w:hAnsi="仿宋_GB2312" w:cs="仿宋_GB2312"/>
          <w:sz w:val="30"/>
          <w:szCs w:val="30"/>
          <w:highlight w:val="none"/>
          <w:lang w:eastAsia="zh-CN"/>
        </w:rPr>
        <w:t>、海棠区</w:t>
      </w:r>
      <w:r>
        <w:rPr>
          <w:rFonts w:hint="eastAsia" w:ascii="仿宋_GB2312" w:hAnsi="仿宋_GB2312" w:cs="仿宋_GB2312"/>
          <w:sz w:val="30"/>
          <w:szCs w:val="30"/>
          <w:highlight w:val="none"/>
        </w:rPr>
        <w:t>总体规划和国家宏观调控政策，符合环境保护、 土地及海域使用、节约能源、资源综合利用、产业政策等方面的有关规定，有利于加快海南自由贸易港建设。</w:t>
      </w:r>
    </w:p>
    <w:p>
      <w:pPr>
        <w:spacing w:line="500" w:lineRule="exact"/>
        <w:ind w:firstLine="602" w:firstLineChars="200"/>
        <w:rPr>
          <w:rFonts w:hint="eastAsia" w:ascii="仿宋_GB2312" w:hAnsi="仿宋_GB2312" w:eastAsia="仿宋_GB2312" w:cs="仿宋_GB2312"/>
          <w:sz w:val="30"/>
          <w:szCs w:val="30"/>
          <w:highlight w:val="none"/>
          <w:lang w:val="en-US" w:eastAsia="zh-CN"/>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八</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lang w:val="en-US" w:eastAsia="zh-CN"/>
        </w:rPr>
        <w:t xml:space="preserve">  政府投资项目实行项目储备制度。</w:t>
      </w:r>
    </w:p>
    <w:p>
      <w:pPr>
        <w:spacing w:line="500" w:lineRule="exact"/>
        <w:ind w:firstLine="600" w:firstLineChars="200"/>
        <w:rPr>
          <w:rFonts w:hint="eastAsia" w:ascii="仿宋_GB2312" w:hAnsi="仿宋_GB2312" w:cs="仿宋_GB2312"/>
          <w:sz w:val="30"/>
          <w:szCs w:val="30"/>
          <w:highlight w:val="none"/>
          <w:lang w:eastAsia="zh-CN"/>
        </w:rPr>
      </w:pPr>
      <w:r>
        <w:rPr>
          <w:rFonts w:hint="eastAsia" w:ascii="仿宋_GB2312" w:hAnsi="仿宋_GB2312" w:cs="仿宋_GB2312"/>
          <w:sz w:val="30"/>
          <w:szCs w:val="30"/>
          <w:highlight w:val="none"/>
        </w:rPr>
        <w:t>根据国家宏观调控总体要求及省、市总体规划、国民经济和社会发展中长期规划、区域规划和专项规划，由项目业主开展政府投资项目前期工作，报区政府常务会议或区委常委会议集中讨论审定</w:t>
      </w:r>
      <w:r>
        <w:rPr>
          <w:rFonts w:hint="eastAsia" w:ascii="仿宋_GB2312" w:hAnsi="仿宋_GB2312" w:cs="仿宋_GB2312"/>
          <w:sz w:val="30"/>
          <w:szCs w:val="30"/>
          <w:highlight w:val="none"/>
          <w:lang w:eastAsia="zh-CN"/>
        </w:rPr>
        <w:t>，</w:t>
      </w:r>
      <w:r>
        <w:rPr>
          <w:rFonts w:hint="eastAsia" w:ascii="仿宋_GB2312" w:hAnsi="仿宋_GB2312" w:cs="仿宋_GB2312"/>
          <w:sz w:val="30"/>
          <w:szCs w:val="30"/>
          <w:highlight w:val="none"/>
        </w:rPr>
        <w:t>区投资主管部门对审定的项目列入政府投资储备库</w:t>
      </w:r>
      <w:r>
        <w:rPr>
          <w:rFonts w:hint="eastAsia" w:ascii="仿宋_GB2312" w:hAnsi="仿宋_GB2312" w:cs="仿宋_GB2312"/>
          <w:sz w:val="30"/>
          <w:szCs w:val="30"/>
          <w:highlight w:val="none"/>
          <w:lang w:eastAsia="zh-CN"/>
        </w:rPr>
        <w:t>。</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列入政府投资年度计划的项目，原则上从政府投资项目储备库中选取。</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九</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lang w:val="en-US" w:eastAsia="zh-CN"/>
        </w:rPr>
        <w:t xml:space="preserve">  </w:t>
      </w:r>
      <w:r>
        <w:rPr>
          <w:rFonts w:hint="eastAsia" w:ascii="仿宋_GB2312" w:hAnsi="仿宋_GB2312" w:cs="仿宋_GB2312"/>
          <w:sz w:val="30"/>
          <w:szCs w:val="30"/>
          <w:highlight w:val="none"/>
        </w:rPr>
        <w:t>政府投资项目需审批项目建议书、初步设计及概算。按照管理权限和有关规定，由项目业主报投资主管部门或其他有审批权限的部门审批。</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政府投资项目应当充分做好前期工作。项目业主在项目谋划阶段或编制项目建议书时，须充分核查规划性质、土地利用现状、土地权属及征地拆迁费用估算，充分研究论证后报请投资主管部门申请立项。按规定委托符合相关行业规定的工程咨询、设计机构编制</w:t>
      </w:r>
      <w:r>
        <w:rPr>
          <w:rFonts w:hint="eastAsia" w:ascii="仿宋_GB2312" w:hAnsi="仿宋_GB2312" w:cs="仿宋_GB2312"/>
          <w:sz w:val="30"/>
          <w:szCs w:val="30"/>
          <w:highlight w:val="none"/>
          <w:lang w:eastAsia="zh-CN"/>
        </w:rPr>
        <w:t>项目建议书</w:t>
      </w:r>
      <w:r>
        <w:rPr>
          <w:rFonts w:hint="eastAsia" w:ascii="仿宋_GB2312" w:hAnsi="仿宋_GB2312" w:cs="仿宋_GB2312"/>
          <w:sz w:val="30"/>
          <w:szCs w:val="30"/>
          <w:highlight w:val="none"/>
        </w:rPr>
        <w:t>、初步设计及概算，前期工作的深度须达到和符合有关规定、规范的要求，并按规定程序申报。项目业主对依法应当附具的文件的真实性负责。</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项目业主单位应当对受委托的技术咨询机构出具的技术成果进行严格审核。对于技术成果编制不符合现场实际或规范要求，造成审查时间延误的，未经公开招标确定的编制单位</w:t>
      </w:r>
      <w:r>
        <w:rPr>
          <w:rFonts w:hint="eastAsia" w:ascii="仿宋_GB2312" w:hAnsi="仿宋_GB2312" w:cs="仿宋_GB2312"/>
          <w:sz w:val="30"/>
          <w:szCs w:val="30"/>
          <w:highlight w:val="none"/>
          <w:lang w:eastAsia="zh-CN"/>
        </w:rPr>
        <w:t>依据合同约定处置</w:t>
      </w:r>
      <w:r>
        <w:rPr>
          <w:rFonts w:hint="eastAsia" w:ascii="仿宋_GB2312" w:hAnsi="仿宋_GB2312" w:cs="仿宋_GB2312"/>
          <w:sz w:val="30"/>
          <w:szCs w:val="30"/>
          <w:highlight w:val="none"/>
        </w:rPr>
        <w:t>，公开招标确定的编制单位追加处罚措施，相关要求在招标文件和合同协议中明确。</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投资主管部门或其他有审批权限的部门应当根据国民经济和社会发展规划、相关领域专项规划、产业政策等，从下列方面对政府投资项目进行审查，作出是否批准的决定：</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（一）项目建议书提出的项目建设的必要性</w:t>
      </w:r>
      <w:r>
        <w:rPr>
          <w:rFonts w:hint="eastAsia" w:ascii="仿宋_GB2312" w:hAnsi="仿宋_GB2312" w:cs="仿宋_GB2312"/>
          <w:sz w:val="30"/>
          <w:szCs w:val="30"/>
          <w:highlight w:val="none"/>
          <w:lang w:eastAsia="zh-CN"/>
        </w:rPr>
        <w:t>、社会效益、项目资金来源等主要建设条件的落实情况；</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w:t>
      </w:r>
      <w:r>
        <w:rPr>
          <w:rFonts w:hint="eastAsia" w:ascii="仿宋_GB2312" w:hAnsi="仿宋_GB2312" w:cs="仿宋_GB2312"/>
          <w:sz w:val="30"/>
          <w:szCs w:val="30"/>
          <w:highlight w:val="none"/>
          <w:lang w:eastAsia="zh-CN"/>
        </w:rPr>
        <w:t>二</w:t>
      </w:r>
      <w:r>
        <w:rPr>
          <w:rFonts w:hint="eastAsia" w:ascii="仿宋_GB2312" w:hAnsi="仿宋_GB2312" w:cs="仿宋_GB2312"/>
          <w:sz w:val="30"/>
          <w:szCs w:val="30"/>
          <w:highlight w:val="none"/>
        </w:rPr>
        <w:t>）初步设计及概算是否符合</w:t>
      </w:r>
      <w:r>
        <w:rPr>
          <w:rFonts w:hint="eastAsia" w:ascii="仿宋_GB2312" w:hAnsi="仿宋_GB2312" w:cs="仿宋_GB2312"/>
          <w:sz w:val="30"/>
          <w:szCs w:val="30"/>
          <w:highlight w:val="none"/>
          <w:lang w:eastAsia="zh-CN"/>
        </w:rPr>
        <w:t>立项</w:t>
      </w:r>
      <w:r>
        <w:rPr>
          <w:rFonts w:hint="eastAsia" w:ascii="仿宋_GB2312" w:hAnsi="仿宋_GB2312" w:cs="仿宋_GB2312"/>
          <w:sz w:val="30"/>
          <w:szCs w:val="30"/>
          <w:highlight w:val="none"/>
        </w:rPr>
        <w:t>批复；</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w:t>
      </w:r>
      <w:r>
        <w:rPr>
          <w:rFonts w:hint="eastAsia" w:ascii="仿宋_GB2312" w:hAnsi="仿宋_GB2312" w:cs="仿宋_GB2312"/>
          <w:sz w:val="30"/>
          <w:szCs w:val="30"/>
          <w:highlight w:val="none"/>
          <w:lang w:eastAsia="zh-CN"/>
        </w:rPr>
        <w:t>三</w:t>
      </w:r>
      <w:r>
        <w:rPr>
          <w:rFonts w:hint="eastAsia" w:ascii="仿宋_GB2312" w:hAnsi="仿宋_GB2312" w:cs="仿宋_GB2312"/>
          <w:sz w:val="30"/>
          <w:szCs w:val="30"/>
          <w:highlight w:val="none"/>
        </w:rPr>
        <w:t>）依照法律、行政法规和国家有关规定应当审查的其他事项。</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对经济社会发展、社会公众利益有重大影响或者投资规模较大的政府投资项目，批准前，投资主管部门或者其他有关部门应当在中介服务机构评估、公众参与、专家评议、风险评估的基础上作出是否批准的决定。对不予批准的政府投资项目，应当书面通知项目业主并说明理由。</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对与人民群众切身利益密切相关、牵涉面广、影响深远，易引发矛盾纠纷或有可能影响社会稳定，或涉及拆迁户数达一定数量以上的重点设项目，在实施前应开展社会稳定风险评估。</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十</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有重大影响的项目（即对经济社会发展全局有重大影响；对生态环境保护、资源开发利用有重大影响；与社会公众利益密切相关，社会关注度较高的项目等）立项前由</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投资主管部门广泛征求社会各界和公众的意见，并报</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政府审查批准；党政机关新建办公楼等楼堂馆所项目应报</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政府批准后再办理相关手续。</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十一</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有下列情形之一的， 实行简化审批程序。</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（一）列入</w:t>
      </w:r>
      <w:r>
        <w:rPr>
          <w:rFonts w:hint="eastAsia" w:ascii="仿宋_GB2312" w:hAnsi="仿宋_GB2312" w:cs="仿宋_GB2312"/>
          <w:sz w:val="30"/>
          <w:szCs w:val="30"/>
          <w:highlight w:val="none"/>
          <w:lang w:val="en-US" w:eastAsia="zh-CN"/>
        </w:rPr>
        <w:t>海南省或</w:t>
      </w:r>
      <w:r>
        <w:rPr>
          <w:rFonts w:hint="eastAsia" w:ascii="仿宋_GB2312" w:hAnsi="仿宋_GB2312" w:cs="仿宋_GB2312"/>
          <w:sz w:val="30"/>
          <w:szCs w:val="30"/>
          <w:highlight w:val="none"/>
        </w:rPr>
        <w:t>三亚市国民经济和社会发展五年规划、</w:t>
      </w:r>
      <w:r>
        <w:rPr>
          <w:rFonts w:hint="eastAsia" w:ascii="仿宋_GB2312" w:hAnsi="仿宋_GB2312" w:cs="仿宋_GB2312"/>
          <w:sz w:val="30"/>
          <w:szCs w:val="30"/>
          <w:highlight w:val="none"/>
          <w:lang w:val="en-US" w:eastAsia="zh-CN"/>
        </w:rPr>
        <w:t>海南省或</w:t>
      </w:r>
      <w:r>
        <w:rPr>
          <w:rFonts w:hint="eastAsia" w:ascii="仿宋_GB2312" w:hAnsi="仿宋_GB2312" w:cs="仿宋_GB2312"/>
          <w:sz w:val="30"/>
          <w:szCs w:val="30"/>
          <w:highlight w:val="none"/>
        </w:rPr>
        <w:t>三亚市年度固定资产投资计划或三亚市年度城市建设项目投资计划等项目，项目前期工作经费列入财政年度预算安排，不再以落实项目资金或明确资金来源作为项目审批的前置条件，不再审批项目建议书（立项），以规划、计划批复代替项目建议书的审批。</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（二）总投资</w:t>
      </w:r>
      <w:r>
        <w:rPr>
          <w:rFonts w:hint="eastAsia" w:ascii="仿宋_GB2312" w:hAnsi="仿宋_GB2312" w:cs="仿宋_GB2312"/>
          <w:sz w:val="30"/>
          <w:szCs w:val="30"/>
          <w:highlight w:val="none"/>
          <w:lang w:val="en-US" w:eastAsia="zh-CN"/>
        </w:rPr>
        <w:t>400</w:t>
      </w:r>
      <w:r>
        <w:rPr>
          <w:rFonts w:hint="eastAsia" w:ascii="仿宋_GB2312" w:hAnsi="仿宋_GB2312" w:cs="仿宋_GB2312"/>
          <w:sz w:val="30"/>
          <w:szCs w:val="30"/>
          <w:highlight w:val="none"/>
        </w:rPr>
        <w:t>万元（含）—3000万元</w:t>
      </w:r>
      <w:r>
        <w:rPr>
          <w:rFonts w:hint="eastAsia" w:ascii="仿宋_GB2312" w:hAnsi="仿宋_GB2312" w:cs="仿宋_GB2312"/>
          <w:sz w:val="30"/>
          <w:szCs w:val="30"/>
          <w:highlight w:val="none"/>
          <w:lang w:eastAsia="zh-CN"/>
        </w:rPr>
        <w:t>（不含）</w:t>
      </w:r>
      <w:r>
        <w:rPr>
          <w:rFonts w:hint="eastAsia" w:ascii="仿宋_GB2312" w:hAnsi="仿宋_GB2312" w:cs="仿宋_GB2312"/>
          <w:sz w:val="30"/>
          <w:szCs w:val="30"/>
          <w:highlight w:val="none"/>
        </w:rPr>
        <w:t>的项目</w:t>
      </w:r>
      <w:r>
        <w:rPr>
          <w:rFonts w:hint="default" w:ascii="仿宋_GB2312" w:hAnsi="仿宋_GB2312" w:cs="仿宋_GB2312"/>
          <w:sz w:val="30"/>
          <w:szCs w:val="30"/>
          <w:highlight w:val="none"/>
        </w:rPr>
        <w:t>由项目业主</w:t>
      </w:r>
      <w:r>
        <w:rPr>
          <w:rFonts w:hint="eastAsia" w:ascii="仿宋_GB2312" w:hAnsi="仿宋_GB2312" w:cs="仿宋_GB2312"/>
          <w:sz w:val="30"/>
          <w:szCs w:val="30"/>
          <w:highlight w:val="none"/>
        </w:rPr>
        <w:t>向区投资主管部门报批项目建议书。</w:t>
      </w:r>
      <w:r>
        <w:rPr>
          <w:rFonts w:hint="eastAsia" w:ascii="仿宋_GB2312" w:hAnsi="仿宋_GB2312" w:cs="仿宋_GB2312"/>
          <w:sz w:val="30"/>
          <w:szCs w:val="30"/>
          <w:highlight w:val="none"/>
          <w:lang w:val="en-US" w:eastAsia="zh-CN"/>
        </w:rPr>
        <w:t>400</w:t>
      </w:r>
      <w:r>
        <w:rPr>
          <w:rFonts w:hint="eastAsia" w:ascii="仿宋_GB2312" w:hAnsi="仿宋_GB2312" w:cs="仿宋_GB2312"/>
          <w:sz w:val="30"/>
          <w:szCs w:val="30"/>
          <w:highlight w:val="none"/>
        </w:rPr>
        <w:t>万元以下的项目，</w:t>
      </w:r>
      <w:r>
        <w:rPr>
          <w:rFonts w:hint="eastAsia" w:ascii="仿宋_GB2312" w:hAnsi="仿宋_GB2312" w:cs="仿宋_GB2312"/>
          <w:sz w:val="30"/>
          <w:szCs w:val="30"/>
          <w:highlight w:val="none"/>
          <w:lang w:eastAsia="zh-CN"/>
        </w:rPr>
        <w:t>建设资金已经落实，或区政府已确认启动，其相应资金安排及启动文件（含会议纪要）视为项目立项批复，项目业主持以上文件，根据相关</w:t>
      </w:r>
      <w:r>
        <w:rPr>
          <w:rFonts w:hint="default" w:ascii="仿宋_GB2312" w:hAnsi="仿宋_GB2312" w:cs="仿宋_GB2312"/>
          <w:sz w:val="30"/>
          <w:szCs w:val="30"/>
          <w:highlight w:val="none"/>
          <w:lang w:eastAsia="zh-CN"/>
        </w:rPr>
        <w:t>行业</w:t>
      </w:r>
      <w:r>
        <w:rPr>
          <w:rFonts w:hint="eastAsia" w:ascii="仿宋_GB2312" w:hAnsi="仿宋_GB2312" w:cs="仿宋_GB2312"/>
          <w:sz w:val="30"/>
          <w:szCs w:val="30"/>
          <w:highlight w:val="none"/>
          <w:lang w:eastAsia="zh-CN"/>
        </w:rPr>
        <w:t>主管部门要求，直接开展后续手续办理工作，并在确保资金已落实情况下开工建设</w:t>
      </w:r>
      <w:r>
        <w:rPr>
          <w:rFonts w:hint="eastAsia" w:ascii="仿宋_GB2312" w:hAnsi="仿宋_GB2312" w:cs="仿宋_GB2312"/>
          <w:sz w:val="30"/>
          <w:szCs w:val="30"/>
          <w:highlight w:val="none"/>
        </w:rPr>
        <w:t>。</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（三）总投资</w:t>
      </w:r>
      <w:r>
        <w:rPr>
          <w:rFonts w:hint="eastAsia" w:ascii="仿宋_GB2312" w:hAnsi="仿宋_GB2312" w:cs="仿宋_GB2312"/>
          <w:sz w:val="30"/>
          <w:szCs w:val="30"/>
          <w:highlight w:val="none"/>
          <w:lang w:eastAsia="zh-CN"/>
        </w:rPr>
        <w:t>小于</w:t>
      </w:r>
      <w:r>
        <w:rPr>
          <w:rFonts w:hint="eastAsia" w:ascii="仿宋_GB2312" w:hAnsi="仿宋_GB2312" w:cs="仿宋_GB2312"/>
          <w:sz w:val="30"/>
          <w:szCs w:val="30"/>
          <w:highlight w:val="none"/>
        </w:rPr>
        <w:t>500万元（不包括征地拆迁费）的</w:t>
      </w:r>
      <w:r>
        <w:rPr>
          <w:rFonts w:hint="eastAsia" w:ascii="仿宋_GB2312" w:hAnsi="仿宋_GB2312" w:cs="仿宋_GB2312"/>
          <w:sz w:val="30"/>
          <w:szCs w:val="30"/>
          <w:highlight w:val="none"/>
          <w:lang w:eastAsia="zh-CN"/>
        </w:rPr>
        <w:t>建设</w:t>
      </w:r>
      <w:r>
        <w:rPr>
          <w:rFonts w:hint="eastAsia" w:ascii="仿宋_GB2312" w:hAnsi="仿宋_GB2312" w:cs="仿宋_GB2312"/>
          <w:sz w:val="30"/>
          <w:szCs w:val="30"/>
          <w:highlight w:val="none"/>
        </w:rPr>
        <w:t>项目，</w:t>
      </w:r>
      <w:r>
        <w:rPr>
          <w:rFonts w:hint="eastAsia" w:ascii="仿宋_GB2312" w:hAnsi="仿宋_GB2312" w:cs="仿宋_GB2312"/>
          <w:sz w:val="30"/>
          <w:szCs w:val="30"/>
          <w:highlight w:val="none"/>
          <w:lang w:eastAsia="zh-CN"/>
        </w:rPr>
        <w:t>在项目立项后</w:t>
      </w:r>
      <w:r>
        <w:rPr>
          <w:rFonts w:hint="eastAsia" w:ascii="仿宋_GB2312" w:hAnsi="仿宋_GB2312" w:cs="仿宋_GB2312"/>
          <w:sz w:val="30"/>
          <w:szCs w:val="30"/>
          <w:highlight w:val="none"/>
        </w:rPr>
        <w:t>，</w:t>
      </w:r>
      <w:r>
        <w:rPr>
          <w:rFonts w:hint="eastAsia" w:ascii="仿宋_GB2312" w:hAnsi="仿宋_GB2312" w:cs="仿宋_GB2312"/>
          <w:sz w:val="30"/>
          <w:szCs w:val="30"/>
          <w:highlight w:val="none"/>
          <w:lang w:eastAsia="zh-CN"/>
        </w:rPr>
        <w:t>可</w:t>
      </w:r>
      <w:r>
        <w:rPr>
          <w:rFonts w:hint="eastAsia" w:ascii="仿宋_GB2312" w:hAnsi="仿宋_GB2312" w:cs="仿宋_GB2312"/>
          <w:sz w:val="30"/>
          <w:szCs w:val="30"/>
          <w:highlight w:val="none"/>
        </w:rPr>
        <w:t>直接进入施工图设计，根据施工图编制工程量清单和控制价后报预算评审。</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四）总投资500万元—3000万元（不含3000万元且不包括征地拆迁费）的项目，项目业主向区投资主管部门报批项目建议书后，直接进入初步设计及概算的编制工作，经区投资主管部门审查、批复，根据批复文件完善施工图设计，按照施工图编制工程量清单和控制价后报预算评审。</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（五）以设备采购为主要内容的项目，</w:t>
      </w:r>
      <w:r>
        <w:rPr>
          <w:rFonts w:hint="eastAsia" w:ascii="仿宋_GB2312" w:hAnsi="仿宋_GB2312" w:cs="仿宋_GB2312"/>
          <w:sz w:val="30"/>
          <w:szCs w:val="30"/>
          <w:highlight w:val="none"/>
          <w:lang w:eastAsia="zh-CN"/>
        </w:rPr>
        <w:t>设备采购资金超过总预算</w:t>
      </w:r>
      <w:r>
        <w:rPr>
          <w:rFonts w:hint="eastAsia" w:ascii="仿宋_GB2312" w:hAnsi="仿宋_GB2312" w:cs="仿宋_GB2312"/>
          <w:sz w:val="30"/>
          <w:szCs w:val="30"/>
          <w:highlight w:val="none"/>
          <w:lang w:val="en-US" w:eastAsia="zh-CN"/>
        </w:rPr>
        <w:t>50%，</w:t>
      </w:r>
      <w:r>
        <w:rPr>
          <w:rFonts w:hint="eastAsia" w:ascii="仿宋_GB2312" w:hAnsi="仿宋_GB2312" w:cs="仿宋_GB2312"/>
          <w:sz w:val="30"/>
          <w:szCs w:val="30"/>
          <w:highlight w:val="none"/>
        </w:rPr>
        <w:t>按照设备采购程序进行采购。</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六）为应对自然灾害、事故灾难、公共卫生事件、社会安全等突发事件需要紧急建设的项目，由项目业主提出应急工程项目和预算申请，经区政府常务会议同意后实施。提交上会研究内容应包含但不限于应急工程项目建设基本情况、项目具备应急属性的说明或必要证明材料等。应急工程项目具体包括：</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1.自然灾害和其他不可抗力因素引起的水土保持、环境保护、园林绿化、林业、防火等的抢险整治工程；</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2.水利、排水、供水等公共水务设施的抢险加固以及应对紧急防洪潮、排涝、抗旱、疏浚、水污染事故等的抢险整治工程；</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3.山体崩塌、滑坡、泥石流、地面塌陷、地裂缝、地面沉降等地质灾害的抢险治理工程；</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4.房屋建筑及其附属设施和市政、环卫、交通、通信、供电、供气、人防等公共设施的抢险修复工程；</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5.危险化学品引起的火灾、爆炸、中毒等的抢险救灾工程；</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6.公共卫生领域应急抢险救灾工程；</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7.其他因突发事件引发或者为应对突发事件必须采取措施的应急抢险救灾工程。</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应急工程项目直接进入初步设计及概算审批程序， 后续按项目基本建设程序相关规定推进。</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如不立即组织实施将发生严重危害社会公共利益或者人民生命财产安全的应急工程项目，经区政府常务会议同意可以在工程验收前或者灾情结束后6个月内完善上述相关手续，包含但不限于概（预）算等审批手续。</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第十</w:t>
      </w:r>
      <w:r>
        <w:rPr>
          <w:rFonts w:hint="eastAsia" w:ascii="仿宋_GB2312" w:hAnsi="仿宋_GB2312" w:cs="仿宋_GB2312"/>
          <w:b/>
          <w:sz w:val="30"/>
          <w:szCs w:val="30"/>
          <w:highlight w:val="none"/>
          <w:lang w:eastAsia="zh-CN"/>
        </w:rPr>
        <w:t>二</w:t>
      </w:r>
      <w:r>
        <w:rPr>
          <w:rFonts w:hint="eastAsia" w:ascii="仿宋_GB2312" w:hAnsi="仿宋_GB2312" w:cs="仿宋_GB2312"/>
          <w:b/>
          <w:sz w:val="30"/>
          <w:szCs w:val="30"/>
          <w:highlight w:val="none"/>
        </w:rPr>
        <w:t xml:space="preserve">条  </w:t>
      </w:r>
      <w:r>
        <w:rPr>
          <w:rFonts w:hint="eastAsia" w:ascii="仿宋_GB2312" w:hAnsi="仿宋_GB2312" w:cs="仿宋_GB2312"/>
          <w:sz w:val="30"/>
          <w:szCs w:val="30"/>
          <w:highlight w:val="none"/>
        </w:rPr>
        <w:t>项目概算应当包括项目建设所需的费用。</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项目概算须经</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投资主管部门委托具有相应资质的咨询机构审核，并由</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投资主管部门核定。</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第十</w:t>
      </w:r>
      <w:r>
        <w:rPr>
          <w:rFonts w:hint="eastAsia" w:ascii="仿宋_GB2312" w:hAnsi="仿宋_GB2312" w:cs="仿宋_GB2312"/>
          <w:b/>
          <w:sz w:val="30"/>
          <w:szCs w:val="30"/>
          <w:highlight w:val="none"/>
          <w:lang w:eastAsia="zh-CN"/>
        </w:rPr>
        <w:t>三</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初步设计遵循投资估算控制设计概算的原则进行限额设计。 </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初步设计及概算超过投资估算（除征地拆迁费）10%的，必须重新报批</w:t>
      </w:r>
      <w:r>
        <w:rPr>
          <w:rFonts w:hint="eastAsia" w:ascii="仿宋_GB2312" w:hAnsi="仿宋_GB2312" w:cs="仿宋_GB2312"/>
          <w:sz w:val="30"/>
          <w:szCs w:val="30"/>
          <w:highlight w:val="none"/>
          <w:lang w:eastAsia="zh-CN"/>
        </w:rPr>
        <w:t>项目建议书</w:t>
      </w:r>
      <w:r>
        <w:rPr>
          <w:rFonts w:hint="eastAsia" w:ascii="仿宋_GB2312" w:hAnsi="仿宋_GB2312" w:cs="仿宋_GB2312"/>
          <w:sz w:val="30"/>
          <w:szCs w:val="30"/>
          <w:highlight w:val="none"/>
        </w:rPr>
        <w:t xml:space="preserve">或修改初步设计。 </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项目初步设计及概算由</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投资主管部门委托符合资质的中介机构进行评估，并征求行业主管部门意见后批准。项目概算作为编制施工图设计及预算和安排投资计划的依据。</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工程概算经审批后，必须严格执行，确需调整概算的，按设计变更及概算调整有关规定办理。</w:t>
      </w:r>
    </w:p>
    <w:p>
      <w:pPr>
        <w:spacing w:line="500" w:lineRule="exact"/>
        <w:ind w:firstLine="600" w:firstLineChars="200"/>
        <w:rPr>
          <w:rFonts w:hint="eastAsia" w:ascii="仿宋_GB2312" w:hAnsi="仿宋_GB2312" w:cs="仿宋_GB2312"/>
          <w:sz w:val="30"/>
          <w:szCs w:val="30"/>
          <w:highlight w:val="none"/>
        </w:rPr>
      </w:pPr>
    </w:p>
    <w:p>
      <w:pPr>
        <w:pStyle w:val="12"/>
        <w:rPr>
          <w:rFonts w:hint="eastAsia" w:ascii="仿宋_GB2312" w:hAnsi="仿宋_GB2312" w:cs="仿宋_GB2312"/>
          <w:sz w:val="30"/>
          <w:szCs w:val="30"/>
          <w:highlight w:val="none"/>
        </w:rPr>
      </w:pPr>
      <w:r>
        <w:rPr>
          <w:rFonts w:hint="eastAsia"/>
          <w:highlight w:val="none"/>
        </w:rPr>
        <w:t xml:space="preserve">第三章  </w:t>
      </w:r>
      <w:r>
        <w:rPr>
          <w:rFonts w:hint="eastAsia"/>
          <w:highlight w:val="none"/>
          <w:lang w:eastAsia="zh-CN"/>
        </w:rPr>
        <w:t>年度</w:t>
      </w:r>
      <w:r>
        <w:rPr>
          <w:rFonts w:hint="eastAsia"/>
          <w:highlight w:val="none"/>
        </w:rPr>
        <w:t>政府投资项目计划</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第十</w:t>
      </w:r>
      <w:r>
        <w:rPr>
          <w:rFonts w:hint="eastAsia" w:ascii="仿宋_GB2312" w:hAnsi="仿宋_GB2312" w:cs="仿宋_GB2312"/>
          <w:b/>
          <w:sz w:val="30"/>
          <w:szCs w:val="30"/>
          <w:highlight w:val="none"/>
          <w:lang w:eastAsia="zh-CN"/>
        </w:rPr>
        <w:t>四</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w:t>
      </w:r>
      <w:r>
        <w:rPr>
          <w:rFonts w:hint="eastAsia" w:ascii="仿宋_GB2312" w:hAnsi="仿宋_GB2312" w:cs="仿宋_GB2312"/>
          <w:sz w:val="30"/>
          <w:szCs w:val="30"/>
          <w:highlight w:val="none"/>
          <w:lang w:eastAsia="zh-CN"/>
        </w:rPr>
        <w:t>投资主管部门</w:t>
      </w:r>
      <w:r>
        <w:rPr>
          <w:rFonts w:hint="eastAsia" w:ascii="仿宋_GB2312" w:hAnsi="仿宋_GB2312" w:cs="仿宋_GB2312"/>
          <w:sz w:val="30"/>
          <w:szCs w:val="30"/>
          <w:highlight w:val="none"/>
          <w:lang w:val="en-US" w:eastAsia="zh-CN"/>
        </w:rPr>
        <w:t>应及时汇总总投资超过500万元以上的政府投资项目，纳入政府投资项目库跟踪管理，并</w:t>
      </w:r>
      <w:r>
        <w:rPr>
          <w:rFonts w:hint="eastAsia" w:ascii="仿宋_GB2312" w:hAnsi="仿宋_GB2312" w:cs="仿宋_GB2312"/>
          <w:sz w:val="30"/>
          <w:szCs w:val="30"/>
          <w:highlight w:val="none"/>
        </w:rPr>
        <w:t>遵循量入为出、综合平衡的原则</w:t>
      </w:r>
      <w:r>
        <w:rPr>
          <w:rFonts w:hint="eastAsia" w:ascii="仿宋_GB2312" w:hAnsi="仿宋_GB2312" w:cs="仿宋_GB2312"/>
          <w:sz w:val="30"/>
          <w:szCs w:val="30"/>
          <w:highlight w:val="none"/>
          <w:lang w:eastAsia="zh-CN"/>
        </w:rPr>
        <w:t>，负责编制年度政府投资项目计划，报区政府会议审议。</w:t>
      </w:r>
      <w:r>
        <w:rPr>
          <w:rFonts w:hint="eastAsia" w:ascii="仿宋_GB2312" w:hAnsi="仿宋_GB2312" w:cs="仿宋_GB2312"/>
          <w:sz w:val="30"/>
          <w:szCs w:val="30"/>
          <w:highlight w:val="none"/>
        </w:rPr>
        <w:t xml:space="preserve"> </w:t>
      </w:r>
    </w:p>
    <w:p>
      <w:pPr>
        <w:spacing w:line="500" w:lineRule="exact"/>
        <w:ind w:firstLine="602" w:firstLineChars="200"/>
        <w:jc w:val="left"/>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第十</w:t>
      </w:r>
      <w:r>
        <w:rPr>
          <w:rFonts w:hint="eastAsia" w:ascii="仿宋_GB2312" w:hAnsi="仿宋_GB2312" w:cs="仿宋_GB2312"/>
          <w:b/>
          <w:sz w:val="30"/>
          <w:szCs w:val="30"/>
          <w:highlight w:val="none"/>
          <w:lang w:eastAsia="zh-CN"/>
        </w:rPr>
        <w:t>五</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政府投资项目计划应当包括</w:t>
      </w:r>
      <w:r>
        <w:rPr>
          <w:rFonts w:hint="eastAsia" w:ascii="仿宋_GB2312" w:hAnsi="仿宋_GB2312" w:cs="仿宋_GB2312"/>
          <w:sz w:val="30"/>
          <w:szCs w:val="30"/>
          <w:highlight w:val="none"/>
          <w:lang w:eastAsia="zh-CN"/>
        </w:rPr>
        <w:t>但不限于</w:t>
      </w:r>
      <w:r>
        <w:rPr>
          <w:rFonts w:hint="eastAsia" w:ascii="仿宋_GB2312" w:hAnsi="仿宋_GB2312" w:cs="仿宋_GB2312"/>
          <w:sz w:val="30"/>
          <w:szCs w:val="30"/>
          <w:highlight w:val="none"/>
        </w:rPr>
        <w:t xml:space="preserve">下列内容：    </w:t>
      </w:r>
    </w:p>
    <w:p>
      <w:pPr>
        <w:pStyle w:val="10"/>
        <w:ind w:firstLine="600"/>
        <w:rPr>
          <w:rFonts w:hint="eastAsia"/>
          <w:highlight w:val="none"/>
        </w:rPr>
      </w:pPr>
      <w:r>
        <w:rPr>
          <w:rFonts w:hint="eastAsia" w:ascii="仿宋_GB2312" w:hAnsi="仿宋_GB2312" w:cs="仿宋_GB2312"/>
          <w:szCs w:val="30"/>
          <w:highlight w:val="none"/>
        </w:rPr>
        <w:t>（</w:t>
      </w:r>
      <w:r>
        <w:rPr>
          <w:rFonts w:hint="eastAsia"/>
          <w:highlight w:val="none"/>
        </w:rPr>
        <w:t>一）年度政府投资总规模；</w:t>
      </w:r>
    </w:p>
    <w:p>
      <w:pPr>
        <w:pStyle w:val="10"/>
        <w:ind w:firstLine="600"/>
        <w:rPr>
          <w:rFonts w:hint="eastAsia"/>
          <w:highlight w:val="none"/>
        </w:rPr>
      </w:pPr>
      <w:r>
        <w:rPr>
          <w:rFonts w:hint="eastAsia"/>
          <w:highlight w:val="none"/>
        </w:rPr>
        <w:t>（二）新开工项目名称、建设规模、项目总投资、建设周期、年度投资额和建设内容；</w:t>
      </w:r>
    </w:p>
    <w:p>
      <w:pPr>
        <w:pStyle w:val="10"/>
        <w:ind w:firstLine="600"/>
        <w:rPr>
          <w:rFonts w:hint="eastAsia"/>
          <w:highlight w:val="none"/>
        </w:rPr>
      </w:pPr>
      <w:r>
        <w:rPr>
          <w:rFonts w:hint="eastAsia"/>
          <w:highlight w:val="none"/>
        </w:rPr>
        <w:t>（三）续建项目名称、年度投资额和建设内容；</w:t>
      </w:r>
    </w:p>
    <w:p>
      <w:pPr>
        <w:pStyle w:val="10"/>
        <w:ind w:firstLine="600"/>
        <w:rPr>
          <w:rFonts w:hint="eastAsia"/>
          <w:highlight w:val="none"/>
        </w:rPr>
      </w:pPr>
      <w:r>
        <w:rPr>
          <w:rFonts w:hint="eastAsia"/>
          <w:highlight w:val="none"/>
        </w:rPr>
        <w:t>（四）拟安排的政府投资项目前期费用；</w:t>
      </w:r>
    </w:p>
    <w:p>
      <w:pPr>
        <w:pStyle w:val="10"/>
        <w:ind w:firstLine="600"/>
        <w:rPr>
          <w:rFonts w:hint="eastAsia" w:ascii="仿宋_GB2312" w:hAnsi="仿宋_GB2312" w:cs="仿宋_GB2312"/>
          <w:b/>
          <w:sz w:val="30"/>
          <w:szCs w:val="30"/>
          <w:highlight w:val="none"/>
        </w:rPr>
      </w:pPr>
      <w:r>
        <w:rPr>
          <w:rFonts w:hint="eastAsia"/>
          <w:highlight w:val="none"/>
        </w:rPr>
        <w:t>（</w:t>
      </w:r>
      <w:r>
        <w:rPr>
          <w:rFonts w:hint="eastAsia"/>
          <w:highlight w:val="none"/>
          <w:lang w:eastAsia="zh-CN"/>
        </w:rPr>
        <w:t>五</w:t>
      </w:r>
      <w:r>
        <w:rPr>
          <w:rFonts w:hint="eastAsia"/>
          <w:highlight w:val="none"/>
        </w:rPr>
        <w:t>）其他应当</w:t>
      </w:r>
      <w:r>
        <w:rPr>
          <w:rFonts w:hint="eastAsia" w:ascii="仿宋_GB2312" w:hAnsi="仿宋_GB2312" w:cs="仿宋_GB2312"/>
          <w:szCs w:val="30"/>
          <w:highlight w:val="none"/>
        </w:rPr>
        <w:t>说明的情况。</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第十</w:t>
      </w:r>
      <w:r>
        <w:rPr>
          <w:rFonts w:hint="eastAsia" w:ascii="仿宋_GB2312" w:hAnsi="仿宋_GB2312" w:cs="仿宋_GB2312"/>
          <w:b/>
          <w:sz w:val="30"/>
          <w:szCs w:val="30"/>
          <w:highlight w:val="none"/>
          <w:lang w:eastAsia="zh-CN"/>
        </w:rPr>
        <w:t>六</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加强项目前期谋划的科学性和项目落地的可操作性。在项目列入年度计划前，应由项目分管领导组织相关单位对项目建设的概念方案、要素保障、可行性研究</w:t>
      </w:r>
      <w:r>
        <w:rPr>
          <w:rFonts w:hint="eastAsia" w:ascii="仿宋_GB2312" w:hAnsi="仿宋_GB2312" w:cs="仿宋_GB2312"/>
          <w:sz w:val="30"/>
          <w:szCs w:val="30"/>
          <w:highlight w:val="none"/>
          <w:lang w:val="en-US" w:eastAsia="zh-CN"/>
        </w:rPr>
        <w:t>等</w:t>
      </w:r>
      <w:r>
        <w:rPr>
          <w:rFonts w:hint="eastAsia" w:ascii="仿宋_GB2312" w:hAnsi="仿宋_GB2312" w:cs="仿宋_GB2312"/>
          <w:sz w:val="30"/>
          <w:szCs w:val="30"/>
          <w:highlight w:val="none"/>
        </w:rPr>
        <w:t>进行充分论证</w:t>
      </w:r>
      <w:r>
        <w:rPr>
          <w:rFonts w:hint="eastAsia" w:ascii="仿宋_GB2312" w:hAnsi="仿宋_GB2312" w:cs="仿宋_GB2312"/>
          <w:sz w:val="30"/>
          <w:szCs w:val="30"/>
          <w:highlight w:val="none"/>
          <w:lang w:eastAsia="zh-CN"/>
        </w:rPr>
        <w:t>。</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第十</w:t>
      </w:r>
      <w:r>
        <w:rPr>
          <w:rFonts w:hint="eastAsia" w:ascii="仿宋_GB2312" w:hAnsi="仿宋_GB2312" w:cs="仿宋_GB2312"/>
          <w:b/>
          <w:sz w:val="30"/>
          <w:szCs w:val="30"/>
          <w:highlight w:val="none"/>
          <w:lang w:eastAsia="zh-CN"/>
        </w:rPr>
        <w:t>七</w:t>
      </w:r>
      <w:r>
        <w:rPr>
          <w:rFonts w:hint="eastAsia" w:ascii="仿宋_GB2312" w:hAnsi="仿宋_GB2312" w:cs="仿宋_GB2312"/>
          <w:b/>
          <w:sz w:val="30"/>
          <w:szCs w:val="30"/>
          <w:highlight w:val="none"/>
        </w:rPr>
        <w:t>条</w:t>
      </w:r>
      <w:r>
        <w:rPr>
          <w:rFonts w:hint="eastAsia" w:ascii="仿宋_GB2312" w:hAnsi="仿宋_GB2312" w:cs="仿宋_GB2312"/>
          <w:b/>
          <w:sz w:val="30"/>
          <w:szCs w:val="30"/>
          <w:highlight w:val="none"/>
          <w:lang w:val="en-US" w:eastAsia="zh-CN"/>
        </w:rPr>
        <w:t xml:space="preserve">  </w:t>
      </w:r>
      <w:r>
        <w:rPr>
          <w:rFonts w:hint="eastAsia" w:ascii="仿宋_GB2312" w:hAnsi="仿宋_GB2312" w:cs="仿宋_GB2312"/>
          <w:sz w:val="30"/>
          <w:szCs w:val="30"/>
          <w:highlight w:val="none"/>
        </w:rPr>
        <w:t>政府投资项目年度计划批准后，财政部门应当根据批准的预算，按照法律、行政法规和国库管理的有关规定，及时、足额办理政府投资资金拨付</w:t>
      </w:r>
      <w:r>
        <w:rPr>
          <w:rFonts w:hint="eastAsia" w:ascii="仿宋_GB2312" w:hAnsi="仿宋_GB2312" w:cs="仿宋_GB2312"/>
          <w:sz w:val="30"/>
          <w:szCs w:val="30"/>
          <w:highlight w:val="none"/>
          <w:lang w:eastAsia="zh-CN"/>
        </w:rPr>
        <w:t>。</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第十</w:t>
      </w:r>
      <w:r>
        <w:rPr>
          <w:rFonts w:hint="eastAsia" w:ascii="仿宋_GB2312" w:hAnsi="仿宋_GB2312" w:cs="仿宋_GB2312"/>
          <w:b/>
          <w:sz w:val="30"/>
          <w:szCs w:val="30"/>
          <w:highlight w:val="none"/>
          <w:lang w:eastAsia="zh-CN"/>
        </w:rPr>
        <w:t>八</w:t>
      </w:r>
      <w:r>
        <w:rPr>
          <w:rFonts w:hint="eastAsia" w:ascii="仿宋_GB2312" w:hAnsi="仿宋_GB2312" w:cs="仿宋_GB2312"/>
          <w:b/>
          <w:sz w:val="30"/>
          <w:szCs w:val="30"/>
          <w:highlight w:val="none"/>
        </w:rPr>
        <w:t>条</w:t>
      </w:r>
      <w:r>
        <w:rPr>
          <w:rFonts w:hint="eastAsia" w:ascii="仿宋_GB2312" w:hAnsi="仿宋_GB2312" w:cs="仿宋_GB2312"/>
          <w:b/>
          <w:sz w:val="30"/>
          <w:szCs w:val="30"/>
          <w:highlight w:val="none"/>
          <w:lang w:val="en-US" w:eastAsia="zh-CN"/>
        </w:rPr>
        <w:t xml:space="preserve">  </w:t>
      </w:r>
      <w:r>
        <w:rPr>
          <w:rFonts w:hint="eastAsia" w:ascii="仿宋_GB2312" w:hAnsi="仿宋_GB2312" w:cs="仿宋_GB2312"/>
          <w:sz w:val="30"/>
          <w:szCs w:val="30"/>
          <w:highlight w:val="none"/>
        </w:rPr>
        <w:t>政府投资项目年度计划一经批准，必须严格执行，任何单位和个人不得擅自变更。确需调整年度政府投资总额或者增减政府投资项目的，投资主管部门根据各项目业主的项目调整需求，会同财政和行业主管部门制定调整方案，</w:t>
      </w:r>
      <w:r>
        <w:rPr>
          <w:rFonts w:hint="eastAsia" w:ascii="仿宋_GB2312" w:hAnsi="仿宋_GB2312" w:cs="仿宋_GB2312"/>
          <w:sz w:val="30"/>
          <w:szCs w:val="30"/>
          <w:highlight w:val="none"/>
          <w:lang w:eastAsia="zh-CN"/>
        </w:rPr>
        <w:t>报区政府会议审定后执行</w:t>
      </w:r>
      <w:r>
        <w:rPr>
          <w:rFonts w:hint="eastAsia" w:ascii="仿宋_GB2312" w:hAnsi="仿宋_GB2312" w:cs="仿宋_GB2312"/>
          <w:sz w:val="30"/>
          <w:szCs w:val="30"/>
          <w:highlight w:val="none"/>
        </w:rPr>
        <w:t>，但项目累计安排资金不得超过项目的概算总投资。</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十九</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政府投资项目年度计划外需要临时增加的项目原则上列入下一年度计划实施，确需紧急实施而临时增加的项目，</w:t>
      </w:r>
      <w:r>
        <w:rPr>
          <w:rFonts w:hint="eastAsia" w:ascii="仿宋_GB2312" w:hAnsi="仿宋_GB2312" w:cs="仿宋_GB2312"/>
          <w:sz w:val="30"/>
          <w:szCs w:val="30"/>
          <w:highlight w:val="none"/>
          <w:lang w:eastAsia="zh-CN"/>
        </w:rPr>
        <w:t>由项目业主报区政府</w:t>
      </w:r>
      <w:r>
        <w:rPr>
          <w:rFonts w:hint="default" w:ascii="仿宋_GB2312" w:hAnsi="仿宋_GB2312" w:cs="仿宋_GB2312"/>
          <w:sz w:val="30"/>
          <w:szCs w:val="30"/>
          <w:highlight w:val="none"/>
          <w:lang w:eastAsia="zh-CN"/>
        </w:rPr>
        <w:t>会议</w:t>
      </w:r>
      <w:r>
        <w:rPr>
          <w:rFonts w:hint="eastAsia" w:ascii="仿宋_GB2312" w:hAnsi="仿宋_GB2312" w:cs="仿宋_GB2312"/>
          <w:sz w:val="30"/>
          <w:szCs w:val="30"/>
          <w:highlight w:val="none"/>
          <w:lang w:eastAsia="zh-CN"/>
        </w:rPr>
        <w:t>审定</w:t>
      </w:r>
      <w:r>
        <w:rPr>
          <w:rFonts w:hint="eastAsia" w:ascii="仿宋_GB2312" w:hAnsi="仿宋_GB2312" w:cs="仿宋_GB2312"/>
          <w:sz w:val="30"/>
          <w:szCs w:val="30"/>
          <w:highlight w:val="none"/>
        </w:rPr>
        <w:t xml:space="preserve">。 </w:t>
      </w:r>
    </w:p>
    <w:p>
      <w:pPr>
        <w:spacing w:line="500" w:lineRule="exact"/>
        <w:ind w:firstLine="600" w:firstLineChars="200"/>
        <w:rPr>
          <w:rFonts w:hint="eastAsia" w:ascii="方正仿宋简体" w:hAnsi="方正仿宋简体" w:eastAsia="方正仿宋简体" w:cs="方正仿宋简体"/>
          <w:sz w:val="30"/>
          <w:szCs w:val="30"/>
          <w:highlight w:val="none"/>
        </w:rPr>
      </w:pPr>
    </w:p>
    <w:p>
      <w:pPr>
        <w:pStyle w:val="12"/>
        <w:rPr>
          <w:rFonts w:hint="eastAsia"/>
          <w:highlight w:val="none"/>
        </w:rPr>
      </w:pPr>
      <w:r>
        <w:rPr>
          <w:rFonts w:hint="eastAsia"/>
          <w:highlight w:val="none"/>
        </w:rPr>
        <w:t>第四章  政府投资项目建设的管理</w:t>
      </w:r>
    </w:p>
    <w:p>
      <w:pPr>
        <w:spacing w:line="500" w:lineRule="exact"/>
        <w:ind w:firstLine="600" w:firstLineChars="200"/>
        <w:rPr>
          <w:rFonts w:hint="eastAsia" w:ascii="仿宋_GB2312" w:hAnsi="仿宋_GB2312" w:cs="仿宋_GB2312"/>
          <w:sz w:val="30"/>
          <w:szCs w:val="30"/>
          <w:highlight w:val="none"/>
        </w:rPr>
      </w:pP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第二十条</w:t>
      </w:r>
      <w:r>
        <w:rPr>
          <w:rFonts w:hint="eastAsia" w:ascii="仿宋_GB2312" w:hAnsi="仿宋_GB2312" w:cs="仿宋_GB2312"/>
          <w:sz w:val="30"/>
          <w:szCs w:val="30"/>
          <w:highlight w:val="none"/>
        </w:rPr>
        <w:t xml:space="preserve">  政府投资项目实行项目业主法人责任制，不具备建设技术和管理条件的政府投资项目实行代建（ 管） 制。 实行代建（ 管） 制的项目，其项目业主仍是项目管理的责任主体，负责项目全过程管理</w:t>
      </w:r>
      <w:r>
        <w:rPr>
          <w:rFonts w:hint="eastAsia" w:ascii="仿宋_GB2312" w:hAnsi="仿宋_GB2312" w:cs="仿宋_GB2312"/>
          <w:sz w:val="30"/>
          <w:szCs w:val="30"/>
          <w:highlight w:val="none"/>
          <w:lang w:eastAsia="zh-CN"/>
        </w:rPr>
        <w:t>。</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第二十一条</w:t>
      </w:r>
      <w:r>
        <w:rPr>
          <w:rFonts w:hint="eastAsia" w:ascii="仿宋_GB2312" w:hAnsi="仿宋_GB2312" w:cs="仿宋_GB2312"/>
          <w:b/>
          <w:sz w:val="30"/>
          <w:szCs w:val="30"/>
          <w:highlight w:val="none"/>
          <w:lang w:val="en-US" w:eastAsia="zh-CN"/>
        </w:rPr>
        <w:t xml:space="preserve">  </w:t>
      </w:r>
      <w:r>
        <w:rPr>
          <w:rFonts w:hint="eastAsia" w:ascii="仿宋_GB2312" w:hAnsi="仿宋_GB2312" w:cs="仿宋_GB2312"/>
          <w:sz w:val="30"/>
          <w:szCs w:val="30"/>
          <w:highlight w:val="none"/>
        </w:rPr>
        <w:t>政府投资项目计划批准后，</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投资主管部门及时向各建设单位下达投资计划，并通知相关主管部门。</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建设单位要严格依照经批准的项目初步设计及概算进行施工图设计，编制施工图预算。</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第二十二条</w:t>
      </w:r>
      <w:r>
        <w:rPr>
          <w:rFonts w:hint="eastAsia" w:ascii="仿宋_GB2312" w:hAnsi="仿宋_GB2312" w:cs="仿宋_GB2312"/>
          <w:sz w:val="30"/>
          <w:szCs w:val="30"/>
          <w:highlight w:val="none"/>
        </w:rPr>
        <w:t xml:space="preserve">  建设单位或施工代建单位应根据审查通过的施工图设计委托有资质的机构编制工程预算。工程预算须报财政部门评审。</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第二十三条</w:t>
      </w:r>
      <w:r>
        <w:rPr>
          <w:rFonts w:hint="eastAsia" w:ascii="仿宋_GB2312" w:hAnsi="仿宋_GB2312" w:cs="仿宋_GB2312"/>
          <w:sz w:val="30"/>
          <w:szCs w:val="30"/>
          <w:highlight w:val="none"/>
        </w:rPr>
        <w:t xml:space="preserve">  按照规定的具体范围和规模标准依法必须进行招标的政府投资项目，项目业主应在履行相应项目审批手续并落实预算资金或承诺落实资金后按照核准的招标事项，对必须履行招投标程序的项目工程以及与工程建设有关的服务、货物，在公共资源交易平台发布招标采购信息，依法进行招投标采购活动。项目业主必须按照中标价格同项目工程以及与工程建设有关的服务、货物单位签订固定价格合同，约定在合理工期内按既定的合约价格开展项目工程以及与工程建设有关的服务、货物供应。项目业主应严格履行相关项目招投标事项义务，招投标行业主管部门做好事中事后监管，主动接受纪检监察部门监督，确保招投标工作有序、健康发展。</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第二十四条</w:t>
      </w:r>
      <w:r>
        <w:rPr>
          <w:rFonts w:hint="eastAsia" w:ascii="仿宋_GB2312" w:hAnsi="仿宋_GB2312" w:cs="仿宋_GB2312"/>
          <w:sz w:val="30"/>
          <w:szCs w:val="30"/>
          <w:highlight w:val="none"/>
        </w:rPr>
        <w:t xml:space="preserve">  政府投资项目的代建管理按</w:t>
      </w:r>
      <w:r>
        <w:rPr>
          <w:rFonts w:hint="eastAsia" w:ascii="仿宋_GB2312" w:hAnsi="仿宋_GB2312" w:cs="仿宋_GB2312"/>
          <w:sz w:val="30"/>
          <w:szCs w:val="30"/>
          <w:highlight w:val="none"/>
          <w:lang w:eastAsia="zh-CN"/>
        </w:rPr>
        <w:t>省、市、区级相关规定</w:t>
      </w:r>
      <w:r>
        <w:rPr>
          <w:rFonts w:hint="eastAsia" w:ascii="仿宋_GB2312" w:hAnsi="仿宋_GB2312" w:cs="仿宋_GB2312"/>
          <w:sz w:val="30"/>
          <w:szCs w:val="30"/>
          <w:highlight w:val="none"/>
        </w:rPr>
        <w:t>执行。</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第二十五条</w:t>
      </w:r>
      <w:r>
        <w:rPr>
          <w:rFonts w:hint="eastAsia" w:ascii="仿宋_GB2312" w:hAnsi="仿宋_GB2312" w:cs="仿宋_GB2312"/>
          <w:sz w:val="30"/>
          <w:szCs w:val="30"/>
          <w:highlight w:val="none"/>
        </w:rPr>
        <w:t xml:space="preserve">  政府投资项目的勘察、设计、施工、监理和重要设备材料的采购，要严格按照招投标有关规定执行。</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第二十六条</w:t>
      </w:r>
      <w:r>
        <w:rPr>
          <w:rFonts w:hint="eastAsia" w:ascii="仿宋_GB2312" w:hAnsi="仿宋_GB2312" w:cs="仿宋_GB2312"/>
          <w:sz w:val="30"/>
          <w:szCs w:val="30"/>
          <w:highlight w:val="none"/>
        </w:rPr>
        <w:t xml:space="preserve">  建设工程的勘察设计、监理、施工和主要设备、材料采购应当依法订立合同。</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政府投资项目实行履约担保制度。合同签订后，施工、监理单位依照合同约定向建设单位提供履约保函。</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禁止转包和违法分包工程。</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第二十七条</w:t>
      </w:r>
      <w:r>
        <w:rPr>
          <w:rFonts w:hint="eastAsia" w:ascii="仿宋_GB2312" w:hAnsi="仿宋_GB2312" w:cs="仿宋_GB2312"/>
          <w:sz w:val="30"/>
          <w:szCs w:val="30"/>
          <w:highlight w:val="none"/>
        </w:rPr>
        <w:t xml:space="preserve">  政府投资项目应当依法办理相关手续，在具备国家规定的各项开工条件后，方可开工建设。项目开工建设前，项目业主应当依法取得环评、水保、用地、用林、用海等文件审批意见或者履行环境影响登记表备案手续。按照规定不需办理以上审批事项的项目除外。</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项目实施过程中不得任意压缩或随意延长合理工期。</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第二十</w:t>
      </w:r>
      <w:r>
        <w:rPr>
          <w:rFonts w:hint="eastAsia" w:ascii="仿宋_GB2312" w:hAnsi="仿宋_GB2312" w:cs="仿宋_GB2312"/>
          <w:b/>
          <w:sz w:val="30"/>
          <w:szCs w:val="30"/>
          <w:highlight w:val="none"/>
          <w:lang w:eastAsia="zh-CN"/>
        </w:rPr>
        <w:t>八</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政府投资项目建设投资不得超过经审批的投资概算。因项目设计变更或工程签证，导致原核定概算不能满足工程实际需要的，项目业主原则上应当以书面形式提出调整方案及资金来源，报原初步设计及概算审批部门申请调整概算。</w:t>
      </w:r>
    </w:p>
    <w:p>
      <w:pPr>
        <w:spacing w:line="500" w:lineRule="exact"/>
        <w:ind w:firstLine="602" w:firstLineChars="200"/>
        <w:rPr>
          <w:rFonts w:hint="eastAsia" w:ascii="仿宋_GB2312" w:hAnsi="仿宋_GB2312" w:cs="仿宋_GB2312"/>
          <w:b/>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二十九</w:t>
      </w:r>
      <w:r>
        <w:rPr>
          <w:rFonts w:hint="eastAsia" w:ascii="仿宋_GB2312" w:hAnsi="仿宋_GB2312" w:cs="仿宋_GB2312"/>
          <w:b/>
          <w:sz w:val="30"/>
          <w:szCs w:val="30"/>
          <w:highlight w:val="none"/>
        </w:rPr>
        <w:t>条</w:t>
      </w:r>
      <w:r>
        <w:rPr>
          <w:rFonts w:hint="eastAsia" w:ascii="仿宋_GB2312" w:hAnsi="仿宋_GB2312" w:cs="仿宋_GB2312"/>
          <w:b/>
          <w:sz w:val="30"/>
          <w:szCs w:val="30"/>
          <w:highlight w:val="none"/>
          <w:lang w:val="en-US" w:eastAsia="zh-CN"/>
        </w:rPr>
        <w:t xml:space="preserve">  </w:t>
      </w:r>
      <w:r>
        <w:rPr>
          <w:rFonts w:hint="eastAsia" w:ascii="仿宋_GB2312" w:hAnsi="仿宋_GB2312" w:cs="仿宋_GB2312"/>
          <w:sz w:val="30"/>
          <w:szCs w:val="30"/>
          <w:highlight w:val="none"/>
        </w:rPr>
        <w:t>设计变更是指政府投资建设项目自签订实施合同之日起至竣工验收通过之日止，对符合行业规范要求或行业主管部门要求的施工图设计文件在实施阶段所发生的工程规模、建设内容、建设标准、重要材料及设备、技术标准、结构型式等的调整、修改和完善。</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政府投资建设项目必须严格按照符合行业规范要求或行业主管部门要求的施工图设计文件进行施工，不得随意要求设计单位变更设计方案、增加或减少建设内容、扩大或缩小建设规模、 提高或降低建设标准，凡未经批准的设计变更不得施工。项目业主应严格按照变更程序进行报批，凡未经批准擅自调整设计内容造成超概算的，一律由项目业主自担后果、自筹资金、自负责任</w:t>
      </w:r>
      <w:r>
        <w:rPr>
          <w:rFonts w:hint="eastAsia" w:ascii="仿宋_GB2312" w:hAnsi="仿宋_GB2312" w:cs="仿宋_GB2312"/>
          <w:sz w:val="30"/>
          <w:szCs w:val="30"/>
          <w:highlight w:val="none"/>
          <w:lang w:eastAsia="zh-CN"/>
        </w:rPr>
        <w:t>。</w:t>
      </w:r>
    </w:p>
    <w:p>
      <w:pPr>
        <w:spacing w:line="5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一）设计变更实行分级审批与备案制度</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1.设计变更后增加或累计增加预算造价</w:t>
      </w:r>
      <w:r>
        <w:rPr>
          <w:rFonts w:hint="eastAsia" w:ascii="仿宋_GB2312" w:hAnsi="仿宋_GB2312" w:cs="仿宋_GB2312"/>
          <w:sz w:val="30"/>
          <w:szCs w:val="30"/>
          <w:highlight w:val="none"/>
          <w:lang w:val="en-US" w:eastAsia="zh-CN"/>
        </w:rPr>
        <w:t>1000</w:t>
      </w:r>
      <w:r>
        <w:rPr>
          <w:rFonts w:hint="eastAsia" w:ascii="仿宋_GB2312" w:hAnsi="仿宋_GB2312" w:cs="仿宋_GB2312"/>
          <w:sz w:val="30"/>
          <w:szCs w:val="30"/>
          <w:highlight w:val="none"/>
        </w:rPr>
        <w:t>万元（含</w:t>
      </w:r>
      <w:r>
        <w:rPr>
          <w:rFonts w:hint="eastAsia" w:ascii="仿宋_GB2312" w:hAnsi="仿宋_GB2312" w:cs="仿宋_GB2312"/>
          <w:sz w:val="30"/>
          <w:szCs w:val="30"/>
          <w:highlight w:val="none"/>
          <w:lang w:val="en-US" w:eastAsia="zh-CN"/>
        </w:rPr>
        <w:t>1000</w:t>
      </w:r>
      <w:r>
        <w:rPr>
          <w:rFonts w:hint="eastAsia" w:ascii="仿宋_GB2312" w:hAnsi="仿宋_GB2312" w:cs="仿宋_GB2312"/>
          <w:sz w:val="30"/>
          <w:szCs w:val="30"/>
          <w:highlight w:val="none"/>
        </w:rPr>
        <w:t xml:space="preserve"> 万元）以上的，为一类设计变更，由项目业主单位报分管项目业主单位的副区长专题会议审定后，再经区政府常务会审定后报区委常委会审议批准；</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2.设计变更后增加或累计增加预算造价200万元（含200万元）～</w:t>
      </w:r>
      <w:r>
        <w:rPr>
          <w:rFonts w:hint="eastAsia" w:ascii="仿宋_GB2312" w:hAnsi="仿宋_GB2312" w:cs="仿宋_GB2312"/>
          <w:sz w:val="30"/>
          <w:szCs w:val="30"/>
          <w:highlight w:val="none"/>
          <w:lang w:val="en-US" w:eastAsia="zh-CN"/>
        </w:rPr>
        <w:t>1000</w:t>
      </w:r>
      <w:r>
        <w:rPr>
          <w:rFonts w:hint="eastAsia" w:ascii="仿宋_GB2312" w:hAnsi="仿宋_GB2312" w:cs="仿宋_GB2312"/>
          <w:sz w:val="30"/>
          <w:szCs w:val="30"/>
          <w:highlight w:val="none"/>
        </w:rPr>
        <w:t>万元，为二类设计变更，由项目业主单位报分管项目业主单位的副区长专题会议审定后，再报区政府常务会议审议批准</w:t>
      </w:r>
      <w:r>
        <w:rPr>
          <w:rFonts w:hint="eastAsia" w:ascii="仿宋_GB2312" w:hAnsi="仿宋_GB2312" w:cs="仿宋_GB2312"/>
          <w:sz w:val="30"/>
          <w:szCs w:val="30"/>
          <w:highlight w:val="none"/>
          <w:lang w:eastAsia="zh-CN"/>
        </w:rPr>
        <w:t>；</w:t>
      </w:r>
    </w:p>
    <w:p>
      <w:pPr>
        <w:spacing w:line="500" w:lineRule="exact"/>
        <w:ind w:firstLine="640" w:firstLineChars="200"/>
        <w:rPr>
          <w:rFonts w:hint="eastAsia" w:ascii="仿宋_GB2312" w:hAnsi="仿宋_GB2312" w:cs="仿宋_GB2312"/>
          <w:sz w:val="30"/>
          <w:szCs w:val="30"/>
          <w:highlight w:val="none"/>
          <w:lang w:val="en-US" w:eastAsia="zh-CN"/>
        </w:rPr>
      </w:pPr>
      <w:r>
        <w:rPr>
          <w:rFonts w:hint="eastAsia" w:ascii="楷体_GB2312" w:hAnsi="楷体_GB2312" w:eastAsia="楷体_GB2312" w:cs="楷体_GB2312"/>
          <w:sz w:val="32"/>
          <w:szCs w:val="32"/>
          <w:highlight w:val="none"/>
          <w:lang w:val="en-US" w:eastAsia="zh-CN"/>
        </w:rPr>
        <w:t>3.</w:t>
      </w:r>
      <w:r>
        <w:rPr>
          <w:rFonts w:hint="eastAsia" w:ascii="仿宋_GB2312" w:hAnsi="仿宋_GB2312" w:cs="仿宋_GB2312"/>
          <w:sz w:val="30"/>
          <w:szCs w:val="30"/>
          <w:highlight w:val="none"/>
          <w:lang w:val="en-US" w:eastAsia="zh-CN"/>
        </w:rPr>
        <w:t>设计变更后增加或累计增加预算造价在50万元（含50万）～200万元（不含200万元）区间的，为三类设计变更，由项目业主单位报分管项目业主单位的副区长专题会议审议批准；</w:t>
      </w:r>
    </w:p>
    <w:p>
      <w:pPr>
        <w:spacing w:line="500" w:lineRule="exact"/>
        <w:ind w:firstLine="640" w:firstLineChars="200"/>
        <w:rPr>
          <w:rFonts w:hint="eastAsia" w:ascii="仿宋_GB2312" w:hAnsi="仿宋_GB2312" w:cs="仿宋_GB2312"/>
          <w:sz w:val="30"/>
          <w:szCs w:val="30"/>
          <w:highlight w:val="none"/>
          <w:lang w:val="en-US" w:eastAsia="zh-CN"/>
        </w:rPr>
      </w:pPr>
      <w:r>
        <w:rPr>
          <w:rFonts w:hint="eastAsia" w:ascii="楷体_GB2312" w:hAnsi="楷体_GB2312" w:eastAsia="楷体_GB2312" w:cs="楷体_GB2312"/>
          <w:sz w:val="32"/>
          <w:szCs w:val="32"/>
          <w:highlight w:val="none"/>
          <w:lang w:val="en-US" w:eastAsia="zh-CN"/>
        </w:rPr>
        <w:t>4.</w:t>
      </w:r>
      <w:r>
        <w:rPr>
          <w:rFonts w:hint="eastAsia" w:ascii="仿宋_GB2312" w:hAnsi="仿宋_GB2312" w:cs="仿宋_GB2312"/>
          <w:sz w:val="30"/>
          <w:szCs w:val="30"/>
          <w:highlight w:val="none"/>
          <w:lang w:val="en-US" w:eastAsia="zh-CN"/>
        </w:rPr>
        <w:t>设计变更后增加或累计增加预算造价小于50万元，或减少投资且不改变项目建设内容、规模、标准及质量的，为四类设计变更，由项目业主自行审查后报区项目投资主管部门备案。</w:t>
      </w:r>
    </w:p>
    <w:p>
      <w:pPr>
        <w:spacing w:line="500" w:lineRule="exact"/>
        <w:ind w:firstLine="640" w:firstLineChars="200"/>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（二）工程签证实行现场见证制度</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工程签证是指发承包双方施工过程中出现与合同规定的情况、条件不符时，就施工图纸、设计变更所确定的工程内容以外，施工图预算中未包含，而施工过程中确须发生费用的施工内容涉及的责任事件所办理的签认证明。</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因特殊情况不属施工单位原因需办理工程签证的，项目业主须组织区投资主管部门等单位参与共同见证，工程签证需保留现场影像资料。</w:t>
      </w:r>
    </w:p>
    <w:p>
      <w:pPr>
        <w:spacing w:line="500" w:lineRule="exact"/>
        <w:ind w:firstLine="602" w:firstLineChars="200"/>
        <w:rPr>
          <w:rFonts w:hint="eastAsia" w:ascii="仿宋_GB2312" w:hAnsi="仿宋_GB2312" w:cs="仿宋_GB2312"/>
          <w:b/>
          <w:sz w:val="30"/>
          <w:szCs w:val="30"/>
          <w:highlight w:val="none"/>
        </w:rPr>
      </w:pPr>
      <w:r>
        <w:rPr>
          <w:rFonts w:hint="eastAsia" w:ascii="仿宋_GB2312" w:hAnsi="仿宋_GB2312" w:cs="仿宋_GB2312"/>
          <w:b/>
          <w:sz w:val="30"/>
          <w:szCs w:val="30"/>
          <w:highlight w:val="none"/>
        </w:rPr>
        <w:t>第三十条</w:t>
      </w:r>
      <w:r>
        <w:rPr>
          <w:rFonts w:hint="eastAsia" w:ascii="仿宋_GB2312" w:hAnsi="仿宋_GB2312" w:cs="仿宋_GB2312"/>
          <w:b/>
          <w:sz w:val="30"/>
          <w:szCs w:val="30"/>
          <w:highlight w:val="none"/>
          <w:lang w:val="en-US" w:eastAsia="zh-CN"/>
        </w:rPr>
        <w:t xml:space="preserve">  </w:t>
      </w:r>
      <w:bookmarkStart w:id="1" w:name="_GoBack"/>
      <w:r>
        <w:rPr>
          <w:rFonts w:hint="eastAsia" w:ascii="仿宋_GB2312" w:hAnsi="仿宋_GB2312" w:cs="仿宋_GB2312"/>
          <w:sz w:val="30"/>
          <w:szCs w:val="30"/>
          <w:highlight w:val="none"/>
        </w:rPr>
        <w:t>单纯工程甩项不纳入设计变更程序管理。确需进行工程甩项的项目，由设计、施工、监理、代建（代理或代管）、业主单位集体研究同意，</w:t>
      </w:r>
      <w:r>
        <w:rPr>
          <w:rFonts w:hint="eastAsia" w:ascii="仿宋_GB2312" w:hAnsi="仿宋_GB2312" w:cs="仿宋_GB2312"/>
          <w:sz w:val="30"/>
          <w:szCs w:val="30"/>
          <w:highlight w:val="none"/>
          <w:lang w:eastAsia="zh-CN"/>
        </w:rPr>
        <w:t>结合实际情况，经单位内部会议同意通过</w:t>
      </w:r>
      <w:r>
        <w:rPr>
          <w:rFonts w:hint="default" w:ascii="仿宋_GB2312" w:hAnsi="仿宋_GB2312" w:cs="仿宋_GB2312"/>
          <w:sz w:val="30"/>
          <w:szCs w:val="30"/>
          <w:highlight w:val="none"/>
          <w:lang w:eastAsia="zh-CN"/>
        </w:rPr>
        <w:t>，</w:t>
      </w:r>
      <w:r>
        <w:rPr>
          <w:rFonts w:hint="eastAsia" w:ascii="仿宋_GB2312" w:hAnsi="仿宋_GB2312" w:cs="仿宋_GB2312"/>
          <w:sz w:val="30"/>
          <w:szCs w:val="30"/>
          <w:highlight w:val="none"/>
          <w:lang w:eastAsia="zh-CN"/>
        </w:rPr>
        <w:t>或</w:t>
      </w:r>
      <w:r>
        <w:rPr>
          <w:rFonts w:hint="eastAsia" w:ascii="仿宋_GB2312" w:hAnsi="仿宋_GB2312" w:cs="仿宋_GB2312"/>
          <w:sz w:val="30"/>
          <w:szCs w:val="30"/>
          <w:highlight w:val="none"/>
        </w:rPr>
        <w:t>报</w:t>
      </w:r>
      <w:r>
        <w:rPr>
          <w:rFonts w:hint="eastAsia" w:ascii="仿宋_GB2312" w:hAnsi="仿宋_GB2312" w:cs="仿宋_GB2312"/>
          <w:sz w:val="30"/>
          <w:szCs w:val="30"/>
          <w:highlight w:val="none"/>
          <w:lang w:eastAsia="zh-CN"/>
        </w:rPr>
        <w:t>请</w:t>
      </w:r>
      <w:r>
        <w:rPr>
          <w:rFonts w:hint="eastAsia" w:ascii="仿宋_GB2312" w:hAnsi="仿宋_GB2312" w:cs="仿宋_GB2312"/>
          <w:sz w:val="30"/>
          <w:szCs w:val="30"/>
          <w:highlight w:val="none"/>
        </w:rPr>
        <w:t>项目业主单位分管区领导审议</w:t>
      </w:r>
      <w:r>
        <w:rPr>
          <w:rFonts w:hint="default" w:ascii="仿宋_GB2312" w:hAnsi="仿宋_GB2312" w:cs="仿宋_GB2312"/>
          <w:sz w:val="30"/>
          <w:szCs w:val="30"/>
          <w:highlight w:val="none"/>
        </w:rPr>
        <w:t>，或</w:t>
      </w:r>
      <w:r>
        <w:rPr>
          <w:rFonts w:hint="eastAsia" w:ascii="仿宋_GB2312" w:hAnsi="仿宋_GB2312" w:cs="仿宋_GB2312"/>
          <w:sz w:val="30"/>
          <w:szCs w:val="30"/>
          <w:highlight w:val="none"/>
          <w:lang w:val="en-US" w:eastAsia="zh-CN"/>
        </w:rPr>
        <w:t>提交</w:t>
      </w:r>
      <w:r>
        <w:rPr>
          <w:rFonts w:hint="eastAsia" w:ascii="仿宋_GB2312" w:hAnsi="仿宋_GB2312" w:cs="仿宋_GB2312"/>
          <w:sz w:val="30"/>
          <w:szCs w:val="30"/>
          <w:highlight w:val="none"/>
        </w:rPr>
        <w:t>区政府常务会议审议同意后方可实施，待除甩项内容外的其他建设内容完成后，可申请竣工验收并按现状进行结算</w:t>
      </w:r>
      <w:r>
        <w:rPr>
          <w:rFonts w:hint="eastAsia" w:ascii="仿宋_GB2312" w:hAnsi="仿宋_GB2312" w:cs="仿宋_GB2312"/>
          <w:sz w:val="30"/>
          <w:szCs w:val="30"/>
          <w:highlight w:val="none"/>
          <w:lang w:eastAsia="zh-CN"/>
        </w:rPr>
        <w:t>。</w:t>
      </w:r>
    </w:p>
    <w:bookmarkEnd w:id="1"/>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第三十</w:t>
      </w:r>
      <w:r>
        <w:rPr>
          <w:rFonts w:hint="eastAsia" w:ascii="仿宋_GB2312" w:hAnsi="仿宋_GB2312" w:cs="仿宋_GB2312"/>
          <w:b/>
          <w:sz w:val="30"/>
          <w:szCs w:val="30"/>
          <w:highlight w:val="none"/>
          <w:lang w:eastAsia="zh-CN"/>
        </w:rPr>
        <w:t>一</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项目建成后，属于联合验收的项目，按《三亚市房屋建筑和市政基础设施工程竣工联合验收管理实施办法》开展联合验收工作。无需联合验收的项目，由业主自行组织各参建单位开展验收工作，必要时可邀请行业主管部门参加。涉及特殊工程和交通、水利、能源等领域工程项目，按行业相关规定开展验收工作。未经办理竣工验收的政府投资项目，区财政部门不得拨付结算款，项目业主不得办理项目竣工决算手续。</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第三十</w:t>
      </w:r>
      <w:r>
        <w:rPr>
          <w:rFonts w:hint="eastAsia" w:ascii="仿宋_GB2312" w:hAnsi="仿宋_GB2312" w:cs="仿宋_GB2312"/>
          <w:b/>
          <w:sz w:val="30"/>
          <w:szCs w:val="30"/>
          <w:highlight w:val="none"/>
          <w:lang w:eastAsia="zh-CN"/>
        </w:rPr>
        <w:t>二</w:t>
      </w:r>
      <w:r>
        <w:rPr>
          <w:rFonts w:hint="eastAsia" w:ascii="仿宋_GB2312" w:hAnsi="仿宋_GB2312" w:cs="仿宋_GB2312"/>
          <w:b/>
          <w:sz w:val="30"/>
          <w:szCs w:val="30"/>
          <w:highlight w:val="none"/>
        </w:rPr>
        <w:t>条</w:t>
      </w:r>
      <w:r>
        <w:rPr>
          <w:rFonts w:hint="eastAsia" w:ascii="仿宋_GB2312" w:hAnsi="仿宋_GB2312" w:cs="仿宋_GB2312"/>
          <w:b/>
          <w:sz w:val="30"/>
          <w:szCs w:val="30"/>
          <w:highlight w:val="none"/>
          <w:lang w:val="en-US" w:eastAsia="zh-CN"/>
        </w:rPr>
        <w:t xml:space="preserve">  </w:t>
      </w:r>
      <w:r>
        <w:rPr>
          <w:rFonts w:hint="eastAsia" w:ascii="仿宋_GB2312" w:hAnsi="仿宋_GB2312" w:cs="仿宋_GB2312"/>
          <w:sz w:val="30"/>
          <w:szCs w:val="30"/>
          <w:highlight w:val="none"/>
        </w:rPr>
        <w:t>项目业主单位必须充分发挥内部审计作用。 在项目竣工验收合格后按照国家和本省、市、区有关规定开展内部审计和编制竣工财务决算。内部审计结果报区审计部门备查。竣工财务决算报区财政部门备案</w:t>
      </w:r>
      <w:r>
        <w:rPr>
          <w:rFonts w:hint="eastAsia" w:ascii="仿宋_GB2312" w:hAnsi="仿宋_GB2312" w:cs="仿宋_GB2312"/>
          <w:sz w:val="30"/>
          <w:szCs w:val="30"/>
          <w:highlight w:val="none"/>
          <w:lang w:eastAsia="zh-CN"/>
        </w:rPr>
        <w:t>。</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第三十</w:t>
      </w:r>
      <w:r>
        <w:rPr>
          <w:rFonts w:hint="eastAsia" w:ascii="仿宋_GB2312" w:hAnsi="仿宋_GB2312" w:cs="仿宋_GB2312"/>
          <w:b/>
          <w:sz w:val="30"/>
          <w:szCs w:val="30"/>
          <w:highlight w:val="none"/>
          <w:lang w:eastAsia="zh-CN"/>
        </w:rPr>
        <w:t>三</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政府投资项目必须办理产权登记。</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建设单位应于竣工决算审计后30日内办理产权登记手续。</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第三十</w:t>
      </w:r>
      <w:r>
        <w:rPr>
          <w:rFonts w:hint="eastAsia" w:ascii="仿宋_GB2312" w:hAnsi="仿宋_GB2312" w:cs="仿宋_GB2312"/>
          <w:b/>
          <w:sz w:val="30"/>
          <w:szCs w:val="30"/>
          <w:highlight w:val="none"/>
          <w:lang w:eastAsia="zh-CN"/>
        </w:rPr>
        <w:t>四</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产权登记后30日内，建设单位及时与使用单位办理资产移交手续。</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第三十</w:t>
      </w:r>
      <w:r>
        <w:rPr>
          <w:rFonts w:hint="eastAsia" w:ascii="仿宋_GB2312" w:hAnsi="仿宋_GB2312" w:cs="仿宋_GB2312"/>
          <w:b/>
          <w:sz w:val="30"/>
          <w:szCs w:val="30"/>
          <w:highlight w:val="none"/>
          <w:lang w:eastAsia="zh-CN"/>
        </w:rPr>
        <w:t>五</w:t>
      </w:r>
      <w:r>
        <w:rPr>
          <w:rFonts w:hint="eastAsia" w:ascii="仿宋_GB2312" w:hAnsi="仿宋_GB2312" w:cs="仿宋_GB2312"/>
          <w:b/>
          <w:sz w:val="30"/>
          <w:szCs w:val="30"/>
          <w:highlight w:val="none"/>
        </w:rPr>
        <w:t>条</w:t>
      </w:r>
      <w:r>
        <w:rPr>
          <w:rFonts w:hint="eastAsia" w:ascii="仿宋_GB2312" w:hAnsi="仿宋_GB2312" w:cs="仿宋_GB2312"/>
          <w:b/>
          <w:sz w:val="30"/>
          <w:szCs w:val="30"/>
          <w:highlight w:val="none"/>
          <w:lang w:val="en-US" w:eastAsia="zh-CN"/>
        </w:rPr>
        <w:t xml:space="preserve">  </w:t>
      </w:r>
      <w:r>
        <w:rPr>
          <w:rFonts w:hint="eastAsia" w:ascii="仿宋_GB2312" w:hAnsi="仿宋_GB2312" w:cs="仿宋_GB2312"/>
          <w:sz w:val="30"/>
          <w:szCs w:val="30"/>
          <w:highlight w:val="none"/>
          <w:lang w:val="en-US" w:eastAsia="zh-CN"/>
        </w:rPr>
        <w:t>项目业主应当按照有关规定加强政府投资项目档案管理， 将项目审批和实施过程中与工程建设有关的服务、 货物招投标采购信息及相关凭证、签证等文件、资料档案存档备查。</w:t>
      </w:r>
    </w:p>
    <w:p>
      <w:pPr>
        <w:spacing w:line="500" w:lineRule="exact"/>
        <w:ind w:firstLine="600" w:firstLineChars="200"/>
        <w:rPr>
          <w:rFonts w:hint="eastAsia" w:ascii="仿宋_GB2312" w:hAnsi="仿宋_GB2312" w:cs="仿宋_GB2312"/>
          <w:sz w:val="30"/>
          <w:szCs w:val="30"/>
          <w:highlight w:val="none"/>
        </w:rPr>
      </w:pPr>
    </w:p>
    <w:p>
      <w:pPr>
        <w:pStyle w:val="12"/>
        <w:rPr>
          <w:rFonts w:hint="eastAsia"/>
          <w:highlight w:val="none"/>
        </w:rPr>
      </w:pPr>
      <w:r>
        <w:rPr>
          <w:rFonts w:hint="eastAsia"/>
          <w:highlight w:val="none"/>
        </w:rPr>
        <w:t>第</w:t>
      </w:r>
      <w:r>
        <w:rPr>
          <w:rFonts w:hint="eastAsia"/>
          <w:highlight w:val="none"/>
          <w:lang w:eastAsia="zh-CN"/>
        </w:rPr>
        <w:t>五</w:t>
      </w:r>
      <w:r>
        <w:rPr>
          <w:rFonts w:hint="eastAsia"/>
          <w:highlight w:val="none"/>
        </w:rPr>
        <w:t>章  法律责任</w:t>
      </w:r>
    </w:p>
    <w:p>
      <w:pPr>
        <w:spacing w:line="500" w:lineRule="exact"/>
        <w:ind w:firstLine="600" w:firstLineChars="200"/>
        <w:rPr>
          <w:rFonts w:hint="eastAsia" w:ascii="仿宋_GB2312" w:hAnsi="仿宋_GB2312" w:cs="仿宋_GB2312"/>
          <w:sz w:val="30"/>
          <w:szCs w:val="30"/>
          <w:highlight w:val="none"/>
        </w:rPr>
      </w:pP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第三十</w:t>
      </w:r>
      <w:r>
        <w:rPr>
          <w:rFonts w:hint="eastAsia" w:ascii="仿宋_GB2312" w:hAnsi="仿宋_GB2312" w:cs="仿宋_GB2312"/>
          <w:b/>
          <w:sz w:val="30"/>
          <w:szCs w:val="30"/>
          <w:highlight w:val="none"/>
          <w:lang w:eastAsia="zh-CN"/>
        </w:rPr>
        <w:t>六</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建设单位有下列行为之一的，责任限期整改，并依法追究建设单位负责</w:t>
      </w:r>
      <w:r>
        <w:rPr>
          <w:rFonts w:hint="eastAsia" w:ascii="仿宋_GB2312" w:hAnsi="仿宋_GB2312" w:cs="仿宋_GB2312"/>
          <w:sz w:val="30"/>
          <w:szCs w:val="30"/>
          <w:highlight w:val="none"/>
          <w:lang w:eastAsia="zh-CN"/>
        </w:rPr>
        <w:t>人</w:t>
      </w:r>
      <w:r>
        <w:rPr>
          <w:rFonts w:hint="eastAsia" w:ascii="仿宋_GB2312" w:hAnsi="仿宋_GB2312" w:cs="仿宋_GB2312"/>
          <w:sz w:val="30"/>
          <w:szCs w:val="30"/>
          <w:highlight w:val="none"/>
        </w:rPr>
        <w:t>和直接责任人的行政责任；构成犯罪的，依法追究其刑事责任：</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 xml:space="preserve">（一）未按规定履行有关程序擅自开工的； </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（二）未经批准擅自提高或降低建设标准，改变建设内容，扩大或缩小投资规模的；</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（三）未依法组织招标的；</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（四）转移、侵占或者挪用建设资金的；</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（五）未经竣工验收或验收不合格交付使用的；</w:t>
      </w:r>
    </w:p>
    <w:p>
      <w:pPr>
        <w:spacing w:line="500" w:lineRule="exact"/>
        <w:ind w:firstLine="600" w:firstLineChars="200"/>
        <w:rPr>
          <w:rFonts w:hint="eastAsia" w:ascii="仿宋_GB2312" w:hAnsi="仿宋_GB2312" w:cs="仿宋_GB2312"/>
          <w:sz w:val="30"/>
          <w:szCs w:val="30"/>
          <w:highlight w:val="none"/>
        </w:rPr>
      </w:pPr>
      <w:r>
        <w:rPr>
          <w:rFonts w:hint="eastAsia" w:ascii="仿宋_GB2312" w:hAnsi="仿宋_GB2312" w:cs="仿宋_GB2312"/>
          <w:sz w:val="30"/>
          <w:szCs w:val="30"/>
          <w:highlight w:val="none"/>
        </w:rPr>
        <w:t>（六）其他严重违反本规定和其他法律、法规规定的行为。</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第三十</w:t>
      </w:r>
      <w:r>
        <w:rPr>
          <w:rFonts w:hint="eastAsia" w:ascii="仿宋_GB2312" w:hAnsi="仿宋_GB2312" w:cs="仿宋_GB2312"/>
          <w:b/>
          <w:sz w:val="30"/>
          <w:szCs w:val="30"/>
          <w:highlight w:val="none"/>
          <w:lang w:eastAsia="zh-CN"/>
        </w:rPr>
        <w:t>七</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咨询机构在对政府投资项目进行咨询评估时弄虚作假或者评估结论意见严重失实的，根据其情节轻重，给予通报批评；造成损失的，依法承担赔偿责任；构成犯罪的，依法追究刑事责任。</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三十八</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勘察、设计、监理、咨询、质监、安监、施工、建设单位违反有关法律、法规造成投资损失的，依法承担赔偿责任。 </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三十九</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政府有关部门有违反基本建设审批程序、干预招标投标活动、违规拨付建设资金和其他严重违反本办法和其他有关法律、法规的行为，责令限期纠正，并依法追究其部门主要负责人和直接责任人员的行政责任；构成犯罪的，依法追究刑事责任。 </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w:t>
      </w:r>
      <w:r>
        <w:rPr>
          <w:rFonts w:hint="eastAsia" w:ascii="仿宋_GB2312" w:hAnsi="仿宋_GB2312" w:cs="仿宋_GB2312"/>
          <w:b/>
          <w:sz w:val="30"/>
          <w:szCs w:val="30"/>
          <w:highlight w:val="none"/>
          <w:lang w:eastAsia="zh-CN"/>
        </w:rPr>
        <w:t>四十</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政府投资项目发生重大质量事故的，除依法追究建设单位和勘察、设计、施工、监理单位及其法定代表人和直接责任人的法律责任外，并依法追究有关行政领导人在项目审批、执行基本建设程序和工程建设监督管理方面的行政责任；构成犯罪的，依法追究刑事责任。 </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第四十</w:t>
      </w:r>
      <w:r>
        <w:rPr>
          <w:rFonts w:hint="eastAsia" w:ascii="仿宋_GB2312" w:hAnsi="仿宋_GB2312" w:cs="仿宋_GB2312"/>
          <w:b/>
          <w:sz w:val="30"/>
          <w:szCs w:val="30"/>
          <w:highlight w:val="none"/>
          <w:lang w:eastAsia="zh-CN"/>
        </w:rPr>
        <w:t>一</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国家机关及有关单位的工作人员在政府投资项目建设过程中滥用职权、玩忽职守、徇私舞弊、索贿受贿的，没收非法所得，依法追究其行政责任;构成犯罪的，依法追究刑事责任。 </w:t>
      </w:r>
    </w:p>
    <w:p>
      <w:pPr>
        <w:spacing w:line="500" w:lineRule="exact"/>
        <w:ind w:firstLine="600" w:firstLineChars="200"/>
        <w:rPr>
          <w:rFonts w:hint="eastAsia" w:ascii="仿宋_GB2312" w:hAnsi="仿宋_GB2312" w:cs="仿宋_GB2312"/>
          <w:sz w:val="30"/>
          <w:szCs w:val="30"/>
          <w:highlight w:val="none"/>
        </w:rPr>
      </w:pPr>
    </w:p>
    <w:p>
      <w:pPr>
        <w:pStyle w:val="12"/>
        <w:rPr>
          <w:rFonts w:hint="eastAsia"/>
          <w:highlight w:val="none"/>
        </w:rPr>
      </w:pPr>
      <w:r>
        <w:rPr>
          <w:rFonts w:hint="eastAsia"/>
          <w:highlight w:val="none"/>
        </w:rPr>
        <w:t>第</w:t>
      </w:r>
      <w:r>
        <w:rPr>
          <w:rFonts w:hint="eastAsia"/>
          <w:highlight w:val="none"/>
          <w:lang w:eastAsia="zh-CN"/>
        </w:rPr>
        <w:t>六</w:t>
      </w:r>
      <w:r>
        <w:rPr>
          <w:rFonts w:hint="eastAsia"/>
          <w:highlight w:val="none"/>
        </w:rPr>
        <w:t>章  附  则</w:t>
      </w:r>
    </w:p>
    <w:p>
      <w:pPr>
        <w:spacing w:line="500" w:lineRule="exact"/>
        <w:ind w:firstLine="600" w:firstLineChars="200"/>
        <w:rPr>
          <w:rFonts w:hint="eastAsia" w:ascii="仿宋_GB2312" w:hAnsi="仿宋_GB2312" w:cs="仿宋_GB2312"/>
          <w:sz w:val="30"/>
          <w:szCs w:val="30"/>
          <w:highlight w:val="none"/>
        </w:rPr>
      </w:pP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第四十</w:t>
      </w:r>
      <w:r>
        <w:rPr>
          <w:rFonts w:hint="eastAsia" w:ascii="仿宋_GB2312" w:hAnsi="仿宋_GB2312" w:cs="仿宋_GB2312"/>
          <w:b/>
          <w:sz w:val="30"/>
          <w:szCs w:val="30"/>
          <w:highlight w:val="none"/>
          <w:lang w:eastAsia="zh-CN"/>
        </w:rPr>
        <w:t>二</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w:t>
      </w:r>
      <w:r>
        <w:rPr>
          <w:rFonts w:hint="eastAsia" w:ascii="仿宋_GB2312" w:hAnsi="仿宋_GB2312" w:cs="仿宋_GB2312"/>
          <w:sz w:val="30"/>
          <w:szCs w:val="30"/>
          <w:highlight w:val="none"/>
          <w:lang w:val="en-US" w:eastAsia="zh-CN"/>
        </w:rPr>
        <w:t>3000万以上</w:t>
      </w:r>
      <w:r>
        <w:rPr>
          <w:rFonts w:hint="default" w:ascii="仿宋_GB2312" w:hAnsi="仿宋_GB2312" w:cs="仿宋_GB2312"/>
          <w:sz w:val="30"/>
          <w:szCs w:val="30"/>
          <w:highlight w:val="none"/>
          <w:lang w:eastAsia="zh-CN"/>
        </w:rPr>
        <w:t>政府投资项目</w:t>
      </w:r>
      <w:r>
        <w:rPr>
          <w:rFonts w:hint="eastAsia" w:ascii="仿宋_GB2312" w:hAnsi="仿宋_GB2312" w:cs="仿宋_GB2312"/>
          <w:sz w:val="30"/>
          <w:szCs w:val="30"/>
          <w:highlight w:val="none"/>
          <w:lang w:val="en-US" w:eastAsia="zh-CN"/>
        </w:rPr>
        <w:t>依照审批部门文件执行。</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第四十</w:t>
      </w:r>
      <w:r>
        <w:rPr>
          <w:rFonts w:hint="eastAsia" w:ascii="仿宋_GB2312" w:hAnsi="仿宋_GB2312" w:cs="仿宋_GB2312"/>
          <w:b/>
          <w:sz w:val="30"/>
          <w:szCs w:val="30"/>
          <w:highlight w:val="none"/>
          <w:lang w:eastAsia="zh-CN"/>
        </w:rPr>
        <w:t>三</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lang w:val="en-US" w:eastAsia="zh-CN"/>
        </w:rPr>
        <w:t xml:space="preserve">  </w:t>
      </w:r>
      <w:r>
        <w:rPr>
          <w:rFonts w:hint="eastAsia" w:ascii="仿宋_GB2312" w:hAnsi="仿宋_GB2312" w:cs="仿宋_GB2312"/>
          <w:sz w:val="30"/>
          <w:szCs w:val="30"/>
          <w:highlight w:val="none"/>
        </w:rPr>
        <w:t>本办法由</w:t>
      </w:r>
      <w:r>
        <w:rPr>
          <w:rFonts w:hint="eastAsia" w:ascii="仿宋_GB2312" w:hAnsi="仿宋_GB2312" w:cs="仿宋_GB2312"/>
          <w:sz w:val="30"/>
          <w:szCs w:val="30"/>
          <w:highlight w:val="none"/>
          <w:lang w:eastAsia="zh-CN"/>
        </w:rPr>
        <w:t>区</w:t>
      </w:r>
      <w:r>
        <w:rPr>
          <w:rFonts w:hint="eastAsia" w:ascii="仿宋_GB2312" w:hAnsi="仿宋_GB2312" w:cs="仿宋_GB2312"/>
          <w:sz w:val="30"/>
          <w:szCs w:val="30"/>
          <w:highlight w:val="none"/>
        </w:rPr>
        <w:t>发展和改革委负责解释。本办法未规定的其他事项，按照法律法规规章和上级相关文件执行</w:t>
      </w:r>
      <w:r>
        <w:rPr>
          <w:rFonts w:hint="eastAsia" w:ascii="仿宋_GB2312" w:hAnsi="仿宋_GB2312" w:cs="仿宋_GB2312"/>
          <w:sz w:val="30"/>
          <w:szCs w:val="30"/>
          <w:highlight w:val="none"/>
          <w:lang w:eastAsia="zh-CN"/>
        </w:rPr>
        <w:t>。</w:t>
      </w:r>
    </w:p>
    <w:p>
      <w:pPr>
        <w:spacing w:line="500" w:lineRule="exact"/>
        <w:ind w:firstLine="602" w:firstLineChars="200"/>
        <w:rPr>
          <w:rFonts w:hint="eastAsia" w:ascii="仿宋_GB2312" w:hAnsi="仿宋_GB2312" w:cs="仿宋_GB2312"/>
          <w:sz w:val="30"/>
          <w:szCs w:val="30"/>
          <w:highlight w:val="none"/>
        </w:rPr>
      </w:pPr>
      <w:r>
        <w:rPr>
          <w:rFonts w:hint="eastAsia" w:ascii="仿宋_GB2312" w:hAnsi="仿宋_GB2312" w:cs="仿宋_GB2312"/>
          <w:b/>
          <w:sz w:val="30"/>
          <w:szCs w:val="30"/>
          <w:highlight w:val="none"/>
        </w:rPr>
        <w:t>第四十</w:t>
      </w:r>
      <w:r>
        <w:rPr>
          <w:rFonts w:hint="eastAsia" w:ascii="仿宋_GB2312" w:hAnsi="仿宋_GB2312" w:cs="仿宋_GB2312"/>
          <w:b/>
          <w:sz w:val="30"/>
          <w:szCs w:val="30"/>
          <w:highlight w:val="none"/>
          <w:lang w:eastAsia="zh-CN"/>
        </w:rPr>
        <w:t>四</w:t>
      </w:r>
      <w:r>
        <w:rPr>
          <w:rFonts w:hint="eastAsia" w:ascii="仿宋_GB2312" w:hAnsi="仿宋_GB2312" w:cs="仿宋_GB2312"/>
          <w:b/>
          <w:sz w:val="30"/>
          <w:szCs w:val="30"/>
          <w:highlight w:val="none"/>
        </w:rPr>
        <w:t>条</w:t>
      </w:r>
      <w:r>
        <w:rPr>
          <w:rFonts w:hint="eastAsia" w:ascii="仿宋_GB2312" w:hAnsi="仿宋_GB2312" w:cs="仿宋_GB2312"/>
          <w:sz w:val="30"/>
          <w:szCs w:val="30"/>
          <w:highlight w:val="none"/>
        </w:rPr>
        <w:t xml:space="preserve">  本规定自颁布之日起施行。原20</w:t>
      </w:r>
      <w:r>
        <w:rPr>
          <w:rFonts w:hint="eastAsia" w:ascii="仿宋_GB2312" w:hAnsi="仿宋_GB2312" w:cs="仿宋_GB2312"/>
          <w:sz w:val="30"/>
          <w:szCs w:val="30"/>
          <w:highlight w:val="none"/>
          <w:lang w:val="en-US" w:eastAsia="zh-CN"/>
        </w:rPr>
        <w:t>17</w:t>
      </w:r>
      <w:r>
        <w:rPr>
          <w:rFonts w:hint="eastAsia" w:ascii="仿宋_GB2312" w:hAnsi="仿宋_GB2312" w:cs="仿宋_GB2312"/>
          <w:sz w:val="30"/>
          <w:szCs w:val="30"/>
          <w:highlight w:val="none"/>
        </w:rPr>
        <w:t>年9月</w:t>
      </w:r>
      <w:r>
        <w:rPr>
          <w:rFonts w:hint="eastAsia" w:ascii="仿宋_GB2312" w:hAnsi="仿宋_GB2312" w:cs="仿宋_GB2312"/>
          <w:sz w:val="30"/>
          <w:szCs w:val="30"/>
          <w:highlight w:val="none"/>
          <w:lang w:val="en-US" w:eastAsia="zh-CN"/>
        </w:rPr>
        <w:t>27</w:t>
      </w:r>
      <w:r>
        <w:rPr>
          <w:rFonts w:hint="eastAsia" w:ascii="仿宋_GB2312" w:hAnsi="仿宋_GB2312" w:cs="仿宋_GB2312"/>
          <w:sz w:val="30"/>
          <w:szCs w:val="30"/>
          <w:highlight w:val="none"/>
        </w:rPr>
        <w:t>日印发的《三亚市</w:t>
      </w:r>
      <w:r>
        <w:rPr>
          <w:rFonts w:hint="eastAsia" w:ascii="仿宋_GB2312" w:hAnsi="仿宋_GB2312" w:cs="仿宋_GB2312"/>
          <w:sz w:val="30"/>
          <w:szCs w:val="30"/>
          <w:highlight w:val="none"/>
          <w:lang w:eastAsia="zh-CN"/>
        </w:rPr>
        <w:t>海棠区</w:t>
      </w:r>
      <w:r>
        <w:rPr>
          <w:rFonts w:hint="eastAsia" w:ascii="仿宋_GB2312" w:hAnsi="仿宋_GB2312" w:cs="仿宋_GB2312"/>
          <w:sz w:val="30"/>
          <w:szCs w:val="30"/>
          <w:highlight w:val="none"/>
        </w:rPr>
        <w:t>政府投资项目暂行管理规定》(</w:t>
      </w:r>
      <w:r>
        <w:rPr>
          <w:rFonts w:hint="eastAsia" w:ascii="仿宋_GB2312" w:hAnsi="仿宋_GB2312" w:cs="仿宋_GB2312"/>
          <w:sz w:val="30"/>
          <w:szCs w:val="30"/>
          <w:highlight w:val="none"/>
          <w:lang w:eastAsia="zh-CN"/>
        </w:rPr>
        <w:t>海棠</w:t>
      </w:r>
      <w:r>
        <w:rPr>
          <w:rFonts w:hint="eastAsia" w:ascii="仿宋_GB2312" w:hAnsi="仿宋_GB2312" w:cs="仿宋_GB2312"/>
          <w:sz w:val="30"/>
          <w:szCs w:val="30"/>
          <w:highlight w:val="none"/>
        </w:rPr>
        <w:t>府〔20</w:t>
      </w:r>
      <w:r>
        <w:rPr>
          <w:rFonts w:hint="eastAsia" w:ascii="仿宋_GB2312" w:hAnsi="仿宋_GB2312" w:cs="仿宋_GB2312"/>
          <w:sz w:val="30"/>
          <w:szCs w:val="30"/>
          <w:highlight w:val="none"/>
          <w:lang w:val="en-US" w:eastAsia="zh-CN"/>
        </w:rPr>
        <w:t>17</w:t>
      </w:r>
      <w:r>
        <w:rPr>
          <w:rFonts w:hint="eastAsia" w:ascii="仿宋_GB2312" w:hAnsi="仿宋_GB2312" w:cs="仿宋_GB2312"/>
          <w:sz w:val="30"/>
          <w:szCs w:val="30"/>
          <w:highlight w:val="none"/>
        </w:rPr>
        <w:t>〕</w:t>
      </w:r>
      <w:r>
        <w:rPr>
          <w:rFonts w:hint="eastAsia" w:ascii="仿宋_GB2312" w:hAnsi="仿宋_GB2312" w:cs="仿宋_GB2312"/>
          <w:sz w:val="30"/>
          <w:szCs w:val="30"/>
          <w:highlight w:val="none"/>
          <w:lang w:val="en-US" w:eastAsia="zh-CN"/>
        </w:rPr>
        <w:t>248</w:t>
      </w:r>
      <w:r>
        <w:rPr>
          <w:rFonts w:hint="eastAsia" w:ascii="仿宋_GB2312" w:hAnsi="仿宋_GB2312" w:cs="仿宋_GB2312"/>
          <w:sz w:val="30"/>
          <w:szCs w:val="30"/>
          <w:highlight w:val="none"/>
        </w:rPr>
        <w:t>号)同时废止。</w:t>
      </w:r>
    </w:p>
    <w:p>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0AFF" w:usb1="00007843" w:usb2="00000001" w:usb3="00000000" w:csb0="400001BF" w:csb1="DFF7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汉仪书宋二KW">
    <w:altName w:val="宋体"/>
    <w:panose1 w:val="00020600040101010101"/>
    <w:charset w:val="86"/>
    <w:family w:val="auto"/>
    <w:pitch w:val="default"/>
    <w:sig w:usb0="00000000" w:usb1="00000000" w:usb2="00000016" w:usb3="00000000" w:csb0="00040000" w:csb1="00000000"/>
  </w:font>
  <w:font w:name="Kingsoft Confetti">
    <w:altName w:val="Segoe Print"/>
    <w:panose1 w:val="05000100010000000000"/>
    <w:charset w:val="00"/>
    <w:family w:val="auto"/>
    <w:pitch w:val="default"/>
    <w:sig w:usb0="00000000" w:usb1="00000000" w:usb2="00000000" w:usb3="00000000" w:csb0="80000000" w:csb1="00000000"/>
  </w:font>
  <w:font w:name="Kingsoft Sign">
    <w:altName w:val="Segoe Print"/>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0AFF" w:usb1="00007843" w:usb2="00000001" w:usb3="00000000" w:csb0="400001BF" w:csb1="DFF7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EAD"/>
    <w:rsid w:val="000002E1"/>
    <w:rsid w:val="00001B72"/>
    <w:rsid w:val="00003732"/>
    <w:rsid w:val="00023A9E"/>
    <w:rsid w:val="000774C1"/>
    <w:rsid w:val="00090B7C"/>
    <w:rsid w:val="00091BE0"/>
    <w:rsid w:val="000A29B0"/>
    <w:rsid w:val="000D09BE"/>
    <w:rsid w:val="000F1EE6"/>
    <w:rsid w:val="00100B36"/>
    <w:rsid w:val="00164140"/>
    <w:rsid w:val="00181BB1"/>
    <w:rsid w:val="001917DA"/>
    <w:rsid w:val="0019686D"/>
    <w:rsid w:val="001C0484"/>
    <w:rsid w:val="001D2E5B"/>
    <w:rsid w:val="001E4C71"/>
    <w:rsid w:val="00210320"/>
    <w:rsid w:val="002570E8"/>
    <w:rsid w:val="00260A54"/>
    <w:rsid w:val="002C5849"/>
    <w:rsid w:val="002F473C"/>
    <w:rsid w:val="00303A5B"/>
    <w:rsid w:val="00310110"/>
    <w:rsid w:val="00316EE2"/>
    <w:rsid w:val="00332B79"/>
    <w:rsid w:val="0034418B"/>
    <w:rsid w:val="0034534A"/>
    <w:rsid w:val="0035501E"/>
    <w:rsid w:val="00363589"/>
    <w:rsid w:val="0039118F"/>
    <w:rsid w:val="00392E12"/>
    <w:rsid w:val="003D5D0D"/>
    <w:rsid w:val="00435EC9"/>
    <w:rsid w:val="004527F0"/>
    <w:rsid w:val="00460BD9"/>
    <w:rsid w:val="004622DF"/>
    <w:rsid w:val="004B1BBF"/>
    <w:rsid w:val="004D1B69"/>
    <w:rsid w:val="004E0829"/>
    <w:rsid w:val="004E2444"/>
    <w:rsid w:val="00506CC9"/>
    <w:rsid w:val="00511789"/>
    <w:rsid w:val="005409E1"/>
    <w:rsid w:val="00541B6F"/>
    <w:rsid w:val="00561F2E"/>
    <w:rsid w:val="00583DF0"/>
    <w:rsid w:val="005852CF"/>
    <w:rsid w:val="00585E85"/>
    <w:rsid w:val="00586EC7"/>
    <w:rsid w:val="005A714B"/>
    <w:rsid w:val="005B5A38"/>
    <w:rsid w:val="006047A3"/>
    <w:rsid w:val="006275A3"/>
    <w:rsid w:val="00647326"/>
    <w:rsid w:val="00654E08"/>
    <w:rsid w:val="00662239"/>
    <w:rsid w:val="00663CAD"/>
    <w:rsid w:val="0067565C"/>
    <w:rsid w:val="006A2AE0"/>
    <w:rsid w:val="006C5F9A"/>
    <w:rsid w:val="006F05A5"/>
    <w:rsid w:val="006F7158"/>
    <w:rsid w:val="007122EC"/>
    <w:rsid w:val="00720B42"/>
    <w:rsid w:val="007362B2"/>
    <w:rsid w:val="00746F8C"/>
    <w:rsid w:val="007B56A3"/>
    <w:rsid w:val="00802496"/>
    <w:rsid w:val="00803902"/>
    <w:rsid w:val="00813E02"/>
    <w:rsid w:val="008220B3"/>
    <w:rsid w:val="008405EB"/>
    <w:rsid w:val="008656A4"/>
    <w:rsid w:val="008A58C2"/>
    <w:rsid w:val="008D4DB7"/>
    <w:rsid w:val="008E5592"/>
    <w:rsid w:val="00900C8D"/>
    <w:rsid w:val="00923F39"/>
    <w:rsid w:val="0093132D"/>
    <w:rsid w:val="0096749F"/>
    <w:rsid w:val="00977137"/>
    <w:rsid w:val="00983907"/>
    <w:rsid w:val="0098708A"/>
    <w:rsid w:val="009941A3"/>
    <w:rsid w:val="009A0C6F"/>
    <w:rsid w:val="009B1248"/>
    <w:rsid w:val="009D58A9"/>
    <w:rsid w:val="00A14D03"/>
    <w:rsid w:val="00A219C6"/>
    <w:rsid w:val="00A6226D"/>
    <w:rsid w:val="00A85058"/>
    <w:rsid w:val="00A864AA"/>
    <w:rsid w:val="00AC1124"/>
    <w:rsid w:val="00AC3465"/>
    <w:rsid w:val="00AC3573"/>
    <w:rsid w:val="00AC6EBF"/>
    <w:rsid w:val="00B1384B"/>
    <w:rsid w:val="00B65330"/>
    <w:rsid w:val="00B670AA"/>
    <w:rsid w:val="00B77F6F"/>
    <w:rsid w:val="00B87A49"/>
    <w:rsid w:val="00B92CA2"/>
    <w:rsid w:val="00B95B79"/>
    <w:rsid w:val="00BD2E75"/>
    <w:rsid w:val="00BE2916"/>
    <w:rsid w:val="00C249C5"/>
    <w:rsid w:val="00C3321E"/>
    <w:rsid w:val="00C42012"/>
    <w:rsid w:val="00C44C24"/>
    <w:rsid w:val="00C50CD0"/>
    <w:rsid w:val="00C6770F"/>
    <w:rsid w:val="00C7186E"/>
    <w:rsid w:val="00C913B9"/>
    <w:rsid w:val="00CB632B"/>
    <w:rsid w:val="00CB791F"/>
    <w:rsid w:val="00CC7820"/>
    <w:rsid w:val="00CD6B05"/>
    <w:rsid w:val="00CF5A92"/>
    <w:rsid w:val="00D355F9"/>
    <w:rsid w:val="00D4082C"/>
    <w:rsid w:val="00D51851"/>
    <w:rsid w:val="00DC4280"/>
    <w:rsid w:val="00DF3309"/>
    <w:rsid w:val="00E063D0"/>
    <w:rsid w:val="00E1122A"/>
    <w:rsid w:val="00E13EAD"/>
    <w:rsid w:val="00E3305E"/>
    <w:rsid w:val="00E53AD3"/>
    <w:rsid w:val="00E54B13"/>
    <w:rsid w:val="00E573E0"/>
    <w:rsid w:val="00EC01DA"/>
    <w:rsid w:val="00EC5A2A"/>
    <w:rsid w:val="00F13052"/>
    <w:rsid w:val="00F50BA7"/>
    <w:rsid w:val="00F7173D"/>
    <w:rsid w:val="00F76B53"/>
    <w:rsid w:val="00FB7CD9"/>
    <w:rsid w:val="00FC0BFE"/>
    <w:rsid w:val="00FF117E"/>
    <w:rsid w:val="090F5052"/>
    <w:rsid w:val="0CD851EB"/>
    <w:rsid w:val="0E1861D8"/>
    <w:rsid w:val="144D3C2C"/>
    <w:rsid w:val="15333768"/>
    <w:rsid w:val="162E3DFC"/>
    <w:rsid w:val="18742A75"/>
    <w:rsid w:val="18F12F28"/>
    <w:rsid w:val="198221DC"/>
    <w:rsid w:val="1A345406"/>
    <w:rsid w:val="1B3D5A91"/>
    <w:rsid w:val="1DE219E6"/>
    <w:rsid w:val="26713CAF"/>
    <w:rsid w:val="269945DD"/>
    <w:rsid w:val="28967F63"/>
    <w:rsid w:val="29474C7A"/>
    <w:rsid w:val="294D3E2F"/>
    <w:rsid w:val="2BF7CBCF"/>
    <w:rsid w:val="2DC140EC"/>
    <w:rsid w:val="2DFB3743"/>
    <w:rsid w:val="2E105024"/>
    <w:rsid w:val="2FCE3FBD"/>
    <w:rsid w:val="380609C8"/>
    <w:rsid w:val="3826412A"/>
    <w:rsid w:val="3AC52E69"/>
    <w:rsid w:val="3C035994"/>
    <w:rsid w:val="3E2F2848"/>
    <w:rsid w:val="3E602778"/>
    <w:rsid w:val="3F732682"/>
    <w:rsid w:val="3FF8E84F"/>
    <w:rsid w:val="41A60FEF"/>
    <w:rsid w:val="421F400F"/>
    <w:rsid w:val="4EE17825"/>
    <w:rsid w:val="50842EEC"/>
    <w:rsid w:val="57A2734F"/>
    <w:rsid w:val="57B30954"/>
    <w:rsid w:val="57EA08DA"/>
    <w:rsid w:val="5FFE7C3F"/>
    <w:rsid w:val="6212515A"/>
    <w:rsid w:val="62854EC1"/>
    <w:rsid w:val="685A01F3"/>
    <w:rsid w:val="6E1B5AFA"/>
    <w:rsid w:val="6ECF4C23"/>
    <w:rsid w:val="6FF3171A"/>
    <w:rsid w:val="70D67456"/>
    <w:rsid w:val="78100813"/>
    <w:rsid w:val="7A685173"/>
    <w:rsid w:val="7A852136"/>
    <w:rsid w:val="7BEC375A"/>
    <w:rsid w:val="7C4E4E64"/>
    <w:rsid w:val="7E676706"/>
    <w:rsid w:val="EDBFB11F"/>
    <w:rsid w:val="EF3364D2"/>
    <w:rsid w:val="FDFF2962"/>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1"/>
    <w:next w:val="1"/>
    <w:link w:val="8"/>
    <w:qFormat/>
    <w:uiPriority w:val="0"/>
    <w:pPr>
      <w:keepNext/>
      <w:keepLines/>
      <w:jc w:val="center"/>
      <w:outlineLvl w:val="0"/>
    </w:pPr>
    <w:rPr>
      <w:rFonts w:ascii="方正小标宋简体" w:hAnsi="方正小标宋简体" w:eastAsia="方正小标宋简体"/>
      <w:kern w:val="44"/>
      <w:sz w:val="44"/>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2"/>
    <w:basedOn w:val="1"/>
    <w:qFormat/>
    <w:uiPriority w:val="0"/>
    <w:pPr>
      <w:spacing w:line="480" w:lineRule="exact"/>
    </w:pPr>
    <w:rPr>
      <w:rFonts w:ascii="Times New Roman" w:hAnsi="Times New Roman" w:eastAsia="仿宋" w:cs="Times New Roman"/>
      <w:color w:val="000000"/>
      <w:kern w:val="2"/>
      <w:sz w:val="21"/>
      <w:szCs w:val="24"/>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6"/>
    <w:link w:val="3"/>
    <w:qFormat/>
    <w:uiPriority w:val="0"/>
    <w:rPr>
      <w:rFonts w:ascii="方正小标宋简体" w:hAnsi="方正小标宋简体" w:eastAsia="方正小标宋简体"/>
      <w:kern w:val="44"/>
      <w:sz w:val="44"/>
    </w:rPr>
  </w:style>
  <w:style w:type="character" w:customStyle="1" w:styleId="9">
    <w:name w:val="内文 Char"/>
    <w:link w:val="10"/>
    <w:qFormat/>
    <w:uiPriority w:val="0"/>
    <w:rPr>
      <w:rFonts w:eastAsia="仿宋_GB2312"/>
      <w:sz w:val="30"/>
    </w:rPr>
  </w:style>
  <w:style w:type="paragraph" w:customStyle="1" w:styleId="10">
    <w:name w:val="内文"/>
    <w:basedOn w:val="1"/>
    <w:link w:val="9"/>
    <w:qFormat/>
    <w:uiPriority w:val="0"/>
    <w:pPr>
      <w:spacing w:line="500" w:lineRule="exact"/>
      <w:ind w:firstLine="866" w:firstLineChars="200"/>
    </w:pPr>
    <w:rPr>
      <w:kern w:val="0"/>
      <w:sz w:val="30"/>
    </w:rPr>
  </w:style>
  <w:style w:type="character" w:customStyle="1" w:styleId="11">
    <w:name w:val="章 Char"/>
    <w:link w:val="12"/>
    <w:qFormat/>
    <w:uiPriority w:val="0"/>
    <w:rPr>
      <w:rFonts w:eastAsia="黑体"/>
      <w:sz w:val="32"/>
    </w:rPr>
  </w:style>
  <w:style w:type="paragraph" w:customStyle="1" w:styleId="12">
    <w:name w:val="章"/>
    <w:basedOn w:val="1"/>
    <w:link w:val="11"/>
    <w:qFormat/>
    <w:uiPriority w:val="0"/>
    <w:pPr>
      <w:spacing w:line="500" w:lineRule="exact"/>
      <w:jc w:val="center"/>
    </w:pPr>
    <w:rPr>
      <w:rFonts w:eastAsia="黑体"/>
      <w:kern w:val="0"/>
    </w:rPr>
  </w:style>
  <w:style w:type="character" w:customStyle="1" w:styleId="13">
    <w:name w:val="页眉 Char"/>
    <w:basedOn w:val="6"/>
    <w:link w:val="5"/>
    <w:qFormat/>
    <w:uiPriority w:val="0"/>
    <w:rPr>
      <w:rFonts w:eastAsia="仿宋_GB2312"/>
      <w:kern w:val="2"/>
      <w:sz w:val="18"/>
      <w:szCs w:val="18"/>
    </w:rPr>
  </w:style>
  <w:style w:type="character" w:customStyle="1" w:styleId="14">
    <w:name w:val="页脚 Char"/>
    <w:basedOn w:val="6"/>
    <w:link w:val="4"/>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727</Words>
  <Characters>4147</Characters>
  <Lines>34</Lines>
  <Paragraphs>9</Paragraphs>
  <ScaleCrop>false</ScaleCrop>
  <LinksUpToDate>false</LinksUpToDate>
  <CharactersWithSpaces>4865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2017-11-02T23:19:00Z</dcterms:created>
  <dc:creator>成刚</dc:creator>
  <cp:lastModifiedBy>张小花</cp:lastModifiedBy>
  <cp:lastPrinted>2026-07-06T14:12:00Z</cp:lastPrinted>
  <dcterms:modified xsi:type="dcterms:W3CDTF">2026-07-07T03:39:04Z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90D904DCC9AA4D78A16AEB2C95FCEBFB_12</vt:lpwstr>
  </property>
</Properties>
</file>