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三亚市海棠区信息化服务中心责任清单</w:t>
      </w:r>
    </w:p>
    <w:p>
      <w:pPr>
        <w:spacing w:line="578" w:lineRule="exact"/>
        <w:jc w:val="center"/>
        <w:rPr>
          <w:rFonts w:hint="default" w:ascii="Times New Roman" w:hAnsi="Times New Roman" w:eastAsia="黑体" w:cs="Times New Roman"/>
          <w:bCs/>
          <w:color w:val="000000"/>
          <w:kern w:val="0"/>
          <w:szCs w:val="32"/>
        </w:rPr>
      </w:pPr>
    </w:p>
    <w:p>
      <w:pPr>
        <w:spacing w:line="578" w:lineRule="exact"/>
        <w:jc w:val="center"/>
        <w:rPr>
          <w:rFonts w:hint="default" w:ascii="Times New Roman" w:hAnsi="Times New Roman" w:eastAsia="黑体" w:cs="Times New Roman"/>
          <w:bCs/>
          <w:color w:val="000000"/>
          <w:kern w:val="0"/>
          <w:szCs w:val="32"/>
        </w:rPr>
      </w:pPr>
      <w:r>
        <w:rPr>
          <w:rFonts w:hint="default" w:ascii="Times New Roman" w:hAnsi="Times New Roman" w:eastAsia="黑体" w:cs="Times New Roman"/>
          <w:bCs/>
          <w:color w:val="000000"/>
          <w:kern w:val="0"/>
          <w:szCs w:val="32"/>
        </w:rPr>
        <w:t>目    录</w:t>
      </w:r>
    </w:p>
    <w:p>
      <w:pPr>
        <w:spacing w:line="578" w:lineRule="exact"/>
        <w:rPr>
          <w:rFonts w:hint="eastAsia" w:ascii="仿宋_GB2312" w:hAnsi="仿宋_GB2312" w:eastAsia="仿宋_GB2312" w:cs="仿宋_GB2312"/>
          <w:bCs/>
          <w:color w:val="000000"/>
          <w:kern w:val="0"/>
          <w:szCs w:val="32"/>
        </w:rPr>
      </w:pPr>
      <w:r>
        <w:rPr>
          <w:rFonts w:hint="default" w:ascii="Times New Roman" w:hAnsi="Times New Roman" w:cs="Times New Roman"/>
          <w:bCs/>
          <w:color w:val="000000"/>
          <w:kern w:val="0"/>
          <w:szCs w:val="32"/>
        </w:rPr>
        <w:t xml:space="preserve">   </w:t>
      </w:r>
      <w:bookmarkStart w:id="0" w:name="_GoBack"/>
      <w:bookmarkEnd w:id="0"/>
    </w:p>
    <w:p>
      <w:pPr>
        <w:spacing w:line="578" w:lineRule="exact"/>
        <w:rPr>
          <w:rFonts w:hint="eastAsia" w:ascii="仿宋_GB2312" w:hAnsi="仿宋_GB2312" w:eastAsia="仿宋_GB2312" w:cs="仿宋_GB2312"/>
          <w:bCs/>
          <w:color w:val="000000"/>
          <w:kern w:val="0"/>
          <w:szCs w:val="32"/>
        </w:rPr>
      </w:pPr>
      <w:r>
        <w:rPr>
          <w:rFonts w:hint="eastAsia" w:ascii="仿宋_GB2312" w:hAnsi="仿宋_GB2312" w:eastAsia="仿宋_GB2312" w:cs="仿宋_GB2312"/>
          <w:bCs/>
          <w:color w:val="000000"/>
          <w:kern w:val="0"/>
          <w:szCs w:val="32"/>
        </w:rPr>
        <w:t>一、部门职责登记表</w:t>
      </w:r>
    </w:p>
    <w:p>
      <w:pPr>
        <w:spacing w:line="578" w:lineRule="exact"/>
        <w:rPr>
          <w:rFonts w:hint="eastAsia" w:ascii="仿宋_GB2312" w:hAnsi="仿宋_GB2312" w:eastAsia="仿宋_GB2312" w:cs="仿宋_GB2312"/>
          <w:bCs/>
          <w:color w:val="000000"/>
          <w:kern w:val="0"/>
          <w:szCs w:val="32"/>
        </w:rPr>
      </w:pPr>
      <w:r>
        <w:rPr>
          <w:rFonts w:hint="eastAsia" w:ascii="仿宋_GB2312" w:hAnsi="仿宋_GB2312" w:eastAsia="仿宋_GB2312" w:cs="仿宋_GB2312"/>
          <w:bCs/>
          <w:color w:val="000000"/>
          <w:kern w:val="0"/>
          <w:szCs w:val="32"/>
        </w:rPr>
        <w:t>二、与相关部门的职责边界表</w:t>
      </w:r>
    </w:p>
    <w:p>
      <w:pPr>
        <w:spacing w:line="578" w:lineRule="exact"/>
        <w:rPr>
          <w:rFonts w:hint="eastAsia" w:ascii="仿宋_GB2312" w:hAnsi="仿宋_GB2312" w:eastAsia="仿宋_GB2312" w:cs="仿宋_GB2312"/>
          <w:bCs/>
          <w:color w:val="000000"/>
          <w:kern w:val="0"/>
          <w:szCs w:val="32"/>
        </w:rPr>
      </w:pPr>
      <w:r>
        <w:rPr>
          <w:rFonts w:hint="eastAsia" w:ascii="仿宋_GB2312" w:hAnsi="仿宋_GB2312" w:eastAsia="仿宋_GB2312" w:cs="仿宋_GB2312"/>
          <w:bCs/>
          <w:color w:val="000000"/>
          <w:kern w:val="0"/>
          <w:szCs w:val="32"/>
        </w:rPr>
        <w:t>三、事中事后监管制度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val="0"/>
          <w:bCs/>
          <w:sz w:val="30"/>
          <w:szCs w:val="30"/>
          <w:lang w:val="en-US" w:eastAsia="zh-CN"/>
        </w:rPr>
        <w:t>检查网络信息安全</w:t>
      </w:r>
    </w:p>
    <w:p>
      <w:pPr>
        <w:rPr>
          <w:rFonts w:hint="eastAsia" w:ascii="黑体" w:hAnsi="黑体" w:eastAsia="黑体" w:cs="黑体"/>
          <w:sz w:val="32"/>
          <w:szCs w:val="32"/>
          <w:lang w:val="en-US" w:eastAsia="zh-CN"/>
        </w:rPr>
      </w:pPr>
      <w:r>
        <w:br w:type="page"/>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部门职责登记表</w:t>
      </w:r>
    </w:p>
    <w:p>
      <w:pPr>
        <w:spacing w:line="578" w:lineRule="exact"/>
        <w:jc w:val="center"/>
        <w:rPr>
          <w:rFonts w:hint="default" w:ascii="Times New Roman" w:hAnsi="Times New Roman" w:eastAsia="方正小标宋简体" w:cs="Times New Roman"/>
          <w:sz w:val="36"/>
          <w:szCs w:val="36"/>
        </w:rPr>
      </w:pPr>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90"/>
        <w:gridCol w:w="376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990" w:type="dxa"/>
            <w:vAlign w:val="center"/>
          </w:tcPr>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主要职责</w:t>
            </w:r>
          </w:p>
        </w:tc>
        <w:tc>
          <w:tcPr>
            <w:tcW w:w="3763" w:type="dxa"/>
            <w:vAlign w:val="center"/>
          </w:tcPr>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具体工作事项</w:t>
            </w:r>
          </w:p>
        </w:tc>
        <w:tc>
          <w:tcPr>
            <w:tcW w:w="1167" w:type="dxa"/>
            <w:vAlign w:val="center"/>
          </w:tcPr>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99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负责本区党政综合信息网络的规划建设、运行维护管理，组织协调机关办公自动化的规划建设并提供技术指导和信息咨询服务；</w:t>
            </w: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负责全区网络巡查与维护，确保全区网络与各大信息系统安全稳定运行。</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做好全区政务外网及政务互联网的接入建设与运维工作。</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做好本区全省无纸化办公系统运行维护，并提供技术指导和信息咨询服务。</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99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负责本区党务、政务系统的数据交换及党政网络信息发布；</w:t>
            </w: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为全区政务信息公开工作提供技术指导和信息咨询服务。</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lang w:val="en-US" w:eastAsia="zh-CN"/>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全力做好本中心政务信息公开工作。</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990" w:type="dxa"/>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负责本区各部门数据信息集中处理的技术服务工作；</w:t>
            </w: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大数据中心运行维护。</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990" w:type="dxa"/>
            <w:vMerge w:val="restart"/>
            <w:vAlign w:val="center"/>
          </w:tcPr>
          <w:p>
            <w:p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协助全区通信与信息安全；</w:t>
            </w: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确保全区政务外网及政务外网互联网安全运行。</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lang w:val="en-US" w:eastAsia="zh-CN"/>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做好全区网络安全培训工作。</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lang w:val="en-US" w:eastAsia="zh-CN"/>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做好全区综合办公点及村（社区）上网行为管理服务。</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spacing w:line="240" w:lineRule="auto"/>
              <w:jc w:val="center"/>
              <w:rPr>
                <w:rFonts w:hint="eastAsia" w:ascii="仿宋_GB2312" w:hAnsi="仿宋_GB2312" w:eastAsia="仿宋_GB2312" w:cs="仿宋_GB2312"/>
                <w:sz w:val="24"/>
                <w:szCs w:val="24"/>
                <w:lang w:val="en-US" w:eastAsia="zh-CN"/>
              </w:rPr>
            </w:pPr>
          </w:p>
        </w:tc>
        <w:tc>
          <w:tcPr>
            <w:tcW w:w="2990" w:type="dxa"/>
            <w:vMerge w:val="continue"/>
            <w:vAlign w:val="center"/>
          </w:tcPr>
          <w:p>
            <w:pPr>
              <w:spacing w:line="240" w:lineRule="auto"/>
              <w:jc w:val="both"/>
              <w:rPr>
                <w:rFonts w:hint="eastAsia" w:ascii="仿宋_GB2312" w:hAnsi="仿宋_GB2312" w:eastAsia="仿宋_GB2312" w:cs="仿宋_GB2312"/>
                <w:b w:val="0"/>
                <w:bCs w:val="0"/>
                <w:sz w:val="24"/>
                <w:szCs w:val="24"/>
                <w:lang w:val="en-US" w:eastAsia="zh-CN"/>
              </w:rPr>
            </w:pP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加强办公用网终端安全防护工作。</w:t>
            </w:r>
          </w:p>
        </w:tc>
        <w:tc>
          <w:tcPr>
            <w:tcW w:w="1167" w:type="dxa"/>
            <w:vAlign w:val="center"/>
          </w:tcPr>
          <w:p>
            <w:pPr>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990"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承办区政府及上级部门交办的工作。</w:t>
            </w:r>
          </w:p>
        </w:tc>
        <w:tc>
          <w:tcPr>
            <w:tcW w:w="3763" w:type="dxa"/>
            <w:vAlign w:val="center"/>
          </w:tcPr>
          <w:p>
            <w:pPr>
              <w:spacing w:line="240" w:lineRule="auto"/>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承办区政府交办的工作。</w:t>
            </w:r>
          </w:p>
        </w:tc>
        <w:tc>
          <w:tcPr>
            <w:tcW w:w="1167" w:type="dxa"/>
            <w:vAlign w:val="center"/>
          </w:tcPr>
          <w:p>
            <w:pPr>
              <w:spacing w:line="240" w:lineRule="auto"/>
              <w:jc w:val="both"/>
              <w:rPr>
                <w:rFonts w:hint="eastAsia" w:ascii="仿宋_GB2312" w:hAnsi="仿宋_GB2312" w:eastAsia="仿宋_GB2312" w:cs="仿宋_GB2312"/>
                <w:sz w:val="24"/>
                <w:szCs w:val="24"/>
              </w:rPr>
            </w:pPr>
          </w:p>
        </w:tc>
      </w:tr>
    </w:tbl>
    <w:p>
      <w:pPr>
        <w:pStyle w:val="2"/>
        <w:rPr>
          <w:rFonts w:hint="eastAsia" w:ascii="黑体" w:hAnsi="黑体" w:eastAsia="黑体" w:cs="黑体"/>
          <w:sz w:val="32"/>
          <w:szCs w:val="32"/>
        </w:rPr>
      </w:pPr>
      <w:r>
        <w:br w:type="page"/>
      </w:r>
    </w:p>
    <w:p>
      <w:pPr>
        <w:numPr>
          <w:ilvl w:val="0"/>
          <w:numId w:val="0"/>
        </w:numPr>
        <w:spacing w:line="578" w:lineRule="exact"/>
        <w:jc w:val="center"/>
        <w:rPr>
          <w:rFonts w:hint="default"/>
        </w:rPr>
      </w:pPr>
      <w:r>
        <w:rPr>
          <w:rFonts w:hint="eastAsia" w:ascii="黑体" w:hAnsi="黑体" w:eastAsia="黑体" w:cs="黑体"/>
          <w:sz w:val="32"/>
          <w:szCs w:val="32"/>
          <w:lang w:eastAsia="zh-CN"/>
        </w:rPr>
        <w:t>二、</w:t>
      </w:r>
      <w:r>
        <w:rPr>
          <w:rFonts w:hint="eastAsia" w:ascii="黑体" w:hAnsi="黑体" w:eastAsia="黑体" w:cs="黑体"/>
          <w:sz w:val="32"/>
          <w:szCs w:val="32"/>
        </w:rPr>
        <w:t>与相关部门的职责边界登记表</w:t>
      </w:r>
    </w:p>
    <w:p>
      <w:pPr>
        <w:spacing w:line="578" w:lineRule="exact"/>
        <w:ind w:right="-163" w:rightChars="-51"/>
        <w:jc w:val="both"/>
        <w:rPr>
          <w:rFonts w:hint="default" w:ascii="仿宋_GB2312" w:hAnsi="仿宋_GB2312" w:eastAsia="仿宋_GB2312" w:cs="仿宋_GB2312"/>
          <w:b w:val="0"/>
          <w:bCs w:val="0"/>
          <w:sz w:val="32"/>
          <w:szCs w:val="32"/>
          <w:lang w:val="en-US" w:eastAsia="zh-CN"/>
        </w:rPr>
      </w:pPr>
    </w:p>
    <w:tbl>
      <w:tblPr>
        <w:tblStyle w:val="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1"/>
        <w:gridCol w:w="1289"/>
        <w:gridCol w:w="1028"/>
        <w:gridCol w:w="310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3"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261"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管理事项</w:t>
            </w:r>
          </w:p>
        </w:tc>
        <w:tc>
          <w:tcPr>
            <w:tcW w:w="1289"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相关部门</w:t>
            </w:r>
          </w:p>
        </w:tc>
        <w:tc>
          <w:tcPr>
            <w:tcW w:w="1028"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职责分工</w:t>
            </w:r>
          </w:p>
        </w:tc>
        <w:tc>
          <w:tcPr>
            <w:tcW w:w="3102"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相关依据</w:t>
            </w:r>
          </w:p>
        </w:tc>
        <w:tc>
          <w:tcPr>
            <w:tcW w:w="1753" w:type="dxa"/>
            <w:vAlign w:val="center"/>
          </w:tcPr>
          <w:p>
            <w:pPr>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73" w:type="dxa"/>
            <w:vMerge w:val="restart"/>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p>
            <w:pPr>
              <w:spacing w:line="240" w:lineRule="auto"/>
              <w:jc w:val="center"/>
              <w:rPr>
                <w:rFonts w:hint="eastAsia" w:ascii="仿宋_GB2312" w:hAnsi="仿宋_GB2312" w:eastAsia="仿宋_GB2312" w:cs="仿宋_GB2312"/>
                <w:sz w:val="24"/>
                <w:szCs w:val="24"/>
              </w:rPr>
            </w:pPr>
          </w:p>
        </w:tc>
        <w:tc>
          <w:tcPr>
            <w:tcW w:w="2261" w:type="dxa"/>
            <w:vMerge w:val="restart"/>
            <w:vAlign w:val="center"/>
          </w:tcPr>
          <w:p>
            <w:pPr>
              <w:spacing w:line="240" w:lineRule="auto"/>
              <w:ind w:right="-163" w:rightChars="-5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负责本区党政综合信息网络的规划建设、运行维护管理，及党政网络信息发布</w:t>
            </w:r>
          </w:p>
        </w:tc>
        <w:tc>
          <w:tcPr>
            <w:tcW w:w="1289" w:type="dxa"/>
            <w:vAlign w:val="center"/>
          </w:tcPr>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三亚市海棠区人民政府办公室</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主办</w:t>
            </w:r>
          </w:p>
        </w:tc>
        <w:tc>
          <w:tcPr>
            <w:tcW w:w="3102"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三亚市海棠区人民政府办公室“三定”方案中办公室主要职责第六项、三亚市海棠区信息化服务中心“三定”方案</w:t>
            </w:r>
          </w:p>
        </w:tc>
        <w:tc>
          <w:tcPr>
            <w:tcW w:w="1753"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政务公开和政府信息公开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3" w:type="dxa"/>
            <w:vMerge w:val="continue"/>
            <w:vAlign w:val="center"/>
          </w:tcPr>
          <w:p>
            <w:pPr>
              <w:spacing w:line="240" w:lineRule="auto"/>
              <w:jc w:val="center"/>
              <w:rPr>
                <w:rFonts w:hint="eastAsia" w:ascii="仿宋_GB2312" w:hAnsi="仿宋_GB2312" w:eastAsia="仿宋_GB2312" w:cs="仿宋_GB2312"/>
                <w:sz w:val="24"/>
                <w:szCs w:val="24"/>
              </w:rPr>
            </w:pPr>
          </w:p>
        </w:tc>
        <w:tc>
          <w:tcPr>
            <w:tcW w:w="2261" w:type="dxa"/>
            <w:vMerge w:val="continue"/>
            <w:vAlign w:val="center"/>
          </w:tcPr>
          <w:p>
            <w:pPr>
              <w:spacing w:line="240" w:lineRule="auto"/>
              <w:jc w:val="left"/>
              <w:rPr>
                <w:rFonts w:hint="eastAsia" w:ascii="仿宋_GB2312" w:hAnsi="仿宋_GB2312" w:eastAsia="仿宋_GB2312" w:cs="仿宋_GB2312"/>
                <w:sz w:val="24"/>
                <w:szCs w:val="24"/>
              </w:rPr>
            </w:pPr>
          </w:p>
        </w:tc>
        <w:tc>
          <w:tcPr>
            <w:tcW w:w="1289"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三亚市海棠区信息化服务中心</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协办</w:t>
            </w:r>
          </w:p>
        </w:tc>
        <w:tc>
          <w:tcPr>
            <w:tcW w:w="3102" w:type="dxa"/>
            <w:vMerge w:val="continue"/>
            <w:vAlign w:val="center"/>
          </w:tcPr>
          <w:p>
            <w:pPr>
              <w:spacing w:line="240" w:lineRule="auto"/>
              <w:jc w:val="left"/>
              <w:rPr>
                <w:rFonts w:hint="eastAsia" w:ascii="仿宋_GB2312" w:hAnsi="仿宋_GB2312" w:eastAsia="仿宋_GB2312" w:cs="仿宋_GB2312"/>
                <w:b w:val="0"/>
                <w:bCs w:val="0"/>
                <w:sz w:val="24"/>
                <w:szCs w:val="24"/>
                <w:lang w:val="en-US" w:eastAsia="zh-CN"/>
              </w:rPr>
            </w:pPr>
          </w:p>
        </w:tc>
        <w:tc>
          <w:tcPr>
            <w:tcW w:w="1753" w:type="dxa"/>
            <w:vMerge w:val="continue"/>
            <w:vAlign w:val="center"/>
          </w:tcPr>
          <w:p>
            <w:pPr>
              <w:spacing w:line="240" w:lineRule="auto"/>
              <w:jc w:val="left"/>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73" w:type="dxa"/>
            <w:vMerge w:val="restart"/>
            <w:vAlign w:val="center"/>
          </w:tcPr>
          <w:p>
            <w:pPr>
              <w:spacing w:line="240" w:lineRule="auto"/>
              <w:ind w:right="-163" w:rightChars="-51"/>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2261"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牵头本区电子政务项目基础网络建设工作；负责协调维护信息安全与信息安全保障体系建设；指导监督政府部门、重点行业的重要信息系统与基础信息网络的安全保障工作、协调处理网络与信息安全的重大事件。</w:t>
            </w:r>
          </w:p>
        </w:tc>
        <w:tc>
          <w:tcPr>
            <w:tcW w:w="1289"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三亚市海棠区教育科技局</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主办</w:t>
            </w:r>
          </w:p>
        </w:tc>
        <w:tc>
          <w:tcPr>
            <w:tcW w:w="3102"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三亚市海棠区教育科技局“三定”方案主要职责中第十五项</w:t>
            </w:r>
          </w:p>
        </w:tc>
        <w:tc>
          <w:tcPr>
            <w:tcW w:w="1753"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三亚市海棠区教育科技局与三亚市海棠区信息化服务中心同时承接政务外网迁移、新增等工作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73" w:type="dxa"/>
            <w:vMerge w:val="continue"/>
            <w:vAlign w:val="center"/>
          </w:tcPr>
          <w:p>
            <w:pPr>
              <w:spacing w:line="240" w:lineRule="auto"/>
              <w:ind w:right="-163" w:rightChars="-51"/>
              <w:jc w:val="center"/>
              <w:rPr>
                <w:rFonts w:hint="eastAsia" w:ascii="仿宋_GB2312" w:hAnsi="仿宋_GB2312" w:eastAsia="仿宋_GB2312" w:cs="仿宋_GB2312"/>
                <w:b w:val="0"/>
                <w:bCs w:val="0"/>
                <w:sz w:val="24"/>
                <w:szCs w:val="24"/>
                <w:lang w:val="en-US" w:eastAsia="zh-CN"/>
              </w:rPr>
            </w:pPr>
          </w:p>
        </w:tc>
        <w:tc>
          <w:tcPr>
            <w:tcW w:w="2261" w:type="dxa"/>
            <w:vMerge w:val="continue"/>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p>
        </w:tc>
        <w:tc>
          <w:tcPr>
            <w:tcW w:w="1289"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三亚市海棠区信息化服务中心</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协办</w:t>
            </w:r>
          </w:p>
        </w:tc>
        <w:tc>
          <w:tcPr>
            <w:tcW w:w="3102" w:type="dxa"/>
            <w:vMerge w:val="continue"/>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p>
        </w:tc>
        <w:tc>
          <w:tcPr>
            <w:tcW w:w="1753" w:type="dxa"/>
            <w:vMerge w:val="continue"/>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73" w:type="dxa"/>
            <w:vMerge w:val="restart"/>
            <w:vAlign w:val="center"/>
          </w:tcPr>
          <w:p>
            <w:pPr>
              <w:spacing w:line="240" w:lineRule="auto"/>
              <w:ind w:right="-163" w:rightChars="-51"/>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2261"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负责本区保密工作的管理及实施</w:t>
            </w:r>
          </w:p>
        </w:tc>
        <w:tc>
          <w:tcPr>
            <w:tcW w:w="1289"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中共三亚市海棠区委员会办公室</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主办</w:t>
            </w:r>
          </w:p>
        </w:tc>
        <w:tc>
          <w:tcPr>
            <w:tcW w:w="3102"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中共三亚市海棠区委员会办公室“三定”方案机要保密局主要职责中第三项</w:t>
            </w:r>
          </w:p>
        </w:tc>
        <w:tc>
          <w:tcPr>
            <w:tcW w:w="1753" w:type="dxa"/>
            <w:vMerge w:val="restart"/>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网络安全专项检查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3" w:type="dxa"/>
            <w:vMerge w:val="continue"/>
            <w:vAlign w:val="center"/>
          </w:tcPr>
          <w:p>
            <w:pPr>
              <w:spacing w:line="240" w:lineRule="auto"/>
              <w:ind w:right="-163" w:rightChars="-51"/>
              <w:jc w:val="center"/>
              <w:rPr>
                <w:rFonts w:hint="eastAsia" w:ascii="仿宋_GB2312" w:hAnsi="仿宋_GB2312" w:eastAsia="仿宋_GB2312" w:cs="仿宋_GB2312"/>
                <w:b w:val="0"/>
                <w:bCs w:val="0"/>
                <w:sz w:val="32"/>
                <w:szCs w:val="32"/>
                <w:lang w:val="en-US" w:eastAsia="zh-CN"/>
              </w:rPr>
            </w:pPr>
          </w:p>
        </w:tc>
        <w:tc>
          <w:tcPr>
            <w:tcW w:w="2261" w:type="dxa"/>
            <w:vMerge w:val="continue"/>
            <w:vAlign w:val="center"/>
          </w:tcPr>
          <w:p>
            <w:pPr>
              <w:spacing w:line="240" w:lineRule="auto"/>
              <w:ind w:right="-163" w:rightChars="-51"/>
              <w:jc w:val="center"/>
              <w:rPr>
                <w:rFonts w:hint="eastAsia" w:ascii="仿宋_GB2312" w:hAnsi="仿宋_GB2312" w:eastAsia="仿宋_GB2312" w:cs="仿宋_GB2312"/>
                <w:b w:val="0"/>
                <w:bCs w:val="0"/>
                <w:sz w:val="32"/>
                <w:szCs w:val="32"/>
                <w:lang w:val="en-US" w:eastAsia="zh-CN"/>
              </w:rPr>
            </w:pPr>
          </w:p>
        </w:tc>
        <w:tc>
          <w:tcPr>
            <w:tcW w:w="1289"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三亚市海棠区信息化服务中心</w:t>
            </w:r>
          </w:p>
        </w:tc>
        <w:tc>
          <w:tcPr>
            <w:tcW w:w="1028" w:type="dxa"/>
            <w:vAlign w:val="center"/>
          </w:tcPr>
          <w:p>
            <w:pPr>
              <w:spacing w:line="240" w:lineRule="auto"/>
              <w:ind w:right="-163" w:rightChars="-51"/>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协办</w:t>
            </w:r>
          </w:p>
        </w:tc>
        <w:tc>
          <w:tcPr>
            <w:tcW w:w="3102" w:type="dxa"/>
            <w:vMerge w:val="continue"/>
            <w:vAlign w:val="center"/>
          </w:tcPr>
          <w:p>
            <w:pPr>
              <w:spacing w:line="240" w:lineRule="auto"/>
              <w:ind w:right="-163" w:rightChars="-51"/>
              <w:jc w:val="left"/>
              <w:rPr>
                <w:rFonts w:hint="default" w:ascii="仿宋_GB2312" w:hAnsi="仿宋_GB2312" w:eastAsia="仿宋_GB2312" w:cs="仿宋_GB2312"/>
                <w:b w:val="0"/>
                <w:bCs w:val="0"/>
                <w:sz w:val="32"/>
                <w:szCs w:val="32"/>
                <w:lang w:val="en-US" w:eastAsia="zh-CN"/>
              </w:rPr>
            </w:pPr>
          </w:p>
        </w:tc>
        <w:tc>
          <w:tcPr>
            <w:tcW w:w="1753" w:type="dxa"/>
            <w:vMerge w:val="continue"/>
            <w:vAlign w:val="center"/>
          </w:tcPr>
          <w:p>
            <w:pPr>
              <w:spacing w:line="240" w:lineRule="auto"/>
              <w:ind w:right="-163" w:rightChars="-51"/>
              <w:jc w:val="left"/>
              <w:rPr>
                <w:rFonts w:hint="default" w:ascii="仿宋_GB2312" w:hAnsi="仿宋_GB2312" w:eastAsia="仿宋_GB2312" w:cs="仿宋_GB2312"/>
                <w:b w:val="0"/>
                <w:bCs w:val="0"/>
                <w:sz w:val="32"/>
                <w:szCs w:val="32"/>
                <w:lang w:val="en-US" w:eastAsia="zh-CN"/>
              </w:rPr>
            </w:pPr>
          </w:p>
        </w:tc>
      </w:tr>
    </w:tbl>
    <w:p>
      <w:pPr>
        <w:spacing w:line="578" w:lineRule="exact"/>
        <w:rPr>
          <w:rFonts w:hint="default" w:ascii="Times New Roman" w:hAnsi="Times New Roman" w:eastAsia="黑体" w:cs="Times New Roman"/>
          <w:color w:val="000000"/>
          <w:szCs w:val="32"/>
        </w:rPr>
      </w:pPr>
    </w:p>
    <w:p/>
    <w:p>
      <w:pPr>
        <w:pStyle w:val="2"/>
      </w:pPr>
    </w:p>
    <w:p/>
    <w:p>
      <w:pPr>
        <w:pStyle w:val="2"/>
      </w:pPr>
    </w:p>
    <w:p>
      <w:pPr>
        <w:pStyle w:val="2"/>
      </w:pPr>
    </w:p>
    <w:p>
      <w:pPr>
        <w:numPr>
          <w:ilvl w:val="0"/>
          <w:numId w:val="1"/>
        </w:numPr>
        <w:spacing w:line="578"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事中事后监管制度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val="0"/>
          <w:sz w:val="32"/>
          <w:szCs w:val="32"/>
        </w:rPr>
      </w:pPr>
      <w:r>
        <w:rPr>
          <w:rFonts w:hint="eastAsia" w:ascii="楷体" w:hAnsi="楷体" w:eastAsia="楷体" w:cs="楷体"/>
          <w:b/>
          <w:bCs w:val="0"/>
          <w:sz w:val="32"/>
          <w:szCs w:val="32"/>
        </w:rPr>
        <w:t>（职权名称：</w:t>
      </w:r>
      <w:r>
        <w:rPr>
          <w:rFonts w:hint="eastAsia" w:ascii="楷体" w:hAnsi="楷体" w:eastAsia="楷体" w:cs="楷体"/>
          <w:b/>
          <w:bCs w:val="0"/>
          <w:sz w:val="32"/>
          <w:szCs w:val="32"/>
          <w:lang w:val="en-US" w:eastAsia="zh-CN"/>
        </w:rPr>
        <w:t>检查网络信息安全</w:t>
      </w:r>
      <w:r>
        <w:rPr>
          <w:rFonts w:hint="eastAsia" w:ascii="楷体" w:hAnsi="楷体" w:eastAsia="楷体" w:cs="楷体"/>
          <w:b/>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val="0"/>
          <w:sz w:val="32"/>
          <w:szCs w:val="32"/>
        </w:rPr>
      </w:pPr>
      <w:r>
        <w:rPr>
          <w:rFonts w:hint="eastAsia" w:ascii="楷体" w:hAnsi="楷体" w:eastAsia="楷体" w:cs="楷体"/>
          <w:b/>
          <w:bCs w:val="0"/>
          <w:sz w:val="32"/>
          <w:szCs w:val="32"/>
          <w:lang w:eastAsia="zh-CN"/>
        </w:rPr>
        <w:t>一、</w:t>
      </w:r>
      <w:r>
        <w:rPr>
          <w:rFonts w:hint="eastAsia" w:ascii="楷体" w:hAnsi="楷体" w:eastAsia="楷体" w:cs="楷体"/>
          <w:b/>
          <w:bCs w:val="0"/>
          <w:sz w:val="32"/>
          <w:szCs w:val="32"/>
        </w:rPr>
        <w:t>监督检查对象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cs="Times New Roman"/>
          <w:szCs w:val="32"/>
          <w:lang w:val="en-US" w:eastAsia="zh-CN"/>
        </w:rPr>
        <w:t>全区各局办办公网络及电脑。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val="0"/>
          <w:sz w:val="32"/>
          <w:szCs w:val="32"/>
          <w:lang w:eastAsia="zh-CN"/>
        </w:rPr>
      </w:pPr>
      <w:r>
        <w:rPr>
          <w:rFonts w:hint="eastAsia" w:ascii="楷体" w:hAnsi="楷体" w:eastAsia="楷体" w:cs="楷体"/>
          <w:b/>
          <w:bCs w:val="0"/>
          <w:sz w:val="32"/>
          <w:szCs w:val="32"/>
          <w:lang w:eastAsia="zh-CN"/>
        </w:rPr>
        <w:t>二、</w:t>
      </w:r>
      <w:r>
        <w:rPr>
          <w:rFonts w:hint="default" w:ascii="楷体" w:hAnsi="楷体" w:eastAsia="楷体" w:cs="楷体"/>
          <w:b/>
          <w:bCs w:val="0"/>
          <w:sz w:val="32"/>
          <w:szCs w:val="32"/>
          <w:lang w:eastAsia="zh-CN"/>
        </w:rPr>
        <w:t>监督检查内容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cs="Times New Roman"/>
          <w:szCs w:val="32"/>
          <w:lang w:val="en-US" w:eastAsia="zh-CN"/>
        </w:rPr>
        <w:t>信息安全专项检查。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val="0"/>
          <w:sz w:val="32"/>
          <w:szCs w:val="32"/>
          <w:lang w:eastAsia="zh-CN"/>
        </w:rPr>
      </w:pPr>
      <w:r>
        <w:rPr>
          <w:rFonts w:hint="eastAsia" w:ascii="楷体" w:hAnsi="楷体" w:eastAsia="楷体" w:cs="楷体"/>
          <w:b/>
          <w:bCs w:val="0"/>
          <w:sz w:val="32"/>
          <w:szCs w:val="32"/>
          <w:lang w:eastAsia="zh-CN"/>
        </w:rPr>
        <w:t>三、</w:t>
      </w:r>
      <w:r>
        <w:rPr>
          <w:rFonts w:hint="default" w:ascii="楷体" w:hAnsi="楷体" w:eastAsia="楷体" w:cs="楷体"/>
          <w:b/>
          <w:bCs w:val="0"/>
          <w:sz w:val="32"/>
          <w:szCs w:val="32"/>
          <w:lang w:eastAsia="zh-CN"/>
        </w:rPr>
        <w:t>监督检查方式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cs="Times New Roman"/>
          <w:szCs w:val="32"/>
          <w:lang w:val="en-US" w:eastAsia="zh-CN"/>
        </w:rPr>
        <w:t>联合区保密委、第三方机构检查。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val="0"/>
          <w:sz w:val="32"/>
          <w:szCs w:val="32"/>
          <w:lang w:eastAsia="zh-CN"/>
        </w:rPr>
      </w:pPr>
      <w:r>
        <w:rPr>
          <w:rFonts w:hint="eastAsia" w:ascii="楷体" w:hAnsi="楷体" w:eastAsia="楷体" w:cs="楷体"/>
          <w:b/>
          <w:bCs w:val="0"/>
          <w:sz w:val="32"/>
          <w:szCs w:val="32"/>
          <w:lang w:eastAsia="zh-CN"/>
        </w:rPr>
        <w:t>四、</w:t>
      </w:r>
      <w:r>
        <w:rPr>
          <w:rFonts w:hint="default" w:ascii="楷体" w:hAnsi="楷体" w:eastAsia="楷体" w:cs="楷体"/>
          <w:b/>
          <w:bCs w:val="0"/>
          <w:sz w:val="32"/>
          <w:szCs w:val="32"/>
          <w:lang w:eastAsia="zh-CN"/>
        </w:rPr>
        <w:t>监督检查措施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s="Times New Roman"/>
          <w:szCs w:val="32"/>
          <w:lang w:val="en-US" w:eastAsia="zh-CN"/>
        </w:rPr>
      </w:pPr>
      <w:r>
        <w:rPr>
          <w:rFonts w:hint="default" w:ascii="Times New Roman" w:hAnsi="Times New Roman" w:cs="Times New Roman"/>
          <w:szCs w:val="32"/>
        </w:rPr>
        <w:sym w:font="Wingdings" w:char="F081"/>
      </w:r>
      <w:r>
        <w:rPr>
          <w:rFonts w:hint="eastAsia" w:cs="Times New Roman"/>
          <w:szCs w:val="32"/>
          <w:lang w:val="en-US" w:eastAsia="zh-CN"/>
        </w:rPr>
        <w:t>检查在政务外网环境下是否能使用互联网；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default"/>
        </w:rPr>
        <w:sym w:font="Wingdings" w:char="F082"/>
      </w:r>
      <w:r>
        <w:rPr>
          <w:rFonts w:hint="eastAsia"/>
          <w:lang w:val="en-US" w:eastAsia="zh-CN"/>
        </w:rPr>
        <w:t>检查在互联网环境下是否能使用政务外网；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rPr>
      </w:pPr>
      <w:r>
        <w:rPr>
          <w:rFonts w:hint="default"/>
        </w:rPr>
        <w:sym w:font="Wingdings" w:char="F083"/>
      </w:r>
      <w:r>
        <w:rPr>
          <w:rFonts w:hint="eastAsia"/>
          <w:lang w:val="en-US" w:eastAsia="zh-CN"/>
        </w:rPr>
        <w:t>检查是否存在私接互联网的情况；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ascii="仿宋_GB2312" w:hAnsi="仿宋_GB2312" w:eastAsia="仿宋_GB2312" w:cs="仿宋_GB2312"/>
          <w:szCs w:val="32"/>
          <w:lang w:val="en-US" w:eastAsia="zh-CN"/>
        </w:rPr>
        <w:t>④</w:t>
      </w:r>
      <w:r>
        <w:rPr>
          <w:rFonts w:hint="eastAsia" w:cs="Times New Roman"/>
          <w:szCs w:val="32"/>
          <w:lang w:val="en-US" w:eastAsia="zh-CN"/>
        </w:rPr>
        <w:t>严格使用互联网，做好物理隔离。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val="0"/>
          <w:sz w:val="32"/>
          <w:szCs w:val="32"/>
          <w:lang w:eastAsia="zh-CN"/>
        </w:rPr>
      </w:pPr>
      <w:r>
        <w:rPr>
          <w:rFonts w:hint="eastAsia" w:ascii="楷体" w:hAnsi="楷体" w:eastAsia="楷体" w:cs="楷体"/>
          <w:b/>
          <w:bCs w:val="0"/>
          <w:sz w:val="32"/>
          <w:szCs w:val="32"/>
          <w:lang w:eastAsia="zh-CN"/>
        </w:rPr>
        <w:t>五、</w:t>
      </w:r>
      <w:r>
        <w:rPr>
          <w:rFonts w:hint="default" w:ascii="楷体" w:hAnsi="楷体" w:eastAsia="楷体" w:cs="楷体"/>
          <w:b/>
          <w:bCs w:val="0"/>
          <w:sz w:val="32"/>
          <w:szCs w:val="32"/>
          <w:lang w:eastAsia="zh-CN"/>
        </w:rPr>
        <w:t>监督检查程序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s="Times New Roman"/>
          <w:szCs w:val="32"/>
          <w:lang w:val="en-US" w:eastAsia="zh-CN"/>
        </w:rPr>
      </w:pPr>
      <w:r>
        <w:rPr>
          <w:rFonts w:hint="default" w:ascii="Times New Roman" w:hAnsi="Times New Roman" w:cs="Times New Roman"/>
          <w:szCs w:val="32"/>
        </w:rPr>
        <w:sym w:font="Wingdings" w:char="F081"/>
      </w:r>
      <w:r>
        <w:rPr>
          <w:rFonts w:hint="eastAsia" w:cs="Times New Roman"/>
          <w:szCs w:val="32"/>
          <w:lang w:val="en-US" w:eastAsia="zh-CN"/>
        </w:rPr>
        <w:t>下发检查通知；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default"/>
        </w:rPr>
        <w:sym w:font="Wingdings" w:char="F082"/>
      </w:r>
      <w:r>
        <w:rPr>
          <w:rFonts w:hint="eastAsia"/>
          <w:lang w:val="en-US" w:eastAsia="zh-CN"/>
        </w:rPr>
        <w:t>联合区保密委、第三方机构对全区各局办所有办公电脑及网络开展专项检查；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rPr>
      </w:pPr>
      <w:r>
        <w:rPr>
          <w:rFonts w:hint="default"/>
        </w:rPr>
        <w:sym w:font="Wingdings" w:char="F083"/>
      </w:r>
      <w:r>
        <w:rPr>
          <w:rFonts w:hint="eastAsia"/>
          <w:lang w:val="en-US" w:eastAsia="zh-CN"/>
        </w:rPr>
        <w:t>对存在问题及时解决和下发期限整改通知书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rPr>
      </w:pPr>
      <w:r>
        <w:rPr>
          <w:rFonts w:hint="eastAsia" w:ascii="仿宋_GB2312" w:hAnsi="仿宋_GB2312" w:eastAsia="仿宋_GB2312" w:cs="仿宋_GB2312"/>
          <w:szCs w:val="32"/>
          <w:lang w:val="en-US" w:eastAsia="zh-CN"/>
        </w:rPr>
        <w:t>④跟踪整改情况，净化网络环境</w:t>
      </w:r>
      <w:r>
        <w:rPr>
          <w:rFonts w:hint="eastAsia" w:cs="Times New Roman"/>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 w:hAnsi="楷体" w:eastAsia="楷体" w:cs="楷体"/>
          <w:b/>
          <w:bCs w:val="0"/>
          <w:sz w:val="32"/>
          <w:szCs w:val="32"/>
          <w:lang w:eastAsia="zh-CN"/>
        </w:rPr>
      </w:pPr>
      <w:r>
        <w:rPr>
          <w:rFonts w:hint="eastAsia" w:ascii="楷体" w:hAnsi="楷体" w:eastAsia="楷体" w:cs="楷体"/>
          <w:b/>
          <w:bCs w:val="0"/>
          <w:sz w:val="32"/>
          <w:szCs w:val="32"/>
          <w:lang w:eastAsia="zh-CN"/>
        </w:rPr>
        <w:t>六、</w:t>
      </w:r>
      <w:r>
        <w:rPr>
          <w:rFonts w:hint="default" w:ascii="楷体" w:hAnsi="楷体" w:eastAsia="楷体" w:cs="楷体"/>
          <w:b/>
          <w:bCs w:val="0"/>
          <w:sz w:val="32"/>
          <w:szCs w:val="32"/>
          <w:lang w:eastAsia="zh-CN"/>
        </w:rPr>
        <w:t>监督检查处理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对私接互联网的单位发整改通知书。</w:t>
      </w:r>
    </w:p>
    <w:p>
      <w:pPr>
        <w:pStyle w:val="2"/>
        <w:rPr>
          <w:rFonts w:hint="eastAsia"/>
          <w:lang w:val="en-US" w:eastAsia="zh-CN"/>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132EE"/>
    <w:multiLevelType w:val="singleLevel"/>
    <w:tmpl w:val="615132E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35112"/>
    <w:rsid w:val="0417465F"/>
    <w:rsid w:val="0CE91634"/>
    <w:rsid w:val="14E740CA"/>
    <w:rsid w:val="15140EAE"/>
    <w:rsid w:val="238034B9"/>
    <w:rsid w:val="2C8207E1"/>
    <w:rsid w:val="2CDE5E60"/>
    <w:rsid w:val="2EB04F4C"/>
    <w:rsid w:val="30C9768B"/>
    <w:rsid w:val="31D726BA"/>
    <w:rsid w:val="3A720347"/>
    <w:rsid w:val="3C5F2F4E"/>
    <w:rsid w:val="3F3B002B"/>
    <w:rsid w:val="417062F8"/>
    <w:rsid w:val="41C90D07"/>
    <w:rsid w:val="462E3CB7"/>
    <w:rsid w:val="46BF1A74"/>
    <w:rsid w:val="47192CF0"/>
    <w:rsid w:val="4B835112"/>
    <w:rsid w:val="52633E9C"/>
    <w:rsid w:val="56E1790F"/>
    <w:rsid w:val="57262A83"/>
    <w:rsid w:val="57E31E22"/>
    <w:rsid w:val="66EF04E5"/>
    <w:rsid w:val="6B073D3D"/>
    <w:rsid w:val="6E7A594E"/>
    <w:rsid w:val="6F671B92"/>
    <w:rsid w:val="78254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2021-08-06T02:24:00Z</dcterms:created>
  <dc:creator>信息中心01</dc:creator>
  <cp:lastModifiedBy>张力</cp:lastModifiedBy>
  <cp:lastPrinted>2021-08-13T09:35:00Z</cp:lastPrinted>
  <dcterms:modified xsi:type="dcterms:W3CDTF">2021-11-18T14:53:56Z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1BAF786739964DD1A24FBDCEDBEEC253</vt:lpwstr>
  </property>
</Properties>
</file>