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bCs/>
          <w:color w:val="000000" w:themeColor="text1"/>
          <w:kern w:val="0"/>
          <w:sz w:val="44"/>
          <w:szCs w:val="44"/>
        </w:rPr>
      </w:pPr>
      <w:r>
        <w:rPr>
          <w:rFonts w:hint="eastAsia" w:eastAsia="方正小标宋简体" w:cs="Times New Roman"/>
          <w:bCs/>
          <w:color w:val="000000" w:themeColor="text1"/>
          <w:kern w:val="0"/>
          <w:sz w:val="44"/>
          <w:szCs w:val="44"/>
          <w:lang w:val="en-US" w:eastAsia="zh-CN"/>
        </w:rPr>
        <w:t>三亚市海棠区行政审批服务</w:t>
      </w:r>
      <w:r>
        <w:rPr>
          <w:rFonts w:hint="default" w:ascii="Times New Roman" w:hAnsi="Times New Roman" w:eastAsia="方正小标宋简体" w:cs="Times New Roman"/>
          <w:bCs/>
          <w:color w:val="000000" w:themeColor="text1"/>
          <w:kern w:val="0"/>
          <w:sz w:val="44"/>
          <w:szCs w:val="44"/>
        </w:rPr>
        <w:t>局责任清单</w:t>
      </w:r>
    </w:p>
    <w:p>
      <w:pPr>
        <w:spacing w:line="578" w:lineRule="exact"/>
        <w:jc w:val="center"/>
        <w:rPr>
          <w:rFonts w:hint="default" w:ascii="Times New Roman" w:hAnsi="Times New Roman" w:eastAsia="黑体" w:cs="Times New Roman"/>
          <w:bCs/>
          <w:color w:val="000000" w:themeColor="text1"/>
          <w:kern w:val="0"/>
          <w:szCs w:val="32"/>
        </w:rPr>
      </w:pPr>
    </w:p>
    <w:p>
      <w:pPr>
        <w:spacing w:line="578" w:lineRule="exact"/>
        <w:jc w:val="center"/>
        <w:rPr>
          <w:rFonts w:hint="default" w:ascii="Times New Roman" w:hAnsi="Times New Roman" w:eastAsia="黑体" w:cs="Times New Roman"/>
          <w:bCs/>
          <w:color w:val="000000" w:themeColor="text1"/>
          <w:kern w:val="0"/>
          <w:szCs w:val="32"/>
        </w:rPr>
      </w:pPr>
      <w:bookmarkStart w:id="0" w:name="_GoBack"/>
      <w:bookmarkEnd w:id="0"/>
      <w:r>
        <w:rPr>
          <w:rFonts w:hint="default" w:ascii="Times New Roman" w:hAnsi="Times New Roman" w:eastAsia="黑体" w:cs="Times New Roman"/>
          <w:bCs/>
          <w:color w:val="000000" w:themeColor="text1"/>
          <w:kern w:val="0"/>
          <w:szCs w:val="32"/>
        </w:rPr>
        <w:t>目    录</w:t>
      </w:r>
    </w:p>
    <w:p>
      <w:pPr>
        <w:spacing w:line="578" w:lineRule="exact"/>
        <w:rPr>
          <w:rFonts w:hint="default" w:ascii="Times New Roman" w:hAnsi="Times New Roman" w:cs="Times New Roman"/>
          <w:bCs/>
          <w:color w:val="000000" w:themeColor="text1"/>
          <w:kern w:val="0"/>
          <w:szCs w:val="32"/>
        </w:rPr>
      </w:pPr>
      <w:r>
        <w:rPr>
          <w:rFonts w:hint="default" w:ascii="Times New Roman" w:hAnsi="Times New Roman" w:cs="Times New Roman"/>
          <w:bCs/>
          <w:color w:val="000000" w:themeColor="text1"/>
          <w:kern w:val="0"/>
          <w:szCs w:val="32"/>
        </w:rPr>
        <w:t xml:space="preserve">   </w:t>
      </w:r>
    </w:p>
    <w:p>
      <w:pPr>
        <w:spacing w:line="578" w:lineRule="exact"/>
        <w:ind w:firstLine="640" w:firstLineChars="200"/>
        <w:rPr>
          <w:rFonts w:hint="eastAsia" w:ascii="仿宋_GB2312" w:hAnsi="仿宋_GB2312" w:eastAsia="仿宋_GB2312" w:cs="仿宋_GB2312"/>
          <w:bCs/>
          <w:color w:val="000000" w:themeColor="text1"/>
          <w:kern w:val="0"/>
          <w:szCs w:val="32"/>
        </w:rPr>
      </w:pPr>
      <w:r>
        <w:rPr>
          <w:rFonts w:hint="eastAsia" w:ascii="仿宋_GB2312" w:hAnsi="仿宋_GB2312" w:eastAsia="仿宋_GB2312" w:cs="仿宋_GB2312"/>
          <w:bCs/>
          <w:color w:val="000000" w:themeColor="text1"/>
          <w:kern w:val="0"/>
          <w:szCs w:val="32"/>
        </w:rPr>
        <w:t>一、部门职责登记表</w:t>
      </w:r>
    </w:p>
    <w:p>
      <w:pPr>
        <w:spacing w:line="578" w:lineRule="exact"/>
        <w:rPr>
          <w:rFonts w:hint="default" w:ascii="Times New Roman" w:hAnsi="Times New Roman" w:cs="Times New Roman" w:eastAsiaTheme="minorEastAsia"/>
          <w:bCs/>
          <w:color w:val="000000" w:themeColor="text1"/>
          <w:sz w:val="24"/>
          <w:szCs w:val="24"/>
        </w:rPr>
      </w:pPr>
    </w:p>
    <w:p>
      <w:pPr>
        <w:pStyle w:val="2"/>
        <w:rPr>
          <w:rFonts w:hint="default"/>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0" w:lineRule="atLeast"/>
        <w:jc w:val="left"/>
        <w:rPr>
          <w:rFonts w:hint="default" w:ascii="Times New Roman" w:hAnsi="Times New Roman" w:cs="Times New Roman"/>
        </w:rPr>
      </w:pPr>
    </w:p>
    <w:p>
      <w:pPr>
        <w:pStyle w:val="2"/>
        <w:rPr>
          <w:rFonts w:hint="default"/>
        </w:rPr>
      </w:pPr>
    </w:p>
    <w:p>
      <w:pPr>
        <w:rPr>
          <w:rFonts w:hint="default"/>
        </w:rPr>
      </w:pPr>
    </w:p>
    <w:p>
      <w:pPr>
        <w:pStyle w:val="2"/>
        <w:rPr>
          <w:rFonts w:hint="default" w:ascii="Times New Roman" w:hAnsi="Times New Roman" w:cs="Times New Roman"/>
        </w:rPr>
      </w:pPr>
    </w:p>
    <w:p>
      <w:pPr>
        <w:rPr>
          <w:rFonts w:hint="eastAsia" w:cs="Times New Roman"/>
          <w:lang w:eastAsia="zh-CN"/>
        </w:rPr>
      </w:pPr>
    </w:p>
    <w:p>
      <w:pPr>
        <w:pStyle w:val="2"/>
        <w:rPr>
          <w:rFonts w:hint="eastAsia"/>
          <w:lang w:eastAsia="zh-CN"/>
        </w:rPr>
      </w:pPr>
    </w:p>
    <w:p>
      <w:pPr>
        <w:numPr>
          <w:ilvl w:val="0"/>
          <w:numId w:val="0"/>
        </w:numPr>
        <w:jc w:val="center"/>
        <w:rPr>
          <w:rFonts w:hint="eastAsia"/>
          <w:sz w:val="32"/>
          <w:szCs w:val="32"/>
          <w:lang w:val="en-US" w:eastAsia="zh-CN"/>
        </w:rPr>
      </w:pPr>
      <w:r>
        <w:rPr>
          <w:rFonts w:hint="eastAsia" w:ascii="黑体" w:hAnsi="黑体" w:eastAsia="黑体" w:cs="黑体"/>
          <w:sz w:val="32"/>
          <w:szCs w:val="32"/>
          <w:lang w:val="en-US" w:eastAsia="zh-CN"/>
        </w:rPr>
        <w:t>一、部门职责登记表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23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序号</w:t>
            </w:r>
          </w:p>
        </w:tc>
        <w:tc>
          <w:tcPr>
            <w:tcW w:w="3239" w:type="dxa"/>
            <w:vAlign w:val="center"/>
          </w:tcPr>
          <w:p>
            <w:p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主要职责</w:t>
            </w:r>
          </w:p>
        </w:tc>
        <w:tc>
          <w:tcPr>
            <w:tcW w:w="2131" w:type="dxa"/>
            <w:vAlign w:val="center"/>
          </w:tcPr>
          <w:p>
            <w:p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具体事项</w:t>
            </w:r>
          </w:p>
        </w:tc>
        <w:tc>
          <w:tcPr>
            <w:tcW w:w="2131" w:type="dxa"/>
            <w:vAlign w:val="center"/>
          </w:tcPr>
          <w:p>
            <w:p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1021" w:type="dxa"/>
            <w:vMerge w:val="restart"/>
            <w:vAlign w:val="center"/>
          </w:tcPr>
          <w:p>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239" w:type="dxa"/>
            <w:vMerge w:val="restart"/>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贯彻落实党和国家、省市有关行政审批工作的方针政策、法律法规、执行市委市政府、区委区政府的决策部署和中国（海南）自由贸易试验区、中国特色自由贸易港的政策措施。</w:t>
            </w: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p>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贯彻落实党和国家、省市有关行政审批工作的方针政策、法律法规，以习近平新时代中国特色社会主义思想指导区行政审批服务局各项工作。</w:t>
            </w:r>
          </w:p>
          <w:p>
            <w:pPr>
              <w:spacing w:line="240" w:lineRule="auto"/>
              <w:jc w:val="both"/>
              <w:rPr>
                <w:rFonts w:hint="eastAsia" w:ascii="仿宋_GB2312" w:hAnsi="仿宋_GB2312" w:eastAsia="仿宋_GB2312" w:cs="仿宋_GB2312"/>
                <w:sz w:val="24"/>
                <w:szCs w:val="24"/>
                <w:vertAlign w:val="baseline"/>
                <w:lang w:val="en-US" w:eastAsia="zh-CN"/>
              </w:rPr>
            </w:pP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021" w:type="dxa"/>
            <w:vMerge w:val="continue"/>
            <w:vAlign w:val="center"/>
          </w:tcPr>
          <w:p>
            <w:pPr>
              <w:spacing w:line="240" w:lineRule="auto"/>
              <w:jc w:val="center"/>
              <w:rPr>
                <w:rFonts w:hint="eastAsia" w:ascii="仿宋_GB2312" w:hAnsi="仿宋_GB2312" w:eastAsia="仿宋_GB2312" w:cs="仿宋_GB2312"/>
                <w:sz w:val="24"/>
                <w:szCs w:val="24"/>
                <w:vertAlign w:val="baseline"/>
                <w:lang w:val="en-US" w:eastAsia="zh-CN"/>
              </w:rPr>
            </w:pPr>
          </w:p>
        </w:tc>
        <w:tc>
          <w:tcPr>
            <w:tcW w:w="3239" w:type="dxa"/>
            <w:vMerge w:val="continue"/>
            <w:vAlign w:val="center"/>
          </w:tcPr>
          <w:p>
            <w:pPr>
              <w:spacing w:line="240" w:lineRule="auto"/>
              <w:jc w:val="both"/>
              <w:rPr>
                <w:rFonts w:hint="eastAsia" w:ascii="仿宋_GB2312" w:hAnsi="仿宋_GB2312" w:eastAsia="仿宋_GB2312" w:cs="仿宋_GB2312"/>
                <w:sz w:val="24"/>
                <w:szCs w:val="24"/>
                <w:vertAlign w:val="baseline"/>
                <w:lang w:val="en-US" w:eastAsia="zh-CN"/>
              </w:rPr>
            </w:pP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执行市委市政府、区委区政府的决策部署和中国（海南）自由贸易试验区、中国特色自由贸易港的政策措施。</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21" w:type="dxa"/>
            <w:vMerge w:val="restart"/>
            <w:vAlign w:val="center"/>
          </w:tcPr>
          <w:p>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239" w:type="dxa"/>
            <w:vMerge w:val="restart"/>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负责建立健全区行政审批工作机制并组织实施。研究提出区推进中国（海南）自由贸易港试验区、中国特色自由贸易港建设有关行政审批方面的意见。</w:t>
            </w: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负责建立健全区行政审批工作机制并组织实施。</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vMerge w:val="continue"/>
            <w:vAlign w:val="center"/>
          </w:tcPr>
          <w:p>
            <w:pPr>
              <w:spacing w:line="240" w:lineRule="auto"/>
              <w:jc w:val="center"/>
              <w:rPr>
                <w:rFonts w:hint="eastAsia" w:ascii="仿宋_GB2312" w:hAnsi="仿宋_GB2312" w:eastAsia="仿宋_GB2312" w:cs="仿宋_GB2312"/>
                <w:sz w:val="24"/>
                <w:szCs w:val="24"/>
                <w:vertAlign w:val="baseline"/>
                <w:lang w:val="en-US" w:eastAsia="zh-CN"/>
              </w:rPr>
            </w:pPr>
          </w:p>
        </w:tc>
        <w:tc>
          <w:tcPr>
            <w:tcW w:w="3239" w:type="dxa"/>
            <w:vMerge w:val="continue"/>
            <w:vAlign w:val="center"/>
          </w:tcPr>
          <w:p>
            <w:pPr>
              <w:spacing w:line="240" w:lineRule="auto"/>
              <w:jc w:val="both"/>
              <w:rPr>
                <w:rFonts w:hint="eastAsia" w:ascii="仿宋_GB2312" w:hAnsi="仿宋_GB2312" w:eastAsia="仿宋_GB2312" w:cs="仿宋_GB2312"/>
                <w:sz w:val="24"/>
                <w:szCs w:val="24"/>
                <w:vertAlign w:val="baseline"/>
                <w:lang w:val="en-US" w:eastAsia="zh-CN"/>
              </w:rPr>
            </w:pP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研究提出区推进中国（海南）自由贸易港试验区、中国特色自由贸易港建设有关行政审批方面的意见。</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21" w:type="dxa"/>
            <w:vMerge w:val="restart"/>
            <w:vAlign w:val="center"/>
          </w:tcPr>
          <w:p>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239" w:type="dxa"/>
            <w:vMerge w:val="restart"/>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研究和探索区行政审批制度改革、规范审批行为，建立和完善政务服务机制。</w:t>
            </w: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指导全区范围内开展精简审批项目、审批流程再造、推动全区形成统一标准。</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21" w:type="dxa"/>
            <w:vMerge w:val="continue"/>
            <w:vAlign w:val="center"/>
          </w:tcPr>
          <w:p>
            <w:pPr>
              <w:spacing w:line="240" w:lineRule="auto"/>
              <w:jc w:val="center"/>
              <w:rPr>
                <w:rFonts w:hint="eastAsia" w:ascii="仿宋_GB2312" w:hAnsi="仿宋_GB2312" w:eastAsia="仿宋_GB2312" w:cs="仿宋_GB2312"/>
                <w:sz w:val="24"/>
                <w:szCs w:val="24"/>
                <w:vertAlign w:val="baseline"/>
                <w:lang w:val="en-US" w:eastAsia="zh-CN"/>
              </w:rPr>
            </w:pPr>
          </w:p>
        </w:tc>
        <w:tc>
          <w:tcPr>
            <w:tcW w:w="3239" w:type="dxa"/>
            <w:vMerge w:val="continue"/>
            <w:vAlign w:val="center"/>
          </w:tcPr>
          <w:p>
            <w:pPr>
              <w:spacing w:line="240" w:lineRule="auto"/>
              <w:jc w:val="both"/>
              <w:rPr>
                <w:rFonts w:hint="eastAsia" w:ascii="仿宋_GB2312" w:hAnsi="仿宋_GB2312" w:eastAsia="仿宋_GB2312" w:cs="仿宋_GB2312"/>
                <w:sz w:val="24"/>
                <w:szCs w:val="24"/>
                <w:vertAlign w:val="baseline"/>
                <w:lang w:val="en-US" w:eastAsia="zh-CN"/>
              </w:rPr>
            </w:pP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指导规范行政许可受理场所建设与管理等工作。</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021" w:type="dxa"/>
            <w:vAlign w:val="center"/>
          </w:tcPr>
          <w:p>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239"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履行区级各职能部门划转的行政审批及有关行政服务事项。</w:t>
            </w: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履行区级各职能部门划转的行政审批及有关行政服务事项。</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021" w:type="dxa"/>
            <w:vMerge w:val="restart"/>
            <w:vAlign w:val="center"/>
          </w:tcPr>
          <w:p>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239" w:type="dxa"/>
            <w:vMerge w:val="restart"/>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负责指导区政务大厅、社区（村、居）便民服务站的审批服务工作，推进行政审批和行政服务标准化建设，优化行政审批服务事项流程，解决政务服务办理事项中存在的问题。</w:t>
            </w: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指导区政务大厅、村居便民服务站审批服务工作。</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021" w:type="dxa"/>
            <w:vMerge w:val="continue"/>
            <w:vAlign w:val="center"/>
          </w:tcPr>
          <w:p>
            <w:pPr>
              <w:spacing w:line="240" w:lineRule="auto"/>
              <w:jc w:val="center"/>
              <w:rPr>
                <w:rFonts w:hint="eastAsia" w:ascii="仿宋_GB2312" w:hAnsi="仿宋_GB2312" w:eastAsia="仿宋_GB2312" w:cs="仿宋_GB2312"/>
                <w:sz w:val="24"/>
                <w:szCs w:val="24"/>
                <w:vertAlign w:val="baseline"/>
                <w:lang w:val="en-US" w:eastAsia="zh-CN"/>
              </w:rPr>
            </w:pPr>
          </w:p>
        </w:tc>
        <w:tc>
          <w:tcPr>
            <w:tcW w:w="3239" w:type="dxa"/>
            <w:vMerge w:val="continue"/>
            <w:vAlign w:val="center"/>
          </w:tcPr>
          <w:p>
            <w:pPr>
              <w:spacing w:line="240" w:lineRule="auto"/>
              <w:jc w:val="both"/>
              <w:rPr>
                <w:rFonts w:hint="eastAsia" w:ascii="仿宋_GB2312" w:hAnsi="仿宋_GB2312" w:eastAsia="仿宋_GB2312" w:cs="仿宋_GB2312"/>
                <w:sz w:val="24"/>
                <w:szCs w:val="24"/>
                <w:vertAlign w:val="baseline"/>
                <w:lang w:val="en-US" w:eastAsia="zh-CN"/>
              </w:rPr>
            </w:pP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制定行政审批制度，优化行政审批流程。</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21" w:type="dxa"/>
            <w:vMerge w:val="restart"/>
            <w:vAlign w:val="center"/>
          </w:tcPr>
          <w:p>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3239" w:type="dxa"/>
            <w:vMerge w:val="restart"/>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负责政务服务效能监督工作，统一受理全区政务服务方面的投诉、咨询和信访工作。</w:t>
            </w: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建立完善“好差评”制度，处理政务服务相关投诉。</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21" w:type="dxa"/>
            <w:vMerge w:val="continue"/>
            <w:vAlign w:val="center"/>
          </w:tcPr>
          <w:p>
            <w:pPr>
              <w:spacing w:line="240" w:lineRule="auto"/>
              <w:jc w:val="center"/>
              <w:rPr>
                <w:rFonts w:hint="eastAsia" w:ascii="仿宋_GB2312" w:hAnsi="仿宋_GB2312" w:eastAsia="仿宋_GB2312" w:cs="仿宋_GB2312"/>
                <w:sz w:val="24"/>
                <w:szCs w:val="24"/>
                <w:vertAlign w:val="baseline"/>
                <w:lang w:val="en-US" w:eastAsia="zh-CN"/>
              </w:rPr>
            </w:pPr>
          </w:p>
        </w:tc>
        <w:tc>
          <w:tcPr>
            <w:tcW w:w="3239" w:type="dxa"/>
            <w:vMerge w:val="continue"/>
            <w:vAlign w:val="center"/>
          </w:tcPr>
          <w:p>
            <w:pPr>
              <w:spacing w:line="240" w:lineRule="auto"/>
              <w:jc w:val="both"/>
              <w:rPr>
                <w:rFonts w:hint="eastAsia" w:ascii="仿宋_GB2312" w:hAnsi="仿宋_GB2312" w:eastAsia="仿宋_GB2312" w:cs="仿宋_GB2312"/>
                <w:sz w:val="24"/>
                <w:szCs w:val="24"/>
                <w:vertAlign w:val="baseline"/>
                <w:lang w:val="en-US" w:eastAsia="zh-CN"/>
              </w:rPr>
            </w:pP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做好“互联网+业务”监管工作。</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021" w:type="dxa"/>
            <w:vMerge w:val="restart"/>
            <w:vAlign w:val="center"/>
          </w:tcPr>
          <w:p>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3239" w:type="dxa"/>
            <w:vMerge w:val="restart"/>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负责组织实施及协调涉及行政审批、公共服务类事项的现场勘探、技术论证和社会听证等工作。</w:t>
            </w:r>
          </w:p>
          <w:p>
            <w:pPr>
              <w:spacing w:line="240" w:lineRule="auto"/>
              <w:jc w:val="both"/>
              <w:rPr>
                <w:rFonts w:hint="eastAsia" w:ascii="仿宋_GB2312" w:hAnsi="仿宋_GB2312" w:eastAsia="仿宋_GB2312" w:cs="仿宋_GB2312"/>
                <w:sz w:val="24"/>
                <w:szCs w:val="24"/>
                <w:vertAlign w:val="baseline"/>
                <w:lang w:val="en-US" w:eastAsia="zh-CN"/>
              </w:rPr>
            </w:pPr>
          </w:p>
          <w:p>
            <w:pPr>
              <w:spacing w:line="240" w:lineRule="auto"/>
              <w:jc w:val="both"/>
              <w:rPr>
                <w:rFonts w:hint="eastAsia" w:ascii="仿宋_GB2312" w:hAnsi="仿宋_GB2312" w:eastAsia="仿宋_GB2312" w:cs="仿宋_GB2312"/>
                <w:sz w:val="24"/>
                <w:szCs w:val="24"/>
                <w:vertAlign w:val="baseline"/>
                <w:lang w:val="en-US" w:eastAsia="zh-CN"/>
              </w:rPr>
            </w:pP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负责组织实施及协调涉及区级行政审批、公共服务类事项的现场勘探、技术论证和社会听证等工作。</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pPr>
              <w:spacing w:line="240" w:lineRule="auto"/>
              <w:jc w:val="center"/>
              <w:rPr>
                <w:rFonts w:hint="eastAsia" w:ascii="仿宋_GB2312" w:hAnsi="仿宋_GB2312" w:eastAsia="仿宋_GB2312" w:cs="仿宋_GB2312"/>
                <w:sz w:val="24"/>
                <w:szCs w:val="24"/>
                <w:vertAlign w:val="baseline"/>
                <w:lang w:val="en-US" w:eastAsia="zh-CN"/>
              </w:rPr>
            </w:pPr>
          </w:p>
        </w:tc>
        <w:tc>
          <w:tcPr>
            <w:tcW w:w="3239" w:type="dxa"/>
            <w:vMerge w:val="continue"/>
            <w:vAlign w:val="center"/>
          </w:tcPr>
          <w:p>
            <w:pPr>
              <w:spacing w:line="240" w:lineRule="auto"/>
              <w:jc w:val="both"/>
              <w:rPr>
                <w:rFonts w:hint="eastAsia" w:ascii="仿宋_GB2312" w:hAnsi="仿宋_GB2312" w:eastAsia="仿宋_GB2312" w:cs="仿宋_GB2312"/>
                <w:sz w:val="24"/>
                <w:szCs w:val="24"/>
                <w:vertAlign w:val="baseline"/>
                <w:lang w:val="en-US" w:eastAsia="zh-CN"/>
              </w:rPr>
            </w:pP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负责区级行政审批服务事项的受理、审批、以及制证发放。</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pPr>
              <w:spacing w:line="240" w:lineRule="auto"/>
              <w:jc w:val="center"/>
              <w:rPr>
                <w:rFonts w:hint="eastAsia" w:ascii="仿宋_GB2312" w:hAnsi="仿宋_GB2312" w:eastAsia="仿宋_GB2312" w:cs="仿宋_GB2312"/>
                <w:sz w:val="24"/>
                <w:szCs w:val="24"/>
                <w:vertAlign w:val="baseline"/>
                <w:lang w:val="en-US" w:eastAsia="zh-CN"/>
              </w:rPr>
            </w:pPr>
          </w:p>
        </w:tc>
        <w:tc>
          <w:tcPr>
            <w:tcW w:w="3239" w:type="dxa"/>
            <w:vMerge w:val="continue"/>
            <w:vAlign w:val="center"/>
          </w:tcPr>
          <w:p>
            <w:pPr>
              <w:spacing w:line="240" w:lineRule="auto"/>
              <w:jc w:val="both"/>
              <w:rPr>
                <w:rFonts w:hint="eastAsia" w:ascii="仿宋_GB2312" w:hAnsi="仿宋_GB2312" w:eastAsia="仿宋_GB2312" w:cs="仿宋_GB2312"/>
                <w:sz w:val="24"/>
                <w:szCs w:val="24"/>
                <w:vertAlign w:val="baseline"/>
                <w:lang w:val="en-US" w:eastAsia="zh-CN"/>
              </w:rPr>
            </w:pP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负责及时向行业主管部门推送行政审批服务事项决定信息。</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21" w:type="dxa"/>
            <w:vAlign w:val="center"/>
          </w:tcPr>
          <w:p>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3239"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完成区委、区政府和上级部门交办的其他工作任务。</w:t>
            </w: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完成区委、区政府和上级部门交办的其他工作任务。</w:t>
            </w:r>
          </w:p>
        </w:tc>
        <w:tc>
          <w:tcPr>
            <w:tcW w:w="2131" w:type="dxa"/>
            <w:vAlign w:val="center"/>
          </w:tcPr>
          <w:p>
            <w:pPr>
              <w:spacing w:line="24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21" w:type="dxa"/>
            <w:vAlign w:val="center"/>
          </w:tcPr>
          <w:p>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239"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有关责任分工。按照“谁审批、谁负责”“谁主管、谁监管”的原则，区行政审批局对本部</w:t>
            </w:r>
          </w:p>
          <w:p>
            <w:pPr>
              <w:spacing w:line="240" w:lineRule="auto"/>
              <w:jc w:val="both"/>
              <w:rPr>
                <w:rFonts w:hint="eastAsia" w:ascii="仿宋_GB2312" w:hAnsi="仿宋_GB2312" w:eastAsia="仿宋_GB2312" w:cs="仿宋_GB2312"/>
                <w:sz w:val="24"/>
                <w:szCs w:val="24"/>
                <w:vertAlign w:val="baseline"/>
                <w:lang w:val="en-US" w:eastAsia="zh-CN"/>
              </w:rPr>
            </w:pPr>
          </w:p>
          <w:p>
            <w:pPr>
              <w:spacing w:line="240" w:lineRule="auto"/>
              <w:jc w:val="both"/>
              <w:rPr>
                <w:rFonts w:hint="eastAsia" w:ascii="仿宋_GB2312" w:hAnsi="仿宋_GB2312" w:eastAsia="仿宋_GB2312" w:cs="仿宋_GB2312"/>
                <w:sz w:val="24"/>
                <w:szCs w:val="24"/>
                <w:vertAlign w:val="baseline"/>
                <w:lang w:val="en-US" w:eastAsia="zh-CN"/>
              </w:rPr>
            </w:pPr>
          </w:p>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门所负责的行政审批、公共服务类事项的受理、审查、决定等环节承担主体责任，相关职能部门承担审批后监管主体责任。</w:t>
            </w:r>
          </w:p>
        </w:tc>
        <w:tc>
          <w:tcPr>
            <w:tcW w:w="2131" w:type="dxa"/>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按照“谁审批、谁负责”“谁主管、谁监管”的原则，区行政审批局对本部门所负责的行政审批、公共服务类事项的受理、审查、决定等环节承担主体责任，相关职能部门承担审批后监管主体责任。</w:t>
            </w:r>
          </w:p>
        </w:tc>
        <w:tc>
          <w:tcPr>
            <w:tcW w:w="2131" w:type="dxa"/>
            <w:vAlign w:val="center"/>
          </w:tcPr>
          <w:p>
            <w:pPr>
              <w:spacing w:line="240" w:lineRule="auto"/>
              <w:jc w:val="both"/>
              <w:rPr>
                <w:rFonts w:hint="eastAsia"/>
                <w:vertAlign w:val="baseline"/>
                <w:lang w:val="en-US" w:eastAsia="zh-CN"/>
              </w:rPr>
            </w:pPr>
          </w:p>
        </w:tc>
      </w:tr>
    </w:tbl>
    <w:p>
      <w:pPr>
        <w:rPr>
          <w:rFonts w:hint="eastAsia" w:cs="Times New Roman"/>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right" w:leader="middleDot" w:pos="8820"/>
        </w:tabs>
        <w:kinsoku/>
        <w:wordWrap w:val="0"/>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lang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307E"/>
    <w:rsid w:val="000305BE"/>
    <w:rsid w:val="005B307E"/>
    <w:rsid w:val="01546A5A"/>
    <w:rsid w:val="038C1C4C"/>
    <w:rsid w:val="04046400"/>
    <w:rsid w:val="04D84057"/>
    <w:rsid w:val="05D75994"/>
    <w:rsid w:val="05F97E29"/>
    <w:rsid w:val="066B1319"/>
    <w:rsid w:val="06970489"/>
    <w:rsid w:val="08EF55B8"/>
    <w:rsid w:val="0BB005D6"/>
    <w:rsid w:val="0C2C60CF"/>
    <w:rsid w:val="0D5374CD"/>
    <w:rsid w:val="0EDB1B8F"/>
    <w:rsid w:val="115C410F"/>
    <w:rsid w:val="11B97AB7"/>
    <w:rsid w:val="12F81701"/>
    <w:rsid w:val="1677180F"/>
    <w:rsid w:val="19006D44"/>
    <w:rsid w:val="19CC140B"/>
    <w:rsid w:val="19FB65B5"/>
    <w:rsid w:val="1A7E6B05"/>
    <w:rsid w:val="1ABB268D"/>
    <w:rsid w:val="1B6160F1"/>
    <w:rsid w:val="1D9C4C7C"/>
    <w:rsid w:val="1E14315F"/>
    <w:rsid w:val="1EC53339"/>
    <w:rsid w:val="1F576EA3"/>
    <w:rsid w:val="20004B4E"/>
    <w:rsid w:val="23082725"/>
    <w:rsid w:val="25F157DC"/>
    <w:rsid w:val="26125CFE"/>
    <w:rsid w:val="278A2D6C"/>
    <w:rsid w:val="27B6002E"/>
    <w:rsid w:val="2879640A"/>
    <w:rsid w:val="2A153C94"/>
    <w:rsid w:val="2B4757D2"/>
    <w:rsid w:val="2C74066E"/>
    <w:rsid w:val="2C9E5A7D"/>
    <w:rsid w:val="2D9C2201"/>
    <w:rsid w:val="2E8A5A97"/>
    <w:rsid w:val="306A55BB"/>
    <w:rsid w:val="307916BF"/>
    <w:rsid w:val="31054F6A"/>
    <w:rsid w:val="3289357E"/>
    <w:rsid w:val="34474E71"/>
    <w:rsid w:val="34F71425"/>
    <w:rsid w:val="35CC38AC"/>
    <w:rsid w:val="36934425"/>
    <w:rsid w:val="3AEB2DD4"/>
    <w:rsid w:val="3EBE57D9"/>
    <w:rsid w:val="415F09FC"/>
    <w:rsid w:val="424372E0"/>
    <w:rsid w:val="425D2623"/>
    <w:rsid w:val="46645C30"/>
    <w:rsid w:val="48CF2C82"/>
    <w:rsid w:val="4968669E"/>
    <w:rsid w:val="4AA80BD0"/>
    <w:rsid w:val="4FC0348D"/>
    <w:rsid w:val="50E33898"/>
    <w:rsid w:val="51D00B4C"/>
    <w:rsid w:val="53484562"/>
    <w:rsid w:val="538A6088"/>
    <w:rsid w:val="552C3857"/>
    <w:rsid w:val="558636C1"/>
    <w:rsid w:val="55F500DF"/>
    <w:rsid w:val="57C51086"/>
    <w:rsid w:val="5A3203AE"/>
    <w:rsid w:val="5EF33294"/>
    <w:rsid w:val="5EFC6DDB"/>
    <w:rsid w:val="5FD239C6"/>
    <w:rsid w:val="602A37A0"/>
    <w:rsid w:val="61EC77DF"/>
    <w:rsid w:val="62C40281"/>
    <w:rsid w:val="63151B98"/>
    <w:rsid w:val="63B75454"/>
    <w:rsid w:val="66DD5B0A"/>
    <w:rsid w:val="67211D67"/>
    <w:rsid w:val="67EF0354"/>
    <w:rsid w:val="685C1E23"/>
    <w:rsid w:val="6AC00F08"/>
    <w:rsid w:val="6AF273FB"/>
    <w:rsid w:val="70746E88"/>
    <w:rsid w:val="713820A0"/>
    <w:rsid w:val="73F47604"/>
    <w:rsid w:val="74283E20"/>
    <w:rsid w:val="75DC31CD"/>
    <w:rsid w:val="78AC6FD9"/>
    <w:rsid w:val="7A4F4F66"/>
    <w:rsid w:val="7CCC4EFA"/>
    <w:rsid w:val="7CFA3218"/>
    <w:rsid w:val="7DCB4396"/>
    <w:rsid w:val="7E434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TotalTime>0</TotalTime>
  <ScaleCrop>false</ScaleCrop>
  <LinksUpToDate>false</LinksUpToDate>
  <CharactersWithSpaces>21156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张力</cp:lastModifiedBy>
  <cp:lastPrinted>2021-07-26T07:01:00Z</cp:lastPrinted>
  <dcterms:modified xsi:type="dcterms:W3CDTF">2021-11-18T15:10:55Z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F7CDC6D287BD4737A7DCDBF9605CEC02</vt:lpwstr>
  </property>
</Properties>
</file>