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Times New Roman" w:hAnsi="Times New Roman" w:eastAsia="方正小标宋简体" w:cs="Times New Roman"/>
          <w:bCs/>
          <w:color w:val="000000"/>
          <w:kern w:val="0"/>
          <w:sz w:val="44"/>
          <w:szCs w:val="44"/>
        </w:rPr>
      </w:pPr>
      <w:r>
        <w:rPr>
          <w:rFonts w:hint="eastAsia" w:eastAsia="方正小标宋简体" w:cs="Times New Roman"/>
          <w:bCs/>
          <w:color w:val="000000"/>
          <w:kern w:val="0"/>
          <w:sz w:val="44"/>
          <w:szCs w:val="44"/>
          <w:lang w:eastAsia="zh-CN"/>
        </w:rPr>
        <w:t>三亚市海棠区审计局</w:t>
      </w:r>
      <w:r>
        <w:rPr>
          <w:rFonts w:hint="default" w:ascii="Times New Roman" w:hAnsi="Times New Roman" w:eastAsia="方正小标宋简体" w:cs="Times New Roman"/>
          <w:bCs/>
          <w:color w:val="000000"/>
          <w:kern w:val="0"/>
          <w:sz w:val="44"/>
          <w:szCs w:val="44"/>
        </w:rPr>
        <w:t>责任清单</w:t>
      </w:r>
    </w:p>
    <w:p>
      <w:pPr>
        <w:spacing w:line="578" w:lineRule="exact"/>
        <w:jc w:val="center"/>
        <w:rPr>
          <w:rFonts w:hint="default" w:ascii="Times New Roman" w:hAnsi="Times New Roman" w:eastAsia="黑体" w:cs="Times New Roman"/>
          <w:bCs/>
          <w:color w:val="000000"/>
          <w:kern w:val="0"/>
          <w:szCs w:val="32"/>
        </w:rPr>
      </w:pPr>
    </w:p>
    <w:p>
      <w:pPr>
        <w:spacing w:line="578" w:lineRule="exact"/>
        <w:jc w:val="center"/>
        <w:rPr>
          <w:rFonts w:hint="default" w:ascii="Times New Roman" w:hAnsi="Times New Roman" w:eastAsia="黑体" w:cs="Times New Roman"/>
          <w:bCs/>
          <w:color w:val="000000"/>
          <w:kern w:val="0"/>
          <w:szCs w:val="32"/>
        </w:rPr>
      </w:pPr>
      <w:r>
        <w:rPr>
          <w:rFonts w:hint="default" w:ascii="Times New Roman" w:hAnsi="Times New Roman" w:eastAsia="黑体" w:cs="Times New Roman"/>
          <w:bCs/>
          <w:color w:val="000000"/>
          <w:kern w:val="0"/>
          <w:szCs w:val="32"/>
        </w:rPr>
        <w:t>目    录</w:t>
      </w:r>
    </w:p>
    <w:p>
      <w:pPr>
        <w:spacing w:line="578" w:lineRule="exact"/>
        <w:rPr>
          <w:rFonts w:hint="default" w:ascii="Times New Roman" w:hAnsi="Times New Roman" w:cs="Times New Roman"/>
          <w:bCs/>
          <w:color w:val="000000"/>
          <w:kern w:val="0"/>
          <w:szCs w:val="32"/>
        </w:rPr>
      </w:pPr>
      <w:r>
        <w:rPr>
          <w:rFonts w:hint="default" w:ascii="Times New Roman" w:hAnsi="Times New Roman" w:cs="Times New Roman"/>
          <w:bCs/>
          <w:color w:val="000000"/>
          <w:kern w:val="0"/>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一、部门职责登记表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二、与相关部门的职责边界表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三、事中事后监管制度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0"/>
          <w:szCs w:val="30"/>
        </w:rPr>
        <w:t>（一）</w:t>
      </w:r>
      <w:r>
        <w:rPr>
          <w:rFonts w:hint="eastAsia" w:ascii="仿宋_GB2312" w:hAnsi="仿宋_GB2312" w:eastAsia="仿宋_GB2312" w:cs="仿宋_GB2312"/>
          <w:b w:val="0"/>
          <w:bCs/>
          <w:sz w:val="30"/>
          <w:szCs w:val="30"/>
          <w:lang w:eastAsia="zh-CN"/>
        </w:rPr>
        <w:t>对审计整改的对象进行监督检查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eastAsia" w:ascii="仿宋_GB2312" w:hAnsi="仿宋_GB2312" w:eastAsia="仿宋_GB2312" w:cs="仿宋_GB2312"/>
          <w:bCs/>
          <w:color w:val="000000"/>
          <w:sz w:val="32"/>
          <w:szCs w:val="32"/>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ascii="Times New Roman" w:hAnsi="Times New Roman" w:eastAsia="宋体" w:cs="Times New Roman"/>
          <w:bCs/>
          <w:color w:val="000000"/>
          <w:sz w:val="24"/>
          <w:szCs w:val="24"/>
        </w:rPr>
      </w:pPr>
    </w:p>
    <w:p>
      <w:pPr>
        <w:rPr>
          <w:rFonts w:hint="default" w:ascii="Times New Roman" w:hAnsi="Times New Roman" w:eastAsia="宋体" w:cs="Times New Roman"/>
          <w:bCs/>
          <w:color w:val="000000"/>
          <w:sz w:val="24"/>
          <w:szCs w:val="24"/>
        </w:rPr>
      </w:pPr>
    </w:p>
    <w:p>
      <w:pPr>
        <w:pStyle w:val="2"/>
        <w:rPr>
          <w:rFonts w:hint="default"/>
        </w:rPr>
      </w:pPr>
    </w:p>
    <w:p>
      <w:pPr>
        <w:pStyle w:val="2"/>
        <w:rPr>
          <w:rFonts w:hint="default"/>
        </w:rPr>
      </w:pPr>
    </w:p>
    <w:p>
      <w:pPr>
        <w:rPr>
          <w:rFonts w:hint="default"/>
        </w:rPr>
      </w:pPr>
    </w:p>
    <w:p>
      <w:pPr>
        <w:pStyle w:val="2"/>
        <w:rPr>
          <w:rFonts w:hint="default"/>
        </w:rPr>
      </w:pPr>
    </w:p>
    <w:p>
      <w:pPr>
        <w:numPr>
          <w:ilvl w:val="0"/>
          <w:numId w:val="1"/>
        </w:numPr>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rPr>
        <w:t>部门职责</w:t>
      </w:r>
      <w:r>
        <w:rPr>
          <w:rFonts w:hint="eastAsia" w:ascii="黑体" w:hAnsi="黑体" w:eastAsia="黑体" w:cs="黑体"/>
          <w:b w:val="0"/>
          <w:bCs/>
          <w:sz w:val="32"/>
          <w:szCs w:val="32"/>
          <w:lang w:eastAsia="zh-CN"/>
        </w:rPr>
        <w:t>登记表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rPr>
      </w:pP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983"/>
        <w:gridCol w:w="4667"/>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序号</w:t>
            </w:r>
          </w:p>
        </w:tc>
        <w:tc>
          <w:tcPr>
            <w:tcW w:w="29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主要职责</w:t>
            </w:r>
          </w:p>
        </w:tc>
        <w:tc>
          <w:tcPr>
            <w:tcW w:w="46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具体事项</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18"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983"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在中共三亚市海棠区委审计委员会的直接领导下，认真履行好海棠区委审计委员会办公室工作细则规定的各项工作职责。</w:t>
            </w: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负责处理区委审计委员会的日常事务工作，协助监督有关方面落实委员会决定事项、安排部署和工作要求，组织研究具体贯彻措施，向委员会提出工作建议。</w:t>
            </w:r>
          </w:p>
        </w:tc>
        <w:tc>
          <w:tcPr>
            <w:tcW w:w="818" w:type="dxa"/>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18"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983"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贯彻落实党和国家、省市有关审计工作的方针政策、法律法规，执行市委市政府、区委区政府的决策部署和中国（海南）自由贸易试验区、中国特色自由贸易港的政策措施。</w:t>
            </w: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贯彻落实上级部门有关审计工作的方针政策和法律法规。</w:t>
            </w:r>
          </w:p>
        </w:tc>
        <w:tc>
          <w:tcPr>
            <w:tcW w:w="818" w:type="dxa"/>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818"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983"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研究拟定并组织实施本区审计工作的规划和措施。研究推进审计改革，研究提出中国（海南）自由贸易试验区、中国特色自由贸易港审计工作方面的意见和建议。</w:t>
            </w:r>
          </w:p>
        </w:tc>
        <w:tc>
          <w:tcPr>
            <w:tcW w:w="4667" w:type="dxa"/>
            <w:tcBorders>
              <w:top w:val="single" w:color="auto" w:sz="4" w:space="0"/>
              <w:left w:val="single" w:color="auto" w:sz="4" w:space="0"/>
              <w:right w:val="single" w:color="auto" w:sz="4" w:space="0"/>
            </w:tcBorders>
            <w:vAlign w:val="center"/>
          </w:tcPr>
          <w:p>
            <w:pPr>
              <w:tabs>
                <w:tab w:val="left" w:pos="1124"/>
              </w:tabs>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研究拟定</w:t>
            </w:r>
            <w:r>
              <w:rPr>
                <w:rFonts w:hint="eastAsia" w:ascii="仿宋_GB2312" w:hAnsi="仿宋_GB2312" w:eastAsia="仿宋_GB2312" w:cs="仿宋_GB2312"/>
                <w:kern w:val="0"/>
                <w:sz w:val="24"/>
                <w:szCs w:val="24"/>
              </w:rPr>
              <w:t>并组织实施全区审计工作发展规划，</w:t>
            </w:r>
            <w:r>
              <w:rPr>
                <w:rFonts w:hint="eastAsia" w:ascii="仿宋_GB2312" w:hAnsi="仿宋_GB2312" w:eastAsia="仿宋_GB2312" w:cs="仿宋_GB2312"/>
                <w:kern w:val="0"/>
                <w:sz w:val="24"/>
                <w:szCs w:val="24"/>
                <w:lang w:eastAsia="zh-CN"/>
              </w:rPr>
              <w:t>拟定</w:t>
            </w:r>
            <w:r>
              <w:rPr>
                <w:rFonts w:hint="eastAsia" w:ascii="仿宋_GB2312" w:hAnsi="仿宋_GB2312" w:eastAsia="仿宋_GB2312" w:cs="仿宋_GB2312"/>
                <w:kern w:val="0"/>
                <w:sz w:val="24"/>
                <w:szCs w:val="24"/>
              </w:rPr>
              <w:t>并组织实施年度审计计划</w:t>
            </w:r>
            <w:r>
              <w:rPr>
                <w:rFonts w:hint="eastAsia" w:ascii="仿宋_GB2312" w:hAnsi="仿宋_GB2312" w:eastAsia="仿宋_GB2312" w:cs="仿宋_GB2312"/>
                <w:kern w:val="0"/>
                <w:sz w:val="24"/>
                <w:szCs w:val="24"/>
                <w:lang w:eastAsia="zh-CN"/>
              </w:rPr>
              <w:t>。</w:t>
            </w:r>
          </w:p>
        </w:tc>
        <w:tc>
          <w:tcPr>
            <w:tcW w:w="818" w:type="dxa"/>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18"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983"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对区级财政收支、区政府财政收支和法律法规规定属于审计监督范围的财务收支的真实、合法和效益进行审计监督，对有关重大政策措施落实情况进行跟踪审计，对直接审计、调查和核查的事项依法进行审计评价，作出审计决定或提出审计建议，对审计、专项审计调查的结果承担责任，并负有督促被审计单位整改的责任。</w:t>
            </w: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对区级财政收支</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区政府财政收支和法律法规规定属于审计监督范围的财务收支的真实性、合法性和效益性进行审计监督</w:t>
            </w:r>
            <w:r>
              <w:rPr>
                <w:rFonts w:hint="eastAsia" w:ascii="仿宋_GB2312" w:hAnsi="仿宋_GB2312" w:eastAsia="仿宋_GB2312" w:cs="仿宋_GB2312"/>
                <w:kern w:val="0"/>
                <w:sz w:val="24"/>
                <w:szCs w:val="24"/>
                <w:lang w:eastAsia="zh-CN"/>
              </w:rPr>
              <w:t>。</w:t>
            </w:r>
          </w:p>
        </w:tc>
        <w:tc>
          <w:tcPr>
            <w:tcW w:w="818" w:type="dxa"/>
            <w:vMerge w:val="restart"/>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8"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983" w:type="dxa"/>
            <w:vMerge w:val="continue"/>
            <w:tcBorders>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p>
        </w:tc>
        <w:tc>
          <w:tcPr>
            <w:tcW w:w="4667" w:type="dxa"/>
            <w:tcBorders>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对有关重大政策措施落实情况进行跟踪审计</w:t>
            </w:r>
            <w:r>
              <w:rPr>
                <w:rFonts w:hint="eastAsia" w:ascii="仿宋_GB2312" w:hAnsi="仿宋_GB2312" w:eastAsia="仿宋_GB2312" w:cs="仿宋_GB2312"/>
                <w:kern w:val="0"/>
                <w:sz w:val="24"/>
                <w:szCs w:val="24"/>
                <w:lang w:eastAsia="zh-CN"/>
              </w:rPr>
              <w:t>。</w:t>
            </w:r>
          </w:p>
        </w:tc>
        <w:tc>
          <w:tcPr>
            <w:tcW w:w="818" w:type="dxa"/>
            <w:vMerge w:val="continue"/>
            <w:tcBorders>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8"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983" w:type="dxa"/>
            <w:vMerge w:val="continue"/>
            <w:tcBorders>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p>
        </w:tc>
        <w:tc>
          <w:tcPr>
            <w:tcW w:w="4667" w:type="dxa"/>
            <w:tcBorders>
              <w:left w:val="single" w:color="auto" w:sz="4" w:space="0"/>
              <w:right w:val="single" w:color="auto" w:sz="4" w:space="0"/>
            </w:tcBorders>
            <w:vAlign w:val="center"/>
          </w:tcPr>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对直接审计的项目出具审计报告。</w:t>
            </w:r>
          </w:p>
        </w:tc>
        <w:tc>
          <w:tcPr>
            <w:tcW w:w="818" w:type="dxa"/>
            <w:vMerge w:val="continue"/>
            <w:tcBorders>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8"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983" w:type="dxa"/>
            <w:vMerge w:val="continue"/>
            <w:tcBorders>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p>
        </w:tc>
        <w:tc>
          <w:tcPr>
            <w:tcW w:w="4667" w:type="dxa"/>
            <w:tcBorders>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督促被审计单位整改</w:t>
            </w:r>
            <w:r>
              <w:rPr>
                <w:rFonts w:hint="eastAsia" w:ascii="仿宋_GB2312" w:hAnsi="仿宋_GB2312" w:eastAsia="仿宋_GB2312" w:cs="仿宋_GB2312"/>
                <w:kern w:val="0"/>
                <w:sz w:val="24"/>
                <w:szCs w:val="24"/>
                <w:lang w:eastAsia="zh-CN"/>
              </w:rPr>
              <w:t>。</w:t>
            </w:r>
          </w:p>
        </w:tc>
        <w:tc>
          <w:tcPr>
            <w:tcW w:w="818" w:type="dxa"/>
            <w:vMerge w:val="continue"/>
            <w:tcBorders>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983"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向中共三亚市海棠区委审计委员会提出年度区级预算执行和其他财政支出情况审计报告。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级有关部门通报审计情况和审计结果。</w:t>
            </w: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向区委审计委员会提出年度区级预算执行和其他财政支出情况审计报告</w:t>
            </w:r>
            <w:r>
              <w:rPr>
                <w:rFonts w:hint="eastAsia" w:ascii="仿宋_GB2312" w:hAnsi="仿宋_GB2312" w:eastAsia="仿宋_GB2312" w:cs="仿宋_GB2312"/>
                <w:kern w:val="0"/>
                <w:sz w:val="24"/>
                <w:szCs w:val="24"/>
                <w:lang w:eastAsia="zh-CN"/>
              </w:rPr>
              <w:t>；</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向区政府和市审计局提出年度区级预算执行和其他财政收支情况的审计结果报告</w:t>
            </w:r>
            <w:r>
              <w:rPr>
                <w:rFonts w:hint="eastAsia" w:ascii="仿宋_GB2312" w:hAnsi="仿宋_GB2312" w:eastAsia="仿宋_GB2312" w:cs="仿宋_GB2312"/>
                <w:kern w:val="0"/>
                <w:sz w:val="24"/>
                <w:szCs w:val="24"/>
                <w:lang w:eastAsia="zh-CN"/>
              </w:rPr>
              <w:t>；</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受区政府委托向区人大常委会提出区级预算执行和其他财政收支情况的审计工作报告、审计查出问题整改情况报告</w:t>
            </w:r>
            <w:r>
              <w:rPr>
                <w:rFonts w:hint="eastAsia" w:ascii="仿宋_GB2312" w:hAnsi="仿宋_GB2312" w:eastAsia="仿宋_GB2312" w:cs="仿宋_GB2312"/>
                <w:kern w:val="0"/>
                <w:sz w:val="24"/>
                <w:szCs w:val="24"/>
                <w:lang w:eastAsia="zh-CN"/>
              </w:rPr>
              <w:t>；</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向区委、区政府报告对其他事项的审计和专项审计调查情况及结果；</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向区级有关部门通报审计情况和审计结果。</w:t>
            </w:r>
          </w:p>
        </w:tc>
        <w:tc>
          <w:tcPr>
            <w:tcW w:w="818" w:type="dxa"/>
            <w:tcBorders>
              <w:top w:val="single" w:color="auto" w:sz="4" w:space="0"/>
              <w:left w:val="single" w:color="auto" w:sz="4" w:space="0"/>
              <w:right w:val="single" w:color="auto" w:sz="4" w:space="0"/>
            </w:tcBorders>
            <w:vAlign w:val="center"/>
          </w:tcPr>
          <w:p>
            <w:pPr>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8"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983" w:type="dxa"/>
            <w:tcBorders>
              <w:top w:val="single" w:color="auto" w:sz="4" w:space="0"/>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依法直接审计下列事项，出具审计报告，在法定职权范围内作出审计决定。</w:t>
            </w: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（1）有关重大政策措施贯彻落实情况。</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（2）区本级预算执行情况、决算草案和其他财政收支，区级各部门、直属事业单位以及下属事业单位财政预算的执行情况、决算草案和其他财政收支。</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（3）使用区财政资金的事业单位和社会团体的财务收支。</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（4）区本级投资和以区本级投资为主的建设项目的预算执行情况和决算。</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（5）自然资源管理、污染防治和生态保护与修复情况。</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（6）区属国有企业和区属国有资本占控股或主导地位的企业资产、负债和损益。</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（7）区政府管理和其他受区政府及其部门委托管理的社会保障基金、社会捐赠资金及其他有关基金、资金的财务收支。</w:t>
            </w:r>
          </w:p>
          <w:p>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（8）法律、行政法规规定应当由区审计机关进行审计的其他事项。</w:t>
            </w:r>
          </w:p>
        </w:tc>
        <w:tc>
          <w:tcPr>
            <w:tcW w:w="818" w:type="dxa"/>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18"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983" w:type="dxa"/>
            <w:tcBorders>
              <w:top w:val="single" w:color="auto" w:sz="4" w:space="0"/>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按规定对区科级党政主要负责人及依法属于区审计局审计监督对象的其他单位主要负责人实施经济责任审计及自然资源资产离任审计。</w:t>
            </w: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组织实施区科级党政主要负责人及依法属于区审计局审计监督对象的其他单位主要负责人实施经济责任审计及自然资源资产离任审计。</w:t>
            </w:r>
          </w:p>
        </w:tc>
        <w:tc>
          <w:tcPr>
            <w:tcW w:w="818" w:type="dxa"/>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18"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983" w:type="dxa"/>
            <w:vMerge w:val="restart"/>
            <w:tcBorders>
              <w:top w:val="single" w:color="auto" w:sz="4" w:space="0"/>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组织实施对财经法律法规、规章、政策和宏观调控措施执行情况、财政预算管理及国有资产管理使用等与财政收支有关的特定事项进行专项审计调查。</w:t>
            </w: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对财经法律、法规、规章、政策和宏观调控措施执行情况组织专项审计调查</w:t>
            </w:r>
            <w:r>
              <w:rPr>
                <w:rFonts w:hint="eastAsia" w:ascii="仿宋_GB2312" w:hAnsi="仿宋_GB2312" w:eastAsia="仿宋_GB2312" w:cs="仿宋_GB2312"/>
                <w:kern w:val="0"/>
                <w:sz w:val="24"/>
                <w:szCs w:val="24"/>
                <w:lang w:eastAsia="zh-CN"/>
              </w:rPr>
              <w:t>。</w:t>
            </w:r>
          </w:p>
        </w:tc>
        <w:tc>
          <w:tcPr>
            <w:tcW w:w="818" w:type="dxa"/>
            <w:vMerge w:val="restart"/>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18"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983" w:type="dxa"/>
            <w:vMerge w:val="continue"/>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p>
        </w:tc>
        <w:tc>
          <w:tcPr>
            <w:tcW w:w="4667"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对区级财政收支有关的特定事项组织专项审计调查</w:t>
            </w:r>
            <w:r>
              <w:rPr>
                <w:rFonts w:hint="eastAsia" w:ascii="仿宋_GB2312" w:hAnsi="仿宋_GB2312" w:eastAsia="仿宋_GB2312" w:cs="仿宋_GB2312"/>
                <w:kern w:val="0"/>
                <w:sz w:val="24"/>
                <w:szCs w:val="24"/>
                <w:lang w:eastAsia="zh-CN"/>
              </w:rPr>
              <w:t>。</w:t>
            </w:r>
          </w:p>
        </w:tc>
        <w:tc>
          <w:tcPr>
            <w:tcW w:w="818" w:type="dxa"/>
            <w:vMerge w:val="continue"/>
            <w:tcBorders>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18"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983" w:type="dxa"/>
            <w:vMerge w:val="restart"/>
            <w:tcBorders>
              <w:top w:val="single" w:color="auto" w:sz="4" w:space="0"/>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依法检查审计决定执行情况，督促整改审计查出的问题，依法办理被审计单位对审计决定提请行政复议、行政诉讼或区政府裁决中的有关事项。</w:t>
            </w:r>
          </w:p>
        </w:tc>
        <w:tc>
          <w:tcPr>
            <w:tcW w:w="46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检查审计决定执行情况。</w:t>
            </w:r>
          </w:p>
        </w:tc>
        <w:tc>
          <w:tcPr>
            <w:tcW w:w="818" w:type="dxa"/>
            <w:vMerge w:val="restart"/>
            <w:tcBorders>
              <w:top w:val="single" w:color="auto" w:sz="4" w:space="0"/>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18"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983" w:type="dxa"/>
            <w:vMerge w:val="continue"/>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p>
        </w:tc>
        <w:tc>
          <w:tcPr>
            <w:tcW w:w="46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督促</w:t>
            </w:r>
            <w:r>
              <w:rPr>
                <w:rFonts w:hint="eastAsia" w:ascii="仿宋_GB2312" w:hAnsi="仿宋_GB2312" w:eastAsia="仿宋_GB2312" w:cs="仿宋_GB2312"/>
                <w:kern w:val="0"/>
                <w:sz w:val="24"/>
                <w:szCs w:val="24"/>
                <w:lang w:eastAsia="zh-CN"/>
              </w:rPr>
              <w:t>被审计单位和个人</w:t>
            </w:r>
            <w:r>
              <w:rPr>
                <w:rFonts w:hint="eastAsia" w:ascii="仿宋_GB2312" w:hAnsi="仿宋_GB2312" w:eastAsia="仿宋_GB2312" w:cs="仿宋_GB2312"/>
                <w:kern w:val="0"/>
                <w:sz w:val="24"/>
                <w:szCs w:val="24"/>
              </w:rPr>
              <w:t>整改审计查出的问题</w:t>
            </w:r>
            <w:r>
              <w:rPr>
                <w:rFonts w:hint="eastAsia" w:ascii="仿宋_GB2312" w:hAnsi="仿宋_GB2312" w:eastAsia="仿宋_GB2312" w:cs="仿宋_GB2312"/>
                <w:kern w:val="0"/>
                <w:sz w:val="24"/>
                <w:szCs w:val="24"/>
                <w:lang w:eastAsia="zh-CN"/>
              </w:rPr>
              <w:t>。</w:t>
            </w:r>
          </w:p>
        </w:tc>
        <w:tc>
          <w:tcPr>
            <w:tcW w:w="818" w:type="dxa"/>
            <w:vMerge w:val="continue"/>
            <w:tcBorders>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18"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983" w:type="dxa"/>
            <w:vMerge w:val="continue"/>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p>
        </w:tc>
        <w:tc>
          <w:tcPr>
            <w:tcW w:w="46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依法办理被审计单位对审计决定提请行政复议、行政诉讼或区政府裁决中的有关事项。</w:t>
            </w:r>
          </w:p>
        </w:tc>
        <w:tc>
          <w:tcPr>
            <w:tcW w:w="818" w:type="dxa"/>
            <w:vMerge w:val="continue"/>
            <w:tcBorders>
              <w:left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8" w:type="dxa"/>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983" w:type="dxa"/>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核查社会审计机构对依法属于国家审计监督对象的单位出具的相关审计、审核等报告并对审核结果承担责任。</w:t>
            </w:r>
          </w:p>
        </w:tc>
        <w:tc>
          <w:tcPr>
            <w:tcW w:w="4667" w:type="dxa"/>
            <w:tcBorders>
              <w:top w:val="single" w:color="auto" w:sz="4" w:space="0"/>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对社会审计机构出具的依法属于审计机关审计监督对象的审计报告，进行核查</w:t>
            </w:r>
            <w:r>
              <w:rPr>
                <w:rFonts w:hint="eastAsia" w:ascii="仿宋_GB2312" w:hAnsi="仿宋_GB2312" w:eastAsia="仿宋_GB2312" w:cs="仿宋_GB2312"/>
                <w:kern w:val="0"/>
                <w:sz w:val="24"/>
                <w:szCs w:val="24"/>
                <w:lang w:eastAsia="zh-CN"/>
              </w:rPr>
              <w:t>。</w:t>
            </w:r>
          </w:p>
        </w:tc>
        <w:tc>
          <w:tcPr>
            <w:tcW w:w="81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18" w:type="dxa"/>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983" w:type="dxa"/>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组织开展审计领域的对外交流合作，指导和推广信息技术在审计领域的作用。</w:t>
            </w:r>
          </w:p>
        </w:tc>
        <w:tc>
          <w:tcPr>
            <w:tcW w:w="4667" w:type="dxa"/>
            <w:tcBorders>
              <w:top w:val="single" w:color="auto" w:sz="4" w:space="0"/>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组织开展审计对外交流合作，积极发挥信息技术在审计行业的作用。</w:t>
            </w:r>
          </w:p>
        </w:tc>
        <w:tc>
          <w:tcPr>
            <w:tcW w:w="81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18" w:type="dxa"/>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983" w:type="dxa"/>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完成区委、区政府和上级部门交办的其他工作任务。</w:t>
            </w:r>
          </w:p>
        </w:tc>
        <w:tc>
          <w:tcPr>
            <w:tcW w:w="46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积极完成上级部门交办的审计任务。</w:t>
            </w:r>
          </w:p>
        </w:tc>
        <w:tc>
          <w:tcPr>
            <w:tcW w:w="81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818" w:type="dxa"/>
            <w:tcBorders>
              <w:left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983" w:type="dxa"/>
            <w:tcBorders>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职能转变。</w:t>
            </w:r>
          </w:p>
        </w:tc>
        <w:tc>
          <w:tcPr>
            <w:tcW w:w="4667" w:type="dxa"/>
            <w:tcBorders>
              <w:top w:val="single" w:color="auto" w:sz="4" w:space="0"/>
              <w:left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一步完善审计管理体制，加强审计工作统筹，理顺内部职责关系，优化审计资源配置，充实加强审计力量。构建集中统一、全面覆盖、权威高效的审计监督体系。优化审计工作机制，坚持科技强审，完善业务流程，改进工作方式，加强与有关部门的沟通协调，充分调动内部审计和社会审计力量，增强监督合力。</w:t>
            </w:r>
          </w:p>
        </w:tc>
        <w:tc>
          <w:tcPr>
            <w:tcW w:w="81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szCs w:val="24"/>
              </w:rPr>
            </w:pPr>
          </w:p>
        </w:tc>
      </w:tr>
    </w:tbl>
    <w:p>
      <w:pPr>
        <w:widowControl/>
        <w:numPr>
          <w:ilvl w:val="0"/>
          <w:numId w:val="0"/>
        </w:numPr>
        <w:shd w:val="clear" w:color="auto" w:fill="FFFFFF"/>
        <w:jc w:val="left"/>
        <w:rPr>
          <w:rFonts w:hint="eastAsia" w:ascii="仿宋_GB2312" w:hAnsi="宋体" w:eastAsia="仿宋_GB2312"/>
          <w:sz w:val="21"/>
          <w:szCs w:val="21"/>
        </w:rPr>
      </w:pPr>
    </w:p>
    <w:p>
      <w:pPr>
        <w:pStyle w:val="2"/>
        <w:rPr>
          <w:rFonts w:hint="eastAsia" w:ascii="仿宋_GB2312" w:hAnsi="宋体" w:eastAsia="仿宋_GB2312"/>
          <w:sz w:val="21"/>
          <w:szCs w:val="21"/>
        </w:rPr>
      </w:pPr>
    </w:p>
    <w:p>
      <w:pPr>
        <w:rPr>
          <w:rFonts w:hint="eastAsia" w:ascii="仿宋_GB2312" w:hAnsi="宋体" w:eastAsia="仿宋_GB2312"/>
          <w:sz w:val="21"/>
          <w:szCs w:val="21"/>
        </w:rPr>
      </w:pPr>
    </w:p>
    <w:p>
      <w:pPr>
        <w:pStyle w:val="2"/>
        <w:jc w:val="center"/>
        <w:rPr>
          <w:rFonts w:hint="eastAsia" w:ascii="方正小标宋简体" w:hAnsi="方正小标宋简体" w:eastAsia="方正小标宋简体" w:cs="方正小标宋简体"/>
          <w:sz w:val="44"/>
          <w:szCs w:val="44"/>
          <w:lang w:eastAsia="zh-CN"/>
        </w:rPr>
      </w:pPr>
    </w:p>
    <w:p>
      <w:pPr>
        <w:pStyle w:val="2"/>
        <w:jc w:val="center"/>
        <w:rPr>
          <w:rFonts w:hint="eastAsia" w:ascii="方正小标宋简体" w:hAnsi="方正小标宋简体" w:eastAsia="方正小标宋简体" w:cs="方正小标宋简体"/>
          <w:sz w:val="44"/>
          <w:szCs w:val="44"/>
          <w:lang w:eastAsia="zh-CN"/>
        </w:rPr>
      </w:pPr>
    </w:p>
    <w:p>
      <w:pPr>
        <w:rPr>
          <w:rFonts w:hint="eastAsia" w:ascii="仿宋_GB2312" w:hAnsi="仿宋_GB2312" w:eastAsia="仿宋_GB2312" w:cs="仿宋_GB2312"/>
          <w:b/>
          <w:bCs/>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与相关部门的职责边界登记表</w:t>
      </w:r>
    </w:p>
    <w:p>
      <w:pPr>
        <w:pStyle w:val="2"/>
        <w:numPr>
          <w:ilvl w:val="0"/>
          <w:numId w:val="0"/>
        </w:numPr>
        <w:rPr>
          <w:rFonts w:hint="eastAsia"/>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40"/>
        <w:gridCol w:w="963"/>
        <w:gridCol w:w="3591"/>
        <w:gridCol w:w="116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管理事项</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相关部门</w:t>
            </w:r>
          </w:p>
        </w:tc>
        <w:tc>
          <w:tcPr>
            <w:tcW w:w="35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职责分工</w:t>
            </w:r>
          </w:p>
        </w:tc>
        <w:tc>
          <w:tcPr>
            <w:tcW w:w="11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相关依据</w:t>
            </w: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三亚</w:t>
            </w:r>
            <w:r>
              <w:rPr>
                <w:rFonts w:hint="eastAsia" w:asciiTheme="minorEastAsia" w:hAnsiTheme="minorEastAsia" w:eastAsiaTheme="minorEastAsia" w:cstheme="minorEastAsia"/>
                <w:sz w:val="21"/>
                <w:szCs w:val="21"/>
              </w:rPr>
              <w:t>市</w:t>
            </w:r>
            <w:r>
              <w:rPr>
                <w:rFonts w:hint="eastAsia" w:asciiTheme="minorEastAsia" w:hAnsiTheme="minorEastAsia" w:eastAsiaTheme="minorEastAsia" w:cstheme="minorEastAsia"/>
                <w:sz w:val="21"/>
                <w:szCs w:val="21"/>
                <w:lang w:eastAsia="zh-CN"/>
              </w:rPr>
              <w:t>海棠区</w:t>
            </w:r>
            <w:r>
              <w:rPr>
                <w:rFonts w:hint="eastAsia" w:asciiTheme="minorEastAsia" w:hAnsiTheme="minorEastAsia" w:eastAsiaTheme="minorEastAsia" w:cstheme="minorEastAsia"/>
                <w:sz w:val="21"/>
                <w:szCs w:val="21"/>
              </w:rPr>
              <w:t>经济责任审计工作联席会议</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纪</w:t>
            </w:r>
            <w:r>
              <w:rPr>
                <w:rFonts w:hint="eastAsia" w:asciiTheme="minorEastAsia" w:hAnsiTheme="minorEastAsia" w:eastAsiaTheme="minorEastAsia" w:cstheme="minorEastAsia"/>
                <w:sz w:val="21"/>
                <w:szCs w:val="21"/>
                <w:lang w:eastAsia="zh-CN"/>
              </w:rPr>
              <w:t>委</w:t>
            </w:r>
            <w:r>
              <w:rPr>
                <w:rFonts w:hint="eastAsia" w:asciiTheme="minorEastAsia" w:hAnsiTheme="minorEastAsia" w:eastAsiaTheme="minorEastAsia" w:cstheme="minorEastAsia"/>
                <w:sz w:val="21"/>
                <w:szCs w:val="21"/>
              </w:rPr>
              <w:t>监委</w:t>
            </w:r>
          </w:p>
        </w:tc>
        <w:tc>
          <w:tcPr>
            <w:tcW w:w="35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1．向联席会议提出下年度经济责任审计项目建议。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2．向</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审计局通报被审计对象遵守廉政纪律的情况。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3．受理经济责任审计中移送的违纪案件线索，并及时将移送的案件线索调查处理情况向联席会议通报。</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4．协调解决经济责任审计工作中出现的困难和问题，必要时参与经济责任审计实施工作。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5．积极利用经济责任审计结果，将经济责任审计结果归入党政领导干部的廉政档案，作为干部廉政谈话的一项重要内容。</w:t>
            </w:r>
          </w:p>
        </w:tc>
        <w:tc>
          <w:tcPr>
            <w:tcW w:w="116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中共三亚市海棠区委办公室</w:t>
            </w:r>
            <w:r>
              <w:rPr>
                <w:rFonts w:hint="eastAsia" w:asciiTheme="minorEastAsia" w:hAnsiTheme="minorEastAsia" w:eastAsiaTheme="minorEastAsia" w:cstheme="minorEastAsia"/>
                <w:sz w:val="21"/>
                <w:szCs w:val="21"/>
                <w:lang w:val="en-US" w:eastAsia="zh-CN"/>
              </w:rPr>
              <w:t xml:space="preserve"> 三亚市海棠区人民政府办公室关于</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印发海棠区</w:t>
            </w:r>
            <w:r>
              <w:rPr>
                <w:rFonts w:hint="eastAsia" w:asciiTheme="minorEastAsia" w:hAnsiTheme="minorEastAsia" w:eastAsiaTheme="minorEastAsia" w:cstheme="minorEastAsia"/>
                <w:sz w:val="21"/>
                <w:szCs w:val="21"/>
              </w:rPr>
              <w:t>经济责任审计工作联席会议</w:t>
            </w:r>
            <w:r>
              <w:rPr>
                <w:rFonts w:hint="eastAsia" w:asciiTheme="minorEastAsia" w:hAnsiTheme="minorEastAsia" w:eastAsiaTheme="minorEastAsia" w:cstheme="minorEastAsia"/>
                <w:sz w:val="21"/>
                <w:szCs w:val="21"/>
                <w:lang w:eastAsia="zh-CN"/>
              </w:rPr>
              <w:t>制度的通知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海棠</w:t>
            </w:r>
            <w:r>
              <w:rPr>
                <w:rFonts w:hint="eastAsia" w:asciiTheme="minorEastAsia" w:hAnsiTheme="minorEastAsia" w:eastAsiaTheme="minorEastAsia" w:cstheme="minorEastAsia"/>
                <w:sz w:val="21"/>
                <w:szCs w:val="21"/>
              </w:rPr>
              <w:t>办发〔20</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61</w:t>
            </w:r>
            <w:r>
              <w:rPr>
                <w:rFonts w:hint="eastAsia" w:asciiTheme="minorEastAsia" w:hAnsiTheme="minorEastAsia" w:eastAsiaTheme="minorEastAsia" w:cstheme="minorEastAsia"/>
                <w:sz w:val="21"/>
                <w:szCs w:val="21"/>
              </w:rPr>
              <w:t>号)</w:t>
            </w:r>
          </w:p>
        </w:tc>
        <w:tc>
          <w:tcPr>
            <w:tcW w:w="110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在相关部门的支持配合下，组织、协调、检查、指导全</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经济责任审计工作,并例行召开年度</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经济责任审计工作联席会议。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65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区委</w:t>
            </w:r>
            <w:r>
              <w:rPr>
                <w:rFonts w:hint="eastAsia" w:asciiTheme="minorEastAsia" w:hAnsiTheme="minorEastAsia" w:eastAsiaTheme="minorEastAsia" w:cstheme="minorEastAsia"/>
                <w:sz w:val="21"/>
                <w:szCs w:val="21"/>
              </w:rPr>
              <w:t>组织部</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区人社局</w:t>
            </w:r>
          </w:p>
        </w:tc>
        <w:tc>
          <w:tcPr>
            <w:tcW w:w="359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1．向联席会议提出下年度经济责任审计项目建议。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2．将经联席会议议定的经济责任审计项目计划报</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委、</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政府审批，并办理委托审计手续。</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3．在实施审计前向</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审计局通报被审计单位及其党政领导干部的有关情况。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4．协调解决经济责任审计工作中出现的困难和问题。必要时参与经济责任审计实施工作。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5．根据审计结果，组织被审计人员谈话，将经济责任审计结果归入被审计领导干部个人档案，作为考评、使用、评先、奖惩的重要依据，并向联席会议通报经济责任审计结果的利用情况。</w:t>
            </w:r>
          </w:p>
        </w:tc>
        <w:tc>
          <w:tcPr>
            <w:tcW w:w="116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eastAsia="zh-CN"/>
              </w:rPr>
            </w:pPr>
          </w:p>
        </w:tc>
        <w:tc>
          <w:tcPr>
            <w:tcW w:w="35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116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区审计局</w:t>
            </w:r>
          </w:p>
        </w:tc>
        <w:tc>
          <w:tcPr>
            <w:tcW w:w="35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1．向联席会议提出年度经济责任审计项目建议，并将经</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委、</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政府批准的经济责任审计计划列入年度审计项目计划。</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委、</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政府的交办和组织部门的委托，具体实施经济责任审计项目，并根据审计情况，出具经济责任审计结果报告。</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3．对我</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经济责任审计工作人员进行业务培训，汇总我</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经济责任审计结果，建立经济责任审计工作基础数据库。</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4．拟定经济责任审计工作有关规章制度。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5．负责经济责任审计工作计划项目所需经费的预算编制，报送</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财政局。</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6．向</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联席会议汇报经济责任审计情况。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7．负责</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经济责任审计工作联席会议办公室日常工作。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8．负责对全</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经济责任审计工作开展情况进行检查，并进行情况汇总。</w:t>
            </w:r>
          </w:p>
        </w:tc>
        <w:tc>
          <w:tcPr>
            <w:tcW w:w="116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区财政局</w:t>
            </w:r>
          </w:p>
        </w:tc>
        <w:tc>
          <w:tcPr>
            <w:tcW w:w="35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1．负责落实全</w:t>
            </w:r>
            <w:r>
              <w:rPr>
                <w:rFonts w:hint="eastAsia" w:asciiTheme="minorEastAsia" w:hAnsiTheme="minorEastAsia" w:eastAsiaTheme="minorEastAsia" w:cstheme="minorEastAsia"/>
                <w:sz w:val="21"/>
                <w:szCs w:val="21"/>
                <w:lang w:eastAsia="zh-CN"/>
              </w:rPr>
              <w:t>区</w:t>
            </w:r>
            <w:r>
              <w:rPr>
                <w:rFonts w:hint="eastAsia" w:asciiTheme="minorEastAsia" w:hAnsiTheme="minorEastAsia" w:eastAsiaTheme="minorEastAsia" w:cstheme="minorEastAsia"/>
                <w:sz w:val="21"/>
                <w:szCs w:val="21"/>
              </w:rPr>
              <w:t>经济责任审计工作所需经费。</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2．协助提供有关被审计对象所在单位任期内的财政、财务主要指标及其完成情况。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3．协助执行审计报告和审计决定中涉及财政、财务方面的问题。</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4．针对经济责任审计中发现的普遍性、倾向性的问题，制定和完善财政财务管理制度，规范财政财务收支行为。</w:t>
            </w:r>
          </w:p>
        </w:tc>
        <w:tc>
          <w:tcPr>
            <w:tcW w:w="116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110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bl>
    <w:p>
      <w:pPr>
        <w:pStyle w:val="2"/>
      </w:pPr>
    </w:p>
    <w:p>
      <w:pPr>
        <w:jc w:val="both"/>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pgNumType w:fmt="numberInDash"/>
          <w:cols w:space="425" w:num="1"/>
          <w:docGrid w:type="lines" w:linePitch="312" w:charSpace="0"/>
        </w:sect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三、事中事后监管制度</w:t>
      </w:r>
    </w:p>
    <w:p>
      <w:pPr>
        <w:jc w:val="center"/>
        <w:rPr>
          <w:rFonts w:hint="eastAsia" w:ascii="楷体" w:hAnsi="楷体" w:eastAsia="楷体" w:cs="楷体"/>
          <w:szCs w:val="32"/>
        </w:rPr>
      </w:pPr>
      <w:r>
        <w:rPr>
          <w:rFonts w:hint="eastAsia" w:ascii="楷体" w:hAnsi="楷体" w:eastAsia="楷体" w:cs="楷体"/>
          <w:b/>
          <w:bCs/>
          <w:sz w:val="32"/>
          <w:szCs w:val="32"/>
          <w:lang w:val="en-US" w:eastAsia="zh-CN"/>
        </w:rPr>
        <w:t>（对审计整改的对象进行监督检查）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val="en-US" w:eastAsia="zh-CN"/>
        </w:rPr>
        <w:t xml:space="preserve">  一、</w:t>
      </w:r>
      <w:r>
        <w:rPr>
          <w:rFonts w:hint="eastAsia" w:ascii="楷体" w:hAnsi="楷体" w:eastAsia="楷体" w:cs="楷体"/>
          <w:b/>
          <w:bCs/>
          <w:sz w:val="32"/>
          <w:szCs w:val="32"/>
        </w:rPr>
        <w:t>监督检查对象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依法属于审计机关审计监督对象的单位</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0"/>
        <w:jc w:val="both"/>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val="en-US" w:eastAsia="zh-CN"/>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）执行审计机关作出的处理处罚决定情况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）对审计机关要求自行纠正事项采取措施的情况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）根据审计机关的审计建议采取的措施的情况</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（四）对审计机关移送处理事项采取措施的情况。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楷体" w:hAnsi="楷体" w:eastAsia="楷体" w:cs="楷体"/>
          <w:b/>
          <w:bCs/>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kern w:val="2"/>
          <w:sz w:val="32"/>
          <w:szCs w:val="32"/>
          <w:lang w:val="en-US" w:eastAsia="zh-CN" w:bidi="ar-SA"/>
        </w:rPr>
        <w:t xml:space="preserve">  三、监督检查方式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）实地检查或了解；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）调取并审阅相关书面材料；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）其他方式。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对于定期审计项目，审计机关可以结合下一次审计，检查或者了解被审计单位的整改情况。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0"/>
        <w:jc w:val="both"/>
        <w:textAlignment w:val="auto"/>
        <w:rPr>
          <w:rFonts w:hint="eastAsia" w:ascii="楷体" w:hAnsi="楷体" w:eastAsia="楷体" w:cs="楷体"/>
          <w:b/>
          <w:bCs/>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kern w:val="2"/>
          <w:sz w:val="32"/>
          <w:szCs w:val="32"/>
          <w:lang w:val="en-US" w:eastAsia="zh-CN" w:bidi="ar-SA"/>
        </w:rPr>
        <w:t xml:space="preserve">  四、监督检查措施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（一）审计组在审计实施过程中，应当及时督促被审计单位整改审计发现的问题；出具审计报告、作出审计决定后，在规定的时间内检查或者了解被审计单位和其他有关单位的整改情况。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与组织、纪检监察、巡视（巡察）、司法等有关部门及经济责任审计工作联席会议成员单位的沟通协调，在审计成果运用、问题协查、问题线索移送、巡审结合、专项检查和督查等方面加强配合，积极落实审计移送处理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（三）实行审计整改对账销号制度，对审计整改情况进行集中和动态管理，督促被审计单位积极采取措施整改，促进整改落实到位。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（四）加强审计成果运用，将审计整改落实情况纳入领导班子民主生活会及党风廉政建设责任制检查考核的内容，作为领导班子成员述职述廉、年度考核、职务任免、奖惩的重要参考依据。</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五、监督检查程序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（一）实行审计整改跟踪检查机制，对问题严重、拒绝和拖延整改及屡审屡犯的部门和单位进行重点监督检查。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（二）检查或者了解被审计单位和其他有关单位的整改情况应当取得相关证明材料。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（三）审计机关指定的部门负责检查或者了解被审计单位和其他有关单位整改情况，并向审计机关提出检查报告。</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六、监督检查处理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根据《中华人民共和国审计准则》《中共中央办公厅 国务院办公厅印发&lt;关于完善审计制度若干重大问题的框架意见&gt;及相关配套文件的通知》《中共海南省委办公厅 海南省人民政府办公厅印发</w:t>
      </w:r>
      <w:bookmarkStart w:id="0" w:name="_GoBack"/>
      <w:bookmarkEnd w:id="0"/>
      <w:r>
        <w:rPr>
          <w:rFonts w:hint="eastAsia" w:ascii="仿宋_GB2312" w:hAnsi="仿宋_GB2312" w:eastAsia="仿宋_GB2312" w:cs="仿宋_GB2312"/>
          <w:sz w:val="32"/>
          <w:szCs w:val="32"/>
          <w:lang w:val="en-US" w:eastAsia="zh-CN"/>
        </w:rPr>
        <w:t>&lt;关于加强审计整改工作的意见&gt;的通知》《三亚市人民政府办公室印发关于加强审计整改工作的实施意见的通知》等有关规定，采取以下处理措施：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（一）将审计整改落实情况纳入领导班子民主生活会及党风廉政建设责任制检查考核的内容，作为领导班子成员述职述廉、年度考核、职务任免、奖惩的重要参考依据。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整改推诿拖延、延误不报、敷衍了事的单位和个人，报经本级政府同意后，由审计机关进行约谈；对整改落实不力、屡审屡犯的有关单位，报经本级政府同意后，由审计机关进行通报批评；对审计工作报告中反映的问题两年无特殊原因拒不整改的，被审计单位主要负责人要接受人大常委会的询问；对拒不整改、造成重大影响和损失的被审计单位及相关负责人，由纪检监察机关、有关主管部门追究单位负责人和有关责任人员的责任。</w:t>
      </w:r>
    </w:p>
    <w:p>
      <w:pPr>
        <w:spacing w:line="578" w:lineRule="exact"/>
        <w:rPr>
          <w:rFonts w:hint="default" w:ascii="Times New Roman" w:hAnsi="Times New Roman" w:eastAsia="黑体" w:cs="Times New Roman"/>
          <w:color w:val="000000"/>
          <w:szCs w:val="32"/>
        </w:rPr>
      </w:pPr>
    </w:p>
    <w:p>
      <w:pPr>
        <w:pStyle w:val="2"/>
        <w:spacing w:line="578" w:lineRule="exact"/>
        <w:rPr>
          <w:rFonts w:hint="default" w:ascii="Times New Roman" w:hAnsi="Times New Roman" w:eastAsia="黑体" w:cs="Times New Roman"/>
          <w:color w:val="000000"/>
          <w:szCs w:val="32"/>
        </w:rPr>
      </w:pPr>
    </w:p>
    <w:p>
      <w:pPr>
        <w:spacing w:line="578" w:lineRule="exact"/>
        <w:rPr>
          <w:rFonts w:hint="default" w:ascii="Times New Roman" w:hAnsi="Times New Roman" w:eastAsia="黑体" w:cs="Times New Roman"/>
          <w:color w:val="000000"/>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10B8A"/>
    <w:multiLevelType w:val="singleLevel"/>
    <w:tmpl w:val="61610B8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92042"/>
    <w:rsid w:val="01B16231"/>
    <w:rsid w:val="03664D7B"/>
    <w:rsid w:val="038D05CB"/>
    <w:rsid w:val="0BA54BB6"/>
    <w:rsid w:val="0E6C250F"/>
    <w:rsid w:val="131C61E9"/>
    <w:rsid w:val="13776286"/>
    <w:rsid w:val="15775FF1"/>
    <w:rsid w:val="160D2222"/>
    <w:rsid w:val="16273C5C"/>
    <w:rsid w:val="20923E15"/>
    <w:rsid w:val="20A36D86"/>
    <w:rsid w:val="253D2458"/>
    <w:rsid w:val="257D007A"/>
    <w:rsid w:val="25E26CBD"/>
    <w:rsid w:val="262804F3"/>
    <w:rsid w:val="2E554552"/>
    <w:rsid w:val="30756761"/>
    <w:rsid w:val="343765EC"/>
    <w:rsid w:val="35915B6E"/>
    <w:rsid w:val="411B5A98"/>
    <w:rsid w:val="442800A3"/>
    <w:rsid w:val="446D322F"/>
    <w:rsid w:val="4B374648"/>
    <w:rsid w:val="4BC959B9"/>
    <w:rsid w:val="4C367B2B"/>
    <w:rsid w:val="4DF10B3F"/>
    <w:rsid w:val="4FDC13FA"/>
    <w:rsid w:val="50967C61"/>
    <w:rsid w:val="50E84683"/>
    <w:rsid w:val="51CE3773"/>
    <w:rsid w:val="57992042"/>
    <w:rsid w:val="579D7597"/>
    <w:rsid w:val="57D3188A"/>
    <w:rsid w:val="5B2706D0"/>
    <w:rsid w:val="5D2C4224"/>
    <w:rsid w:val="5FBF8B2E"/>
    <w:rsid w:val="60DC4943"/>
    <w:rsid w:val="61610C12"/>
    <w:rsid w:val="654B65D0"/>
    <w:rsid w:val="65CC11EB"/>
    <w:rsid w:val="663D175D"/>
    <w:rsid w:val="674033E4"/>
    <w:rsid w:val="6AF87EA4"/>
    <w:rsid w:val="6C3A4180"/>
    <w:rsid w:val="72C53036"/>
    <w:rsid w:val="72F1088B"/>
    <w:rsid w:val="73CC1BEE"/>
    <w:rsid w:val="75AD30FE"/>
    <w:rsid w:val="77E10AFB"/>
    <w:rsid w:val="7B8B4D36"/>
    <w:rsid w:val="7CFA51E3"/>
    <w:rsid w:val="A2C21145"/>
    <w:rsid w:val="DDFFF48C"/>
    <w:rsid w:val="E6F4E2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2021-08-06T11:02:00Z</dcterms:created>
  <dc:creator>区审计局收发员</dc:creator>
  <cp:lastModifiedBy>user</cp:lastModifiedBy>
  <dcterms:modified xsi:type="dcterms:W3CDTF">2023-09-12T10:50:47Z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72C5B80DF1104B35AEEFDA7F857A731E</vt:lpwstr>
  </property>
</Properties>
</file>