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t>三亚</w:t>
      </w:r>
      <w:r>
        <w:rPr>
          <w:rFonts w:hint="eastAsia"/>
          <w:lang w:val="en-US" w:eastAsia="zh-CN"/>
        </w:rPr>
        <w:t>市</w:t>
      </w:r>
      <w:r>
        <w:t>海棠区企业信用评价管理办法</w:t>
      </w:r>
    </w:p>
    <w:p>
      <w:pPr>
        <w:pStyle w:val="17"/>
      </w:pPr>
      <w:r>
        <w:t>（</w:t>
      </w:r>
      <w:r>
        <w:rPr>
          <w:rFonts w:hint="eastAsia"/>
          <w:lang w:eastAsia="zh-CN"/>
        </w:rPr>
        <w:t>征求意见稿</w:t>
      </w:r>
      <w:r>
        <w:t>）</w:t>
      </w:r>
    </w:p>
    <w:p>
      <w:pPr>
        <w:pStyle w:val="12"/>
        <w:bidi w:val="0"/>
        <w:spacing w:beforeAutospacing="0" w:afterAutospacing="0" w:line="300" w:lineRule="exact"/>
        <w:rPr>
          <w:rFonts w:hint="eastAsia"/>
          <w:lang w:eastAsia="zh-CN"/>
        </w:rPr>
      </w:pPr>
    </w:p>
    <w:p>
      <w:pPr>
        <w:pStyle w:val="22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 xml:space="preserve">第一章 </w:t>
      </w:r>
      <w:r>
        <w:t>总则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第一条　</w:t>
      </w:r>
      <w:r>
        <w:rPr>
          <w:rFonts w:ascii="Times New Roman" w:hAnsi="Times New Roman" w:eastAsia="仿宋_GB2312" w:cs="仿宋_GB2312"/>
          <w:sz w:val="32"/>
          <w:szCs w:val="32"/>
        </w:rPr>
        <w:t>【制定目的与依据】 为建立健全以信用为基础的新型监管机制</w:t>
      </w:r>
      <w:r>
        <w:rPr>
          <w:rFonts w:cs="仿宋_GB2312"/>
          <w:sz w:val="32"/>
          <w:szCs w:val="32"/>
        </w:rPr>
        <w:t>，激活市场信用，</w:t>
      </w:r>
      <w:r>
        <w:rPr>
          <w:rFonts w:ascii="Times New Roman" w:hAnsi="Times New Roman" w:eastAsia="仿宋_GB2312" w:cs="仿宋_GB2312"/>
          <w:sz w:val="32"/>
          <w:szCs w:val="32"/>
        </w:rPr>
        <w:t>优化</w:t>
      </w:r>
      <w:r>
        <w:rPr>
          <w:rFonts w:cs="仿宋_GB2312"/>
          <w:sz w:val="32"/>
          <w:szCs w:val="32"/>
        </w:rPr>
        <w:t>区域</w:t>
      </w:r>
      <w:r>
        <w:rPr>
          <w:rFonts w:ascii="Times New Roman" w:hAnsi="Times New Roman" w:eastAsia="仿宋_GB2312" w:cs="仿宋_GB2312"/>
          <w:sz w:val="32"/>
          <w:szCs w:val="32"/>
        </w:rPr>
        <w:t>营商环境</w:t>
      </w:r>
      <w:r>
        <w:rPr>
          <w:rFonts w:cs="仿宋_GB2312"/>
          <w:sz w:val="32"/>
          <w:szCs w:val="32"/>
        </w:rPr>
        <w:t>，提升治理效能和</w:t>
      </w:r>
      <w:r>
        <w:rPr>
          <w:rFonts w:ascii="Times New Roman" w:hAnsi="Times New Roman" w:eastAsia="仿宋_GB2312" w:cs="仿宋_GB2312"/>
          <w:sz w:val="32"/>
          <w:szCs w:val="32"/>
        </w:rPr>
        <w:t>促进经济高质量发展，依据《海南自由贸易港社会信用条例》及相关法律法规与政策规定，结合本区实际，制定本办法。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第二条　</w:t>
      </w:r>
      <w:r>
        <w:rPr>
          <w:rFonts w:ascii="Times New Roman" w:hAnsi="Times New Roman" w:eastAsia="仿宋_GB2312" w:cs="仿宋_GB2312"/>
          <w:sz w:val="32"/>
          <w:szCs w:val="32"/>
        </w:rPr>
        <w:t>【适用对象】 本办法所称企业信用评价，是指对在本区内依法登记注册或主要经营活动场所位于本区的企业（以下统称“企业”），依据本办法设定的评价指标与标准，对其信用状况进行量化评估并确定信用等级的活动。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三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【职责分工】 中共三亚市海棠区委优化营商环境领导小组</w:t>
      </w:r>
      <w:r>
        <w:rPr>
          <w:rFonts w:cs="仿宋_GB2312"/>
          <w:sz w:val="32"/>
          <w:szCs w:val="32"/>
        </w:rPr>
        <w:t>作为议事机构，</w:t>
      </w:r>
      <w:r>
        <w:rPr>
          <w:rFonts w:ascii="Times New Roman" w:hAnsi="Times New Roman" w:eastAsia="仿宋_GB2312" w:cs="仿宋_GB2312"/>
          <w:sz w:val="32"/>
          <w:szCs w:val="32"/>
        </w:rPr>
        <w:t>统筹协调、指导监督本区企业信用评价体系的建设工作，明确评价原则、评价指标和评价方法等</w:t>
      </w:r>
      <w:r>
        <w:rPr>
          <w:rFonts w:cs="仿宋_GB2312"/>
          <w:sz w:val="32"/>
          <w:szCs w:val="32"/>
        </w:rPr>
        <w:t>。三亚市海棠区营商环境建设局</w:t>
      </w:r>
      <w:r>
        <w:rPr>
          <w:rFonts w:ascii="Times New Roman" w:hAnsi="Times New Roman" w:eastAsia="仿宋_GB2312" w:cs="仿宋_GB2312"/>
          <w:sz w:val="32"/>
          <w:szCs w:val="32"/>
        </w:rPr>
        <w:t>（以下称“区营商环境建设局”）负责发布信用评价结果</w:t>
      </w:r>
      <w:r>
        <w:rPr>
          <w:rFonts w:cs="仿宋_GB2312"/>
          <w:sz w:val="32"/>
          <w:szCs w:val="32"/>
        </w:rPr>
        <w:t>以及</w:t>
      </w:r>
      <w:r>
        <w:rPr>
          <w:rFonts w:ascii="Times New Roman" w:hAnsi="Times New Roman" w:eastAsia="仿宋_GB2312" w:cs="仿宋_GB2312"/>
          <w:sz w:val="32"/>
          <w:szCs w:val="32"/>
        </w:rPr>
        <w:t>海棠区信用评价的系统建设、评价模型设计、评价结果管理、信息服务及应用推广等工作。</w:t>
      </w:r>
    </w:p>
    <w:p>
      <w:pPr>
        <w:pStyle w:val="22"/>
        <w:numPr>
          <w:ilvl w:val="0"/>
          <w:numId w:val="0"/>
        </w:numPr>
        <w:spacing w:line="560" w:lineRule="exact"/>
        <w:ind w:leftChars="0"/>
        <w:rPr>
          <w:b w:val="0"/>
        </w:rPr>
      </w:pPr>
      <w:r>
        <w:rPr>
          <w:rFonts w:hint="eastAsia"/>
          <w:lang w:eastAsia="zh-CN"/>
        </w:rPr>
        <w:t xml:space="preserve">第二章 </w:t>
      </w:r>
      <w:r>
        <w:t>评价原则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numberInDash" w:start="1"/>
          <w:cols w:space="425" w:num="1"/>
          <w:docGrid w:type="linesAndChars" w:linePitch="579" w:charSpace="15"/>
        </w:sect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四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【科学量化与综合研判相结合原则】 评价采用量化评分模型，</w:t>
      </w:r>
      <w:r>
        <w:rPr>
          <w:rFonts w:hint="eastAsia" w:cs="仿宋_GB2312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仿宋_GB2312"/>
          <w:sz w:val="32"/>
          <w:szCs w:val="32"/>
        </w:rPr>
        <w:t>起评分</w:t>
      </w:r>
      <w:r>
        <w:rPr>
          <w:rFonts w:hint="eastAsia" w:cs="仿宋_GB2312"/>
          <w:sz w:val="32"/>
          <w:szCs w:val="32"/>
          <w:lang w:val="en-US" w:eastAsia="zh-CN"/>
        </w:rPr>
        <w:t>基础上</w:t>
      </w:r>
      <w:r>
        <w:rPr>
          <w:rFonts w:ascii="Times New Roman" w:hAnsi="Times New Roman" w:eastAsia="仿宋_GB2312" w:cs="仿宋_GB2312"/>
          <w:sz w:val="32"/>
          <w:szCs w:val="32"/>
        </w:rPr>
        <w:t>，通过覆盖企业基本经营、公共信用等维度的细化指标进行系统性加分与扣分。对于特定行业、特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殊情形或需要综合判断的案例，可结合行业特点、行为性质、社会影响等因素进行专家研判或定性分析。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五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【数据驱动与客观公正原则】 评价严格以归集的信用信息为依据，主要数据来源于海南省大数据发展中心法人数据库，并综合区级各相关</w:t>
      </w:r>
      <w:r>
        <w:rPr>
          <w:rFonts w:cs="仿宋_GB2312"/>
          <w:sz w:val="32"/>
          <w:szCs w:val="32"/>
        </w:rPr>
        <w:t>行业主管</w:t>
      </w:r>
      <w:r>
        <w:rPr>
          <w:rFonts w:ascii="Times New Roman" w:hAnsi="Times New Roman" w:eastAsia="仿宋_GB2312" w:cs="仿宋_GB2312"/>
          <w:sz w:val="32"/>
          <w:szCs w:val="32"/>
        </w:rPr>
        <w:t>部门监管、奖惩信息及经确认的企业自主申报信息。评价过程强调多源数据交叉核验，最大限度减少主观判断，保障评价结果的公正与公信力。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六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【激励约束与动态调整原则】 评价指标体系设计体现“守信激励、失信惩戒”的导向，对合规经营、自主创新、诚信履约等行为设置加分项给予正向激励；对违法失信、拖欠费用、虚假承诺等行为设置扣分项进行约束。评价结果基于最新数据动态更新，及时反映企业信用状况变化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七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【结果应用导向原则】 企业信用评价的根本目的是支撑以信用为基础的新型监管机制，服务守信激励与信用服务应用。评价结果根据A、B、C、D四个等级，应用于分级分类监管、守信联合激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励</w:t>
      </w:r>
      <w:r>
        <w:rPr>
          <w:rFonts w:cs="仿宋_GB2312"/>
          <w:color w:val="auto"/>
          <w:sz w:val="32"/>
          <w:szCs w:val="32"/>
        </w:rPr>
        <w:t>（惩戒）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及“</w:t>
      </w:r>
      <w:r>
        <w:rPr>
          <w:rFonts w:ascii="Times New Roman" w:hAnsi="Times New Roman" w:eastAsia="仿宋_GB2312" w:cs="仿宋_GB2312"/>
          <w:sz w:val="32"/>
          <w:szCs w:val="32"/>
        </w:rPr>
        <w:t>信易＋”服务应用三大领域。</w:t>
      </w:r>
    </w:p>
    <w:p>
      <w:pPr>
        <w:pStyle w:val="22"/>
        <w:numPr>
          <w:ilvl w:val="0"/>
          <w:numId w:val="0"/>
        </w:numPr>
        <w:spacing w:line="560" w:lineRule="exact"/>
        <w:ind w:leftChars="0"/>
        <w:rPr>
          <w:b w:val="0"/>
        </w:rPr>
      </w:pPr>
      <w:r>
        <w:rPr>
          <w:rFonts w:hint="eastAsia"/>
          <w:lang w:eastAsia="zh-CN"/>
        </w:rPr>
        <w:t xml:space="preserve">第三章 </w:t>
      </w:r>
      <w:r>
        <w:t>信用评价体系与标准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八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【评价体系框架】 海棠区企业信用评价体系由评价指标体系、量化评分模型、数据来源渠道及信用等级标准四部分构成。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九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【评价指标体系构成】 本评价体系采用“基础信息＋加分项＋扣分项”结构，共涵盖3大类、10个一级指标、2</w:t>
      </w: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仿宋_GB2312"/>
          <w:sz w:val="32"/>
          <w:szCs w:val="32"/>
        </w:rPr>
        <w:t>个二级指标及4</w:t>
      </w:r>
      <w:r>
        <w:rPr>
          <w:rFonts w:cs="仿宋_GB2312"/>
          <w:sz w:val="32"/>
          <w:szCs w:val="32"/>
        </w:rPr>
        <w:t>3</w:t>
      </w:r>
      <w:r>
        <w:rPr>
          <w:rFonts w:ascii="Times New Roman" w:hAnsi="Times New Roman" w:eastAsia="仿宋_GB2312" w:cs="仿宋_GB2312"/>
          <w:sz w:val="32"/>
          <w:szCs w:val="32"/>
        </w:rPr>
        <w:t>个三级指标。具体构成如下：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基本信息</w:t>
      </w:r>
      <w:r>
        <w:rPr>
          <w:rFonts w:ascii="Times New Roman" w:hAnsi="Times New Roman" w:eastAsia="仿宋_GB2312" w:cs="仿宋_GB2312"/>
          <w:sz w:val="32"/>
          <w:szCs w:val="32"/>
        </w:rPr>
        <w:t>：主要包含企业登记信息，用于主体资格确认及赋基础分。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公共信用加分信息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经营信息：评价维度为稳定经营与社会责任，相关指标如经营年限、缴纳社保人数、实缴资本、引进人才等级及高管“金椰分”。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技术创新信息：评价维度为科技创新能力，相关指标如发明专利、注册商标、著作权，以及被认定的技术创新企业或研发机构。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行政管理信息：评价维度为合规与荣誉，相关指标如获得的行政许可、监督检查结果正常、行政奖励。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 w:cs="仿宋_GB2312"/>
          <w:sz w:val="32"/>
          <w:szCs w:val="32"/>
        </w:rPr>
        <w:t>诚信守约信息：评价维度为履约与信用建设，相关指标如履</w:t>
      </w:r>
      <w:r>
        <w:rPr>
          <w:rFonts w:ascii="Times New Roman" w:hAnsi="Times New Roman" w:eastAsia="仿宋_GB2312" w:cs="仿宋_GB2312"/>
          <w:spacing w:val="6"/>
          <w:sz w:val="32"/>
          <w:szCs w:val="32"/>
        </w:rPr>
        <w:t>行信用承诺、参与信用应用场景建设、社会投资项目提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前</w:t>
      </w:r>
      <w:r>
        <w:rPr>
          <w:rFonts w:ascii="Times New Roman" w:hAnsi="Times New Roman" w:eastAsia="仿宋_GB2312" w:cs="仿宋_GB2312"/>
          <w:sz w:val="32"/>
          <w:szCs w:val="32"/>
        </w:rPr>
        <w:t>竣工。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5.</w:t>
      </w:r>
      <w:r>
        <w:rPr>
          <w:rFonts w:ascii="Times New Roman" w:hAnsi="Times New Roman" w:eastAsia="仿宋_GB2312" w:cs="仿宋_GB2312"/>
          <w:sz w:val="32"/>
          <w:szCs w:val="32"/>
        </w:rPr>
        <w:t>综合评价信息：评价维度为外部权威评价，相关指标如A级纳税人、国家公共信用综合评价（优）、海关高级认证企业。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公共信用扣分信息</w:t>
      </w:r>
      <w:r>
        <w:rPr>
          <w:rFonts w:ascii="Times New Roman" w:hAnsi="Times New Roman" w:eastAsia="仿宋_GB2312" w:cs="仿宋_GB2312"/>
          <w:sz w:val="32"/>
          <w:szCs w:val="32"/>
        </w:rPr>
        <w:t>：包含以下要素：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经营不良信息：评价维度为经营异常与拖欠</w:t>
      </w:r>
      <w:r>
        <w:rPr>
          <w:rFonts w:hint="eastAsia" w:cs="仿宋_GB2312"/>
          <w:sz w:val="32"/>
          <w:szCs w:val="32"/>
          <w:lang w:val="en-US" w:eastAsia="zh-CN"/>
        </w:rPr>
        <w:t>记录</w:t>
      </w:r>
      <w:r>
        <w:rPr>
          <w:rFonts w:ascii="Times New Roman" w:hAnsi="Times New Roman" w:eastAsia="仿宋_GB2312" w:cs="仿宋_GB2312"/>
          <w:sz w:val="32"/>
          <w:szCs w:val="32"/>
        </w:rPr>
        <w:t>，相关指标如被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列入经营异常名录、欠缴社保／住房公积金、拖欠水电燃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气</w:t>
      </w:r>
      <w:r>
        <w:rPr>
          <w:rFonts w:ascii="Times New Roman" w:hAnsi="Times New Roman" w:eastAsia="仿宋_GB2312" w:cs="仿宋_GB2312"/>
          <w:sz w:val="32"/>
          <w:szCs w:val="32"/>
        </w:rPr>
        <w:t>费等。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违法信息：评价维度为司法与行政违法，相关指标如司法败诉、被列为失信被执行人、受到一般或严重行政处罚。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违约信息：评价维度为违背承诺，相关指标如存在虚假承诺记录。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不良评价信息：评价维度为各类不良记录，相关指标如海关失信企业、未按规定报送年报、有效投诉举报、被列入严重失信主体名单。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第十条　</w:t>
      </w:r>
      <w:r>
        <w:rPr>
          <w:rFonts w:ascii="Times New Roman" w:hAnsi="Times New Roman" w:eastAsia="仿宋_GB2312" w:cs="仿宋_GB2312"/>
          <w:sz w:val="32"/>
          <w:szCs w:val="32"/>
        </w:rPr>
        <w:t>【评分模型规则】 采用量化计分模型，核心公式为：企业信用评价最终得分＝基础分＋公共信用加分合计－公共信用扣分合计。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基础分</w:t>
      </w:r>
      <w:r>
        <w:rPr>
          <w:rFonts w:ascii="Times New Roman" w:hAnsi="Times New Roman" w:eastAsia="仿宋_GB2312" w:cs="仿宋_GB2312"/>
          <w:sz w:val="32"/>
          <w:szCs w:val="32"/>
        </w:rPr>
        <w:t>：设定为80分。凡登记或主要经营场所在海棠区的企业，自动获得此基础分。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加分规则</w:t>
      </w:r>
      <w:r>
        <w:rPr>
          <w:rFonts w:ascii="Times New Roman" w:hAnsi="Times New Roman" w:eastAsia="仿宋_GB2312" w:cs="仿宋_GB2312"/>
          <w:sz w:val="32"/>
          <w:szCs w:val="32"/>
        </w:rPr>
        <w:t>：根据各项三级指标的具体评分细则累加。部分指标（如获得行政奖励）加分不设上限。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扣分规则</w:t>
      </w:r>
      <w:r>
        <w:rPr>
          <w:rFonts w:ascii="Times New Roman" w:hAnsi="Times New Roman" w:eastAsia="仿宋_GB2312" w:cs="仿宋_GB2312"/>
          <w:sz w:val="32"/>
          <w:szCs w:val="32"/>
        </w:rPr>
        <w:t>：根据负面信息对应扣减。部分严重指标（如虚假承诺、监督检查不合格）扣分不设上限。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（四）</w:t>
      </w:r>
      <w:r>
        <w:rPr>
          <w:rStyle w:val="23"/>
        </w:rPr>
        <w:t>特殊规则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严重失信一票否决：企业被列入国家或省级“严重失信主体名单”的，无论得分多少，信用等级直接定为D级。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>实质性经营核查：企业经核查无法证实存在实质性经营活动的，直接定为D级。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仿宋_GB2312"/>
          <w:sz w:val="32"/>
          <w:szCs w:val="32"/>
        </w:rPr>
        <w:t>累计扣分触发重点监管：企业未完成信用修复的失信行为累计扣分达40分及以上，信用评价等级不得高于“C”。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</w:t>
      </w:r>
      <w:r>
        <w:rPr>
          <w:rFonts w:hint="eastAsia" w:cs="仿宋_GB2312"/>
          <w:sz w:val="32"/>
          <w:szCs w:val="32"/>
          <w:lang w:val="en-US" w:eastAsia="zh-CN"/>
        </w:rPr>
        <w:t>一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【信用等级划分标准】 根据评分模型计算得出的最终得分，将企业信用状况划分为A、B、C、D四个等级。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A</w:t>
      </w:r>
      <w:r>
        <w:rPr>
          <w:rFonts w:ascii="Times New Roman" w:hAnsi="Times New Roman" w:eastAsia="仿宋_GB2312" w:cs="仿宋_GB2312"/>
          <w:sz w:val="32"/>
          <w:szCs w:val="32"/>
        </w:rPr>
        <w:t>级：得分在90分及以上，表示企业经营稳定，信用记录优良，风险低。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B</w:t>
      </w:r>
      <w:r>
        <w:rPr>
          <w:rFonts w:ascii="Times New Roman" w:hAnsi="Times New Roman" w:eastAsia="仿宋_GB2312" w:cs="仿宋_GB2312"/>
          <w:sz w:val="32"/>
          <w:szCs w:val="32"/>
        </w:rPr>
        <w:t>级：得分在75分（含）至90分，表示企业经营基本稳定，信用良好，风险较低。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C</w:t>
      </w:r>
      <w:r>
        <w:rPr>
          <w:rFonts w:ascii="Times New Roman" w:hAnsi="Times New Roman" w:eastAsia="仿宋_GB2312" w:cs="仿宋_GB2312"/>
          <w:sz w:val="32"/>
          <w:szCs w:val="32"/>
        </w:rPr>
        <w:t>级：得分在60分（含）至75分，表示企业经营存在波动，有不良信用记录，风险较高，需关注。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D</w:t>
      </w:r>
      <w:r>
        <w:rPr>
          <w:rFonts w:ascii="Times New Roman" w:hAnsi="Times New Roman" w:eastAsia="仿宋_GB2312" w:cs="仿宋_GB2312"/>
          <w:sz w:val="32"/>
          <w:szCs w:val="32"/>
        </w:rPr>
        <w:t>级：得分在60分以下，表示企业</w:t>
      </w:r>
      <w:r>
        <w:rPr>
          <w:rFonts w:hint="eastAsia" w:cs="仿宋_GB2312"/>
          <w:sz w:val="32"/>
          <w:szCs w:val="32"/>
          <w:lang w:val="en-US" w:eastAsia="zh-CN"/>
        </w:rPr>
        <w:t>信用状况很差</w:t>
      </w:r>
      <w:r>
        <w:rPr>
          <w:rFonts w:ascii="Times New Roman" w:hAnsi="Times New Roman" w:eastAsia="仿宋_GB2312" w:cs="仿宋_GB2312"/>
          <w:sz w:val="32"/>
          <w:szCs w:val="32"/>
        </w:rPr>
        <w:t>，风险高，需重点监管。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</w:t>
      </w:r>
      <w:r>
        <w:rPr>
          <w:rFonts w:hint="eastAsia" w:cs="仿宋_GB2312"/>
          <w:sz w:val="32"/>
          <w:szCs w:val="32"/>
          <w:lang w:val="en-US" w:eastAsia="zh-CN"/>
        </w:rPr>
        <w:t>二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【评价数据来源渠道】 评价信息主要来源于以下渠道：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省级政务数据平台</w:t>
      </w:r>
      <w:r>
        <w:rPr>
          <w:rFonts w:ascii="Times New Roman" w:hAnsi="Times New Roman" w:eastAsia="仿宋_GB2312" w:cs="仿宋_GB2312"/>
          <w:sz w:val="32"/>
          <w:szCs w:val="32"/>
        </w:rPr>
        <w:t>：海南省大数据发展中心的法人数据库是核心数据源。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省、市、区级行政部门</w:t>
      </w:r>
      <w:r>
        <w:rPr>
          <w:rFonts w:ascii="Times New Roman" w:hAnsi="Times New Roman" w:eastAsia="仿宋_GB2312" w:cs="仿宋_GB2312"/>
          <w:sz w:val="32"/>
          <w:szCs w:val="32"/>
        </w:rPr>
        <w:t>：整合市场监督管理、税务、人力资源和社会保障、营商环境建设、海关等部门的行政许可、行政处罚、行政奖励、社保缴纳、纳税信用等监管与服务信息。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企业自主申报</w:t>
      </w:r>
      <w:r>
        <w:rPr>
          <w:rFonts w:ascii="Times New Roman" w:hAnsi="Times New Roman" w:eastAsia="仿宋_GB2312" w:cs="仿宋_GB2312"/>
          <w:sz w:val="32"/>
          <w:szCs w:val="32"/>
        </w:rPr>
        <w:t>：鼓励企业自主申报知识产权、行业认证、荣誉资质等信息，由区营商环境建设局会同相关部门审核确认后纳入评价。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（四）</w:t>
      </w:r>
      <w:r>
        <w:rPr>
          <w:rStyle w:val="23"/>
        </w:rPr>
        <w:t>特定信用平台</w:t>
      </w:r>
      <w:r>
        <w:rPr>
          <w:rFonts w:ascii="Times New Roman" w:hAnsi="Times New Roman" w:eastAsia="仿宋_GB2312" w:cs="仿宋_GB2312"/>
          <w:sz w:val="32"/>
          <w:szCs w:val="32"/>
        </w:rPr>
        <w:t>：如通过海南省“金椰分”平台查询企业高管个人信用分作为关联参考信息。</w:t>
      </w:r>
    </w:p>
    <w:p>
      <w:pPr>
        <w:pStyle w:val="2"/>
        <w:numPr>
          <w:ilvl w:val="0"/>
          <w:numId w:val="0"/>
        </w:numPr>
        <w:spacing w:line="560" w:lineRule="exact"/>
        <w:ind w:leftChars="0"/>
        <w:jc w:val="center"/>
        <w:rPr>
          <w:b w:val="0"/>
        </w:rPr>
      </w:pPr>
      <w:r>
        <w:rPr>
          <w:rFonts w:hint="eastAsia"/>
          <w:lang w:eastAsia="zh-CN"/>
        </w:rPr>
        <w:t xml:space="preserve">第四章 </w:t>
      </w:r>
      <w:r>
        <w:t>评价程序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</w:t>
      </w:r>
      <w:r>
        <w:rPr>
          <w:rFonts w:hint="eastAsia" w:cs="仿宋_GB2312"/>
          <w:sz w:val="32"/>
          <w:szCs w:val="32"/>
          <w:lang w:val="en-US" w:eastAsia="zh-CN"/>
        </w:rPr>
        <w:t>三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【评价周期】 企业信用评价依据归集范围内的最新有效数据进行，结果动态更新，反映企业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最新信用状况</w:t>
      </w:r>
      <w:r>
        <w:rPr>
          <w:rFonts w:cs="仿宋_GB2312"/>
          <w:color w:val="auto"/>
          <w:sz w:val="32"/>
          <w:szCs w:val="32"/>
        </w:rPr>
        <w:t>，原则上不少于每半年更新一次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</w:t>
      </w:r>
      <w:r>
        <w:rPr>
          <w:rFonts w:hint="eastAsia" w:cs="仿宋_GB2312"/>
          <w:sz w:val="32"/>
          <w:szCs w:val="32"/>
          <w:lang w:val="en-US" w:eastAsia="zh-CN"/>
        </w:rPr>
        <w:t>四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【评价启动与数据处理】 由区营商环境建设局依托技术平台，基于最新归集的数据启动评价流程：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数据归集与校验</w:t>
      </w:r>
      <w:r>
        <w:rPr>
          <w:rFonts w:ascii="Times New Roman" w:hAnsi="Times New Roman" w:eastAsia="仿宋_GB2312" w:cs="仿宋_GB2312"/>
          <w:sz w:val="32"/>
          <w:szCs w:val="32"/>
        </w:rPr>
        <w:t>：协调</w:t>
      </w:r>
      <w:r>
        <w:rPr>
          <w:rFonts w:hint="eastAsia" w:cs="仿宋_GB2312"/>
          <w:sz w:val="32"/>
          <w:szCs w:val="32"/>
          <w:lang w:val="en-US" w:eastAsia="zh-CN"/>
        </w:rPr>
        <w:t>各评价数据来源</w:t>
      </w:r>
      <w:r>
        <w:rPr>
          <w:rFonts w:ascii="Times New Roman" w:hAnsi="Times New Roman" w:eastAsia="仿宋_GB2312" w:cs="仿宋_GB2312"/>
          <w:sz w:val="32"/>
          <w:szCs w:val="32"/>
        </w:rPr>
        <w:t>部门于评价周期截止点前，将相关信用信息归集至评价系统并完成自动校验。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系统初评与特殊规则应用</w:t>
      </w:r>
      <w:r>
        <w:rPr>
          <w:rFonts w:ascii="Times New Roman" w:hAnsi="Times New Roman" w:eastAsia="仿宋_GB2312" w:cs="仿宋_GB2312"/>
          <w:sz w:val="32"/>
          <w:szCs w:val="32"/>
        </w:rPr>
        <w:t>：系统依据评分模型自动计算</w:t>
      </w:r>
      <w:r>
        <w:rPr>
          <w:rFonts w:ascii="Times New Roman" w:hAnsi="Times New Roman" w:eastAsia="仿宋_GB2312" w:cs="仿宋_GB2312"/>
          <w:spacing w:val="1"/>
          <w:sz w:val="32"/>
          <w:szCs w:val="32"/>
        </w:rPr>
        <w:t>企业初始得分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pacing w:val="1"/>
          <w:sz w:val="32"/>
          <w:szCs w:val="32"/>
        </w:rPr>
        <w:t>并同步应用“一票否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决</w:t>
      </w:r>
      <w:r>
        <w:rPr>
          <w:rFonts w:ascii="Times New Roman" w:hAnsi="Times New Roman" w:eastAsia="仿宋_GB2312" w:cs="仿宋_GB2312"/>
          <w:spacing w:val="1"/>
          <w:sz w:val="32"/>
          <w:szCs w:val="32"/>
        </w:rPr>
        <w:t>”及“等级限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制</w:t>
      </w:r>
      <w:r>
        <w:rPr>
          <w:rFonts w:ascii="Times New Roman" w:hAnsi="Times New Roman" w:eastAsia="仿宋_GB2312" w:cs="仿宋_GB2312"/>
          <w:spacing w:val="1"/>
          <w:sz w:val="32"/>
          <w:szCs w:val="32"/>
        </w:rPr>
        <w:t>”等特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殊</w:t>
      </w:r>
      <w:r>
        <w:rPr>
          <w:rFonts w:ascii="Times New Roman" w:hAnsi="Times New Roman" w:eastAsia="仿宋_GB2312" w:cs="仿宋_GB2312"/>
          <w:sz w:val="32"/>
          <w:szCs w:val="32"/>
        </w:rPr>
        <w:t>规则。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结果审核与确认</w:t>
      </w:r>
      <w:r>
        <w:rPr>
          <w:rFonts w:ascii="Times New Roman" w:hAnsi="Times New Roman" w:eastAsia="仿宋_GB2312" w:cs="仿宋_GB2312"/>
          <w:sz w:val="32"/>
          <w:szCs w:val="32"/>
        </w:rPr>
        <w:t>：系统生成初步评价结果后，由区营商环境建设局组织人工复核。对于存疑或复杂情况，可启动会商机制征求相关部门意见。复核无误后，形成最终评价结果。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第十</w:t>
      </w:r>
      <w:r>
        <w:rPr>
          <w:rFonts w:hint="eastAsia" w:cs="仿宋_GB2312"/>
          <w:sz w:val="32"/>
          <w:szCs w:val="32"/>
          <w:lang w:val="en-US" w:eastAsia="zh-CN"/>
        </w:rPr>
        <w:t>五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【结果共享与发布】 评价结果经确认后，按以下方式处理：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内部应用</w:t>
      </w:r>
      <w:r>
        <w:rPr>
          <w:rFonts w:ascii="Times New Roman" w:hAnsi="Times New Roman" w:eastAsia="仿宋_GB2312" w:cs="仿宋_GB2312"/>
          <w:sz w:val="32"/>
          <w:szCs w:val="32"/>
        </w:rPr>
        <w:t>：在区级各相关行政管理部门内部共享，作为实施分级分类监管等工作的依据。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平台归集</w:t>
      </w:r>
      <w:r>
        <w:rPr>
          <w:rFonts w:ascii="Times New Roman" w:hAnsi="Times New Roman" w:eastAsia="仿宋_GB2312" w:cs="仿宋_GB2312"/>
          <w:sz w:val="32"/>
          <w:szCs w:val="32"/>
        </w:rPr>
        <w:t>：推送至三亚公共信用信息共享平台。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信息查询</w:t>
      </w:r>
      <w:r>
        <w:rPr>
          <w:rFonts w:ascii="Times New Roman" w:hAnsi="Times New Roman" w:eastAsia="仿宋_GB2312" w:cs="仿宋_GB2312"/>
          <w:sz w:val="32"/>
          <w:szCs w:val="32"/>
        </w:rPr>
        <w:t>：通过区级服务平台</w:t>
      </w:r>
      <w:r>
        <w:rPr>
          <w:rFonts w:hint="eastAsia" w:cs="仿宋_GB2312"/>
          <w:sz w:val="32"/>
          <w:szCs w:val="32"/>
          <w:lang w:eastAsia="zh-CN"/>
        </w:rPr>
        <w:t>等渠道</w:t>
      </w:r>
      <w:r>
        <w:rPr>
          <w:rFonts w:ascii="Times New Roman" w:hAnsi="Times New Roman" w:eastAsia="仿宋_GB2312" w:cs="仿宋_GB2312"/>
          <w:sz w:val="32"/>
          <w:szCs w:val="32"/>
        </w:rPr>
        <w:t>依法向社会提供授权查询服务。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default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十六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</w:t>
      </w:r>
      <w:r>
        <w:rPr>
          <w:rFonts w:hint="eastAsia" w:cs="仿宋_GB2312"/>
          <w:sz w:val="32"/>
          <w:szCs w:val="32"/>
          <w:lang w:val="en-US" w:eastAsia="zh-CN"/>
        </w:rPr>
        <w:t>信用修复</w:t>
      </w:r>
      <w:r>
        <w:rPr>
          <w:rFonts w:ascii="Times New Roman" w:hAnsi="Times New Roman" w:eastAsia="仿宋_GB2312" w:cs="仿宋_GB2312"/>
          <w:sz w:val="32"/>
          <w:szCs w:val="32"/>
        </w:rPr>
        <w:t>】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企业在完成信用修复后，相关信用信息将在系统中更新，并纳入下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一个评价周期的数据归集范围，据此重新计算信用得分与</w:t>
      </w:r>
      <w:r>
        <w:rPr>
          <w:rFonts w:ascii="Times New Roman" w:hAnsi="Times New Roman" w:eastAsia="仿宋_GB2312" w:cs="仿宋_GB2312"/>
          <w:sz w:val="32"/>
          <w:szCs w:val="32"/>
        </w:rPr>
        <w:t>等级。</w:t>
      </w:r>
    </w:p>
    <w:p>
      <w:pPr>
        <w:pStyle w:val="22"/>
        <w:numPr>
          <w:ilvl w:val="0"/>
          <w:numId w:val="0"/>
        </w:numPr>
        <w:spacing w:line="560" w:lineRule="exact"/>
        <w:ind w:leftChars="0"/>
        <w:rPr>
          <w:b w:val="0"/>
        </w:rPr>
      </w:pPr>
      <w:r>
        <w:rPr>
          <w:rFonts w:hint="eastAsia"/>
          <w:lang w:eastAsia="zh-CN"/>
        </w:rPr>
        <w:t xml:space="preserve">第五章 </w:t>
      </w:r>
      <w:r>
        <w:t>评价结果应用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十七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【分级分类监管原则】 区级各</w:t>
      </w:r>
      <w:r>
        <w:rPr>
          <w:rFonts w:hint="eastAsia" w:cs="仿宋_GB2312"/>
          <w:sz w:val="32"/>
          <w:szCs w:val="32"/>
          <w:lang w:eastAsia="zh-CN"/>
        </w:rPr>
        <w:t>行业监管</w:t>
      </w:r>
      <w:r>
        <w:rPr>
          <w:rFonts w:ascii="Times New Roman" w:hAnsi="Times New Roman" w:eastAsia="仿宋_GB2312" w:cs="仿宋_GB2312"/>
          <w:sz w:val="32"/>
          <w:szCs w:val="32"/>
        </w:rPr>
        <w:t>部门应根据企业信用评价等级，</w:t>
      </w:r>
      <w:r>
        <w:rPr>
          <w:rFonts w:cs="仿宋_GB2312"/>
          <w:sz w:val="32"/>
          <w:szCs w:val="32"/>
        </w:rPr>
        <w:t>结合行业特色及自身监管权限，</w:t>
      </w:r>
      <w:r>
        <w:rPr>
          <w:rFonts w:ascii="Times New Roman" w:hAnsi="Times New Roman" w:eastAsia="仿宋_GB2312" w:cs="仿宋_GB2312"/>
          <w:sz w:val="32"/>
          <w:szCs w:val="32"/>
        </w:rPr>
        <w:t>在日常监管活动中实施差异化措施。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对A级（信用优秀）企业</w:t>
      </w:r>
      <w:r>
        <w:rPr>
          <w:rFonts w:ascii="Times New Roman" w:hAnsi="Times New Roman" w:eastAsia="仿宋_GB2312" w:cs="仿宋_GB2312"/>
          <w:sz w:val="32"/>
          <w:szCs w:val="32"/>
        </w:rPr>
        <w:t>：原则上纳入诚信守法类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管理，实施以企业自主管理为主的低干预监管，在“双随机、一公开”</w:t>
      </w:r>
      <w:r>
        <w:rPr>
          <w:rFonts w:cs="仿宋_GB2312"/>
          <w:color w:val="auto"/>
          <w:sz w:val="32"/>
          <w:szCs w:val="32"/>
        </w:rPr>
        <w:t>“综合查一次”等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抽查</w:t>
      </w:r>
      <w:r>
        <w:rPr>
          <w:rFonts w:cs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监管中</w:t>
      </w:r>
      <w:r>
        <w:rPr>
          <w:rFonts w:cs="仿宋_GB2312"/>
          <w:color w:val="auto"/>
          <w:sz w:val="32"/>
          <w:szCs w:val="32"/>
        </w:rPr>
        <w:t>从优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降低比例和频次。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color w:val="auto"/>
          <w:lang w:eastAsia="zh-CN"/>
        </w:rPr>
        <w:t>（二）</w:t>
      </w:r>
      <w:r>
        <w:rPr>
          <w:rStyle w:val="23"/>
          <w:color w:val="auto"/>
        </w:rPr>
        <w:t>对B级（信用良好）企业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：实施</w:t>
      </w:r>
      <w:r>
        <w:rPr>
          <w:rFonts w:cs="仿宋_GB2312"/>
          <w:color w:val="auto"/>
          <w:sz w:val="32"/>
          <w:szCs w:val="32"/>
        </w:rPr>
        <w:t>较低干预监管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，按正常</w:t>
      </w:r>
      <w:r>
        <w:rPr>
          <w:rFonts w:cs="仿宋_GB2312"/>
          <w:color w:val="auto"/>
          <w:sz w:val="32"/>
          <w:szCs w:val="32"/>
        </w:rPr>
        <w:t>或较优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比例和频次进行“双随机、一公开”</w:t>
      </w:r>
      <w:r>
        <w:rPr>
          <w:rFonts w:cs="仿宋_GB2312"/>
          <w:color w:val="auto"/>
          <w:sz w:val="32"/>
          <w:szCs w:val="32"/>
        </w:rPr>
        <w:t>“综合查一次”等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抽查</w:t>
      </w:r>
      <w:r>
        <w:rPr>
          <w:rFonts w:cs="仿宋_GB2312"/>
          <w:color w:val="auto"/>
          <w:sz w:val="32"/>
          <w:szCs w:val="32"/>
        </w:rPr>
        <w:t>和监管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，在日常监管中以指导和服务为主。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color w:val="auto"/>
          <w:lang w:eastAsia="zh-CN"/>
        </w:rPr>
        <w:t>（三）</w:t>
      </w:r>
      <w:r>
        <w:rPr>
          <w:rStyle w:val="23"/>
          <w:color w:val="auto"/>
        </w:rPr>
        <w:t>对C级（信用一般）企业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：实施</w:t>
      </w:r>
      <w:r>
        <w:rPr>
          <w:rFonts w:cs="仿宋_GB2312"/>
          <w:color w:val="auto"/>
          <w:sz w:val="32"/>
          <w:szCs w:val="32"/>
        </w:rPr>
        <w:t>日常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监管，适当提高“双随机、一公开”</w:t>
      </w:r>
      <w:r>
        <w:rPr>
          <w:rFonts w:cs="仿宋_GB2312"/>
          <w:color w:val="auto"/>
          <w:sz w:val="32"/>
          <w:szCs w:val="32"/>
        </w:rPr>
        <w:t>“综合查一次”等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抽查比例和频次，列入日常监督检查对象。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23"/>
          <w:rFonts w:hint="eastAsia" w:eastAsia="楷体_GB2312"/>
          <w:color w:val="auto"/>
          <w:lang w:eastAsia="zh-CN"/>
        </w:rPr>
        <w:t>（四）</w:t>
      </w:r>
      <w:r>
        <w:rPr>
          <w:rStyle w:val="23"/>
          <w:color w:val="auto"/>
        </w:rPr>
        <w:t>对D级（信用较差）企业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：列为重点监管对象，大幅提高“双随机、一公开”</w:t>
      </w:r>
      <w:r>
        <w:rPr>
          <w:rFonts w:cs="仿宋_GB2312"/>
          <w:color w:val="auto"/>
          <w:sz w:val="32"/>
          <w:szCs w:val="32"/>
        </w:rPr>
        <w:t>“综合查一次”等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抽查比例和频次，必要时实施全覆盖重点检查，并依法依规对其从业任职、享受政策、参与评比表彰等方面予以限制。</w:t>
      </w:r>
    </w:p>
    <w:p>
      <w:pPr>
        <w:pStyle w:val="16"/>
        <w:numPr>
          <w:ilvl w:val="0"/>
          <w:numId w:val="0"/>
        </w:numPr>
        <w:topLinePunct w:val="0"/>
        <w:spacing w:line="560" w:lineRule="exact"/>
        <w:ind w:left="0" w:leftChars="0" w:firstLine="616" w:firstLineChars="200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Style w:val="25"/>
          <w:rFonts w:hint="eastAsia" w:ascii="楷体_GB2312" w:hAnsi="Times New Roman" w:eastAsia="楷体_GB2312" w:cs="楷体_GB2312"/>
          <w:color w:val="auto"/>
          <w:spacing w:val="-6"/>
          <w:sz w:val="32"/>
          <w:szCs w:val="32"/>
          <w:lang w:val="en-US" w:eastAsia="zh-CN" w:bidi="ar"/>
        </w:rPr>
        <w:t>（五）企业评价结果关联个人诚信分：</w:t>
      </w:r>
      <w:r>
        <w:rPr>
          <w:rFonts w:hint="eastAsia" w:ascii="仿宋_GB2312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 w:bidi="ar"/>
        </w:rPr>
        <w:t>结合金椰分加分指标，将海棠区企业评价结果优良且列入行业“红名单”的企业名</w:t>
      </w:r>
      <w:r>
        <w:rPr>
          <w:rFonts w:hint="eastAsia" w:ascii="仿宋_GB2312" w:hAnsi="Times New Roman" w:eastAsia="仿宋_GB2312" w:cs="仿宋_GB2312"/>
          <w:spacing w:val="-6"/>
          <w:kern w:val="0"/>
          <w:sz w:val="32"/>
          <w:szCs w:val="32"/>
          <w:lang w:val="en-US" w:eastAsia="zh-CN" w:bidi="ar"/>
        </w:rPr>
        <w:t>单，推送至金椰分平台，对关联法定代表人并予以相应加分。结合金椰分扣分指</w:t>
      </w:r>
      <w:r>
        <w:rPr>
          <w:rFonts w:hint="default" w:ascii="Times New Roman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标，将海棠区企业评价结果较差且列入严重失信主体名单的企业名单，推送至金椰分平台，对关联法定代表人并予以相应扣分。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CN" w:bidi="ar"/>
        </w:rPr>
      </w:pPr>
      <w:r>
        <w:rPr>
          <w:rFonts w:hint="default" w:cs="仿宋_GB2312"/>
          <w:sz w:val="32"/>
          <w:szCs w:val="32"/>
          <w:lang w:eastAsia="zh-CN"/>
        </w:rPr>
        <w:t>第</w:t>
      </w:r>
      <w:r>
        <w:rPr>
          <w:rFonts w:hint="default" w:cs="仿宋_GB2312"/>
          <w:sz w:val="32"/>
          <w:szCs w:val="32"/>
          <w:lang w:val="en-US" w:eastAsia="zh-CN"/>
        </w:rPr>
        <w:t>十八</w:t>
      </w:r>
      <w:r>
        <w:rPr>
          <w:rFonts w:hint="default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【守信激励措施】 </w:t>
      </w:r>
      <w:r>
        <w:rPr>
          <w:rFonts w:hint="default" w:ascii="Times New Roman" w:cs="仿宋_GB2312"/>
          <w:sz w:val="32"/>
          <w:szCs w:val="32"/>
          <w:lang w:val="en-US" w:eastAsia="zh-CN" w:bidi="ar"/>
        </w:rPr>
        <w:t>鼓励区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 w:bidi="ar"/>
        </w:rPr>
        <w:t>各</w:t>
      </w:r>
      <w:r>
        <w:rPr>
          <w:rFonts w:hint="default" w:ascii="Times New Roman" w:cs="仿宋_GB231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 w:bidi="ar"/>
        </w:rPr>
        <w:t>部门在法定权限内，将企业信用评价结果作为实施守信激励的重要参考</w:t>
      </w:r>
      <w:r>
        <w:rPr>
          <w:rFonts w:hint="default" w:ascii="Times New Roman" w:cs="仿宋_GB2312"/>
          <w:sz w:val="32"/>
          <w:szCs w:val="32"/>
          <w:lang w:val="en-US" w:eastAsia="zh-CN" w:bidi="ar"/>
        </w:rPr>
        <w:t>，制定包括但不限于以下激励措施：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行政审批领域</w:t>
      </w:r>
      <w:r>
        <w:rPr>
          <w:rFonts w:ascii="Times New Roman" w:hAnsi="Times New Roman" w:eastAsia="仿宋_GB2312" w:cs="仿宋_GB2312"/>
          <w:sz w:val="32"/>
          <w:szCs w:val="32"/>
        </w:rPr>
        <w:t>：对A级、B级企业依法依规</w:t>
      </w:r>
      <w:r>
        <w:rPr>
          <w:rFonts w:hint="eastAsia" w:cs="仿宋_GB2312"/>
          <w:sz w:val="32"/>
          <w:szCs w:val="32"/>
          <w:lang w:val="en-US" w:eastAsia="zh-CN"/>
        </w:rPr>
        <w:t>提供</w:t>
      </w:r>
      <w:r>
        <w:rPr>
          <w:rFonts w:ascii="Times New Roman" w:hAnsi="Times New Roman" w:eastAsia="仿宋_GB2312" w:cs="仿宋_GB2312"/>
          <w:sz w:val="32"/>
          <w:szCs w:val="32"/>
        </w:rPr>
        <w:t>“绿色通道”、“容缺受理”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、</w:t>
      </w:r>
      <w:r>
        <w:rPr>
          <w:rFonts w:cs="仿宋_GB2312"/>
          <w:color w:val="auto"/>
          <w:sz w:val="32"/>
          <w:szCs w:val="32"/>
        </w:rPr>
        <w:t>“告知承诺”、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简化</w:t>
      </w:r>
      <w:r>
        <w:rPr>
          <w:rFonts w:ascii="Times New Roman" w:hAnsi="Times New Roman" w:eastAsia="仿宋_GB2312" w:cs="仿宋_GB2312"/>
          <w:sz w:val="32"/>
          <w:szCs w:val="32"/>
        </w:rPr>
        <w:t>程序、优先办理等便利服务。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政策扶持与资金支持</w:t>
      </w:r>
      <w:r>
        <w:rPr>
          <w:rFonts w:ascii="Times New Roman" w:hAnsi="Times New Roman" w:eastAsia="仿宋_GB2312" w:cs="仿宋_GB2312"/>
          <w:sz w:val="32"/>
          <w:szCs w:val="32"/>
        </w:rPr>
        <w:t>：在安排财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政性资金项目、实施政府投资项目建设、落实产业扶持政策、税收优惠及评优评先</w:t>
      </w:r>
      <w:r>
        <w:rPr>
          <w:rFonts w:cs="仿宋_GB2312"/>
          <w:color w:val="auto"/>
          <w:sz w:val="32"/>
          <w:szCs w:val="32"/>
        </w:rPr>
        <w:t>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活动中，优先支持或推荐信用等级高的企业。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color w:val="auto"/>
          <w:lang w:eastAsia="zh-CN"/>
        </w:rPr>
        <w:t>（三）</w:t>
      </w:r>
      <w:r>
        <w:rPr>
          <w:rStyle w:val="23"/>
          <w:color w:val="auto"/>
        </w:rPr>
        <w:t>政府采购与公共资源交易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：鼓励在政府采购、政府投资项目招标投标等活动中，</w:t>
      </w:r>
      <w:r>
        <w:rPr>
          <w:rFonts w:cs="仿宋_GB2312"/>
          <w:color w:val="auto"/>
          <w:sz w:val="32"/>
          <w:szCs w:val="32"/>
        </w:rPr>
        <w:t>在保障公平竞争前提下，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将信</w:t>
      </w:r>
      <w:r>
        <w:rPr>
          <w:rFonts w:ascii="Times New Roman" w:hAnsi="Times New Roman" w:eastAsia="仿宋_GB2312" w:cs="仿宋_GB2312"/>
          <w:sz w:val="32"/>
          <w:szCs w:val="32"/>
        </w:rPr>
        <w:t>用评价等级作为择优因素，对A级企业给予加分或同等条件优先考虑。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（四）</w:t>
      </w:r>
      <w:r>
        <w:rPr>
          <w:rStyle w:val="23"/>
        </w:rPr>
        <w:t>融资信贷支持</w:t>
      </w:r>
      <w:r>
        <w:rPr>
          <w:rFonts w:ascii="Times New Roman" w:hAnsi="Times New Roman" w:eastAsia="仿宋_GB2312" w:cs="仿宋_GB2312"/>
          <w:sz w:val="32"/>
          <w:szCs w:val="32"/>
        </w:rPr>
        <w:t>：积极推荐高信用等级企业纳入“信易贷”等融资服务平台白名单，引导金融机构在风险可控前提下，给予更优惠的贷款利率、更高的授信额度或更便捷的审批流程。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default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十九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【信易＋服务应用】</w:t>
      </w:r>
      <w:r>
        <w:rPr>
          <w:rFonts w:cs="仿宋_GB2312"/>
          <w:sz w:val="32"/>
          <w:szCs w:val="32"/>
        </w:rPr>
        <w:t>推动</w:t>
      </w:r>
      <w:r>
        <w:rPr>
          <w:rFonts w:ascii="Times New Roman" w:hAnsi="Times New Roman" w:eastAsia="仿宋_GB2312" w:cs="仿宋_GB2312"/>
          <w:sz w:val="32"/>
          <w:szCs w:val="32"/>
        </w:rPr>
        <w:t>企业信用评价结果在更多经济社会领域</w:t>
      </w:r>
      <w:r>
        <w:rPr>
          <w:rFonts w:cs="仿宋_GB2312"/>
          <w:sz w:val="32"/>
          <w:szCs w:val="32"/>
        </w:rPr>
        <w:t>中的</w:t>
      </w:r>
      <w:r>
        <w:rPr>
          <w:rFonts w:ascii="Times New Roman" w:hAnsi="Times New Roman" w:eastAsia="仿宋_GB2312" w:cs="仿宋_GB2312"/>
          <w:sz w:val="32"/>
          <w:szCs w:val="32"/>
        </w:rPr>
        <w:t>创新应用。</w:t>
      </w:r>
      <w:r>
        <w:rPr>
          <w:rFonts w:cs="仿宋_GB2312"/>
          <w:sz w:val="32"/>
          <w:szCs w:val="32"/>
        </w:rPr>
        <w:t>鼓励区</w:t>
      </w:r>
      <w:r>
        <w:rPr>
          <w:rFonts w:ascii="Times New Roman" w:hAnsi="Times New Roman" w:eastAsia="仿宋_GB2312" w:cs="仿宋_GB2312"/>
          <w:sz w:val="32"/>
          <w:szCs w:val="32"/>
        </w:rPr>
        <w:t>各</w:t>
      </w:r>
      <w:r>
        <w:rPr>
          <w:rFonts w:hint="default" w:cs="仿宋_GB2312"/>
          <w:sz w:val="32"/>
          <w:szCs w:val="32"/>
          <w:lang w:eastAsia="zh-CN"/>
        </w:rPr>
        <w:t>单位、行业商协会</w:t>
      </w:r>
      <w:r>
        <w:rPr>
          <w:rFonts w:ascii="Times New Roman" w:hAnsi="Times New Roman" w:eastAsia="仿宋_GB2312" w:cs="仿宋_GB2312"/>
          <w:sz w:val="32"/>
          <w:szCs w:val="32"/>
        </w:rPr>
        <w:t>在</w:t>
      </w:r>
      <w:r>
        <w:rPr>
          <w:rFonts w:hint="default" w:cs="仿宋_GB2312"/>
          <w:sz w:val="32"/>
          <w:szCs w:val="32"/>
          <w:lang w:eastAsia="zh-CN"/>
        </w:rPr>
        <w:t>职责及权限范围内</w:t>
      </w:r>
      <w:r>
        <w:rPr>
          <w:rFonts w:ascii="Times New Roman" w:hAnsi="Times New Roman" w:eastAsia="仿宋_GB2312" w:cs="仿宋_GB2312"/>
          <w:sz w:val="32"/>
          <w:szCs w:val="32"/>
        </w:rPr>
        <w:t>，</w:t>
      </w:r>
      <w:r>
        <w:rPr>
          <w:rFonts w:hint="default" w:cs="仿宋_GB2312"/>
          <w:sz w:val="32"/>
          <w:szCs w:val="32"/>
          <w:lang w:eastAsia="zh-CN"/>
        </w:rPr>
        <w:t>应用不限于以下的激励措施，共同营造“守信有益、信用有价”的良好社会氛围：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default" w:eastAsia="仿宋_GB2312" w:cs="仿宋_GB2312"/>
          <w:lang w:eastAsia="zh-CN"/>
        </w:rPr>
        <w:t>（一）</w:t>
      </w:r>
      <w:r>
        <w:rPr>
          <w:rFonts w:eastAsia="仿宋_GB2312" w:cs="仿宋_GB2312"/>
        </w:rPr>
        <w:t>“信易批”</w:t>
      </w:r>
      <w:r>
        <w:rPr>
          <w:rFonts w:ascii="Times New Roman" w:hAnsi="Times New Roman" w:eastAsia="仿宋_GB2312" w:cs="仿宋_GB2312"/>
          <w:sz w:val="32"/>
          <w:szCs w:val="32"/>
        </w:rPr>
        <w:t>：在工程建设、市场准入等领域的审批中，为信用良好的企业提供更快的办理速度和更简化的材料要求。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“信易租”</w:t>
      </w:r>
      <w:r>
        <w:rPr>
          <w:rFonts w:ascii="Times New Roman" w:hAnsi="Times New Roman" w:eastAsia="仿宋_GB2312" w:cs="仿宋_GB2312"/>
          <w:sz w:val="32"/>
          <w:szCs w:val="32"/>
        </w:rPr>
        <w:t>：在产业园区、写字楼、人才公寓等物业租赁</w:t>
      </w:r>
      <w:r>
        <w:rPr>
          <w:rFonts w:ascii="Times New Roman" w:hAnsi="Times New Roman" w:eastAsia="仿宋_GB2312" w:cs="仿宋_GB2312"/>
          <w:spacing w:val="6"/>
          <w:sz w:val="32"/>
          <w:szCs w:val="32"/>
        </w:rPr>
        <w:t>中，为高信用等级企业提供免押金或减押金、优先选房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等</w:t>
      </w:r>
      <w:r>
        <w:rPr>
          <w:rFonts w:ascii="Times New Roman" w:hAnsi="Times New Roman" w:eastAsia="仿宋_GB2312" w:cs="仿宋_GB2312"/>
          <w:sz w:val="32"/>
          <w:szCs w:val="32"/>
        </w:rPr>
        <w:t>便利。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“信易游”</w:t>
      </w:r>
      <w:r>
        <w:rPr>
          <w:rFonts w:ascii="Times New Roman" w:hAnsi="Times New Roman" w:eastAsia="仿宋_GB2312" w:cs="仿宋_GB2312"/>
          <w:sz w:val="32"/>
          <w:szCs w:val="32"/>
        </w:rPr>
        <w:t>：探索与区内旅游企业合作，为守信企业及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其</w:t>
      </w:r>
      <w:r>
        <w:rPr>
          <w:rFonts w:cs="仿宋_GB2312"/>
          <w:color w:val="auto"/>
          <w:sz w:val="32"/>
          <w:szCs w:val="32"/>
        </w:rPr>
        <w:t>守信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员工</w:t>
      </w:r>
      <w:r>
        <w:rPr>
          <w:rFonts w:ascii="Times New Roman" w:hAnsi="Times New Roman" w:eastAsia="仿宋_GB2312" w:cs="仿宋_GB2312"/>
          <w:sz w:val="32"/>
          <w:szCs w:val="32"/>
        </w:rPr>
        <w:t>在景区门票、酒店住宿、消费购物等方面提供优惠或专属服务。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（四）</w:t>
      </w:r>
      <w:r>
        <w:rPr>
          <w:rStyle w:val="23"/>
        </w:rPr>
        <w:t>“信易＋行业联盟”</w:t>
      </w:r>
      <w:r>
        <w:rPr>
          <w:rFonts w:ascii="Times New Roman" w:hAnsi="Times New Roman" w:eastAsia="仿宋_GB2312" w:cs="仿宋_GB2312"/>
          <w:sz w:val="32"/>
          <w:szCs w:val="32"/>
        </w:rPr>
        <w:t>：鼓励行业协会、商业楼宇联盟等社会组织，基于评价结果为成员单位提供内部优惠和便利。</w:t>
      </w:r>
    </w:p>
    <w:p>
      <w:pPr>
        <w:pStyle w:val="22"/>
        <w:numPr>
          <w:ilvl w:val="0"/>
          <w:numId w:val="0"/>
        </w:numPr>
        <w:spacing w:line="560" w:lineRule="exact"/>
        <w:ind w:leftChars="0"/>
        <w:rPr>
          <w:b w:val="0"/>
        </w:rPr>
      </w:pPr>
      <w:r>
        <w:rPr>
          <w:rFonts w:hint="eastAsia"/>
          <w:lang w:eastAsia="zh-CN"/>
        </w:rPr>
        <w:t xml:space="preserve">第六章 </w:t>
      </w:r>
      <w:r>
        <w:t>权益保护与信用修复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第二十条　</w:t>
      </w:r>
      <w:r>
        <w:rPr>
          <w:rFonts w:ascii="Times New Roman" w:hAnsi="Times New Roman" w:eastAsia="仿宋_GB2312" w:cs="仿宋_GB2312"/>
          <w:sz w:val="32"/>
          <w:szCs w:val="32"/>
        </w:rPr>
        <w:t>【知情权与信息公开查询】 企业有权知晓自身的信用评价结果及依据。区营商环境建设局应在每季度评价结果确认后，通过海南省政务服务网（“海易办”）或区级政务服务平台，为企业开通授权查询渠道。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第二十</w:t>
      </w:r>
      <w:r>
        <w:rPr>
          <w:rFonts w:hint="default" w:cs="仿宋_GB2312"/>
          <w:sz w:val="32"/>
          <w:szCs w:val="32"/>
          <w:lang w:eastAsia="zh-CN"/>
        </w:rPr>
        <w:t>一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【信用修复】 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鼓励失信主体主动纠正失</w:t>
      </w:r>
      <w:r>
        <w:rPr>
          <w:rFonts w:hint="default" w:ascii="Times New Roman" w:hAnsi="Times New Roman" w:eastAsia="仿宋_GB2312" w:cs="仿宋_GB2312"/>
          <w:spacing w:val="-6"/>
          <w:sz w:val="32"/>
          <w:szCs w:val="32"/>
          <w:lang w:eastAsia="zh-CN"/>
        </w:rPr>
        <w:t>信行为、消除不良影响</w:t>
      </w:r>
      <w:r>
        <w:rPr>
          <w:rFonts w:hint="default" w:cs="仿宋_GB2312"/>
          <w:sz w:val="32"/>
          <w:szCs w:val="32"/>
          <w:lang w:eastAsia="zh-CN"/>
        </w:rPr>
        <w:t>，依据</w:t>
      </w:r>
      <w:r>
        <w:rPr>
          <w:rFonts w:hint="eastAsia" w:cs="仿宋_GB2312"/>
          <w:sz w:val="32"/>
          <w:szCs w:val="32"/>
          <w:lang w:eastAsia="zh-CN"/>
        </w:rPr>
        <w:t>“</w:t>
      </w:r>
      <w:r>
        <w:rPr>
          <w:rFonts w:hint="default" w:cs="仿宋_GB2312"/>
          <w:sz w:val="32"/>
          <w:szCs w:val="32"/>
          <w:lang w:eastAsia="zh-CN"/>
        </w:rPr>
        <w:t>信用修复一件事”</w:t>
      </w:r>
      <w:r>
        <w:rPr>
          <w:rFonts w:hint="eastAsia" w:cs="仿宋_GB2312"/>
          <w:sz w:val="32"/>
          <w:szCs w:val="32"/>
          <w:lang w:eastAsia="zh-CN"/>
        </w:rPr>
        <w:t>等</w:t>
      </w:r>
      <w:r>
        <w:rPr>
          <w:rFonts w:hint="default" w:cs="仿宋_GB2312"/>
          <w:sz w:val="32"/>
          <w:szCs w:val="32"/>
          <w:lang w:eastAsia="zh-CN"/>
        </w:rPr>
        <w:t>流程，</w:t>
      </w:r>
      <w:r>
        <w:rPr>
          <w:rFonts w:hint="default" w:cs="仿宋_GB2312"/>
          <w:sz w:val="32"/>
          <w:szCs w:val="32"/>
          <w:lang w:val="en-US" w:eastAsia="zh-CN"/>
        </w:rPr>
        <w:t>引导失信主体</w:t>
      </w:r>
      <w:r>
        <w:rPr>
          <w:rFonts w:hint="default" w:cs="仿宋_GB2312"/>
          <w:spacing w:val="-6"/>
          <w:sz w:val="32"/>
          <w:szCs w:val="32"/>
          <w:lang w:val="en-US" w:eastAsia="zh-CN"/>
        </w:rPr>
        <w:t>依据《信用修复管理办法》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等法律法规</w:t>
      </w:r>
      <w:r>
        <w:rPr>
          <w:rFonts w:hint="default" w:cs="仿宋_GB2312"/>
          <w:spacing w:val="-6"/>
          <w:sz w:val="32"/>
          <w:szCs w:val="32"/>
          <w:lang w:val="en-US" w:eastAsia="zh-CN"/>
        </w:rPr>
        <w:t>进行信用修复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第二十</w:t>
      </w:r>
      <w:r>
        <w:rPr>
          <w:rFonts w:hint="default" w:cs="仿宋_GB2312"/>
          <w:sz w:val="32"/>
          <w:szCs w:val="32"/>
          <w:lang w:eastAsia="zh-CN"/>
        </w:rPr>
        <w:t>二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</w:t>
      </w:r>
      <w:r>
        <w:rPr>
          <w:rFonts w:hint="eastAsia" w:cs="仿宋_GB2312"/>
          <w:sz w:val="32"/>
          <w:szCs w:val="32"/>
          <w:lang w:val="en-US" w:eastAsia="zh-CN"/>
        </w:rPr>
        <w:t>信息安全</w:t>
      </w:r>
      <w:r>
        <w:rPr>
          <w:rFonts w:ascii="Times New Roman" w:hAnsi="Times New Roman" w:eastAsia="仿宋_GB2312" w:cs="仿宋_GB2312"/>
          <w:sz w:val="32"/>
          <w:szCs w:val="32"/>
        </w:rPr>
        <w:t>】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严格执行国家网络安全等级保护制度，严禁越权查询、篡改、虚构、违规删除或泄露非公开的信用信息。</w:t>
      </w:r>
    </w:p>
    <w:p>
      <w:pPr>
        <w:pStyle w:val="22"/>
        <w:numPr>
          <w:ilvl w:val="0"/>
          <w:numId w:val="0"/>
        </w:numPr>
        <w:spacing w:line="560" w:lineRule="exact"/>
        <w:ind w:leftChars="0"/>
        <w:rPr>
          <w:b w:val="0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 xml:space="preserve">章 </w:t>
      </w:r>
      <w:r>
        <w:t>附则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二十</w:t>
      </w:r>
      <w:r>
        <w:rPr>
          <w:rFonts w:hint="default" w:cs="仿宋_GB2312"/>
          <w:sz w:val="32"/>
          <w:szCs w:val="32"/>
          <w:lang w:eastAsia="zh-CN"/>
        </w:rPr>
        <w:t>三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【解释权归属】 本办法由三亚市海棠区营商环境建设局负责解释。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二十</w:t>
      </w:r>
      <w:r>
        <w:rPr>
          <w:rFonts w:hint="default" w:cs="仿宋_GB2312"/>
          <w:sz w:val="32"/>
          <w:szCs w:val="32"/>
          <w:lang w:eastAsia="zh-CN"/>
        </w:rPr>
        <w:t>四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【生效与时效】 本办法自印发之日起试行，有效期三年。</w:t>
      </w:r>
    </w:p>
    <w:p>
      <w:pPr>
        <w:pStyle w:val="12"/>
        <w:numPr>
          <w:ilvl w:val="0"/>
          <w:numId w:val="0"/>
        </w:numPr>
        <w:topLinePunct w:val="0"/>
        <w:spacing w:line="560" w:lineRule="exact"/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第</w:t>
      </w:r>
      <w:r>
        <w:rPr>
          <w:rFonts w:hint="eastAsia" w:cs="仿宋_GB2312"/>
          <w:sz w:val="32"/>
          <w:szCs w:val="32"/>
          <w:lang w:val="en-US" w:eastAsia="zh-CN"/>
        </w:rPr>
        <w:t>二十</w:t>
      </w:r>
      <w:r>
        <w:rPr>
          <w:rFonts w:hint="default" w:cs="仿宋_GB2312"/>
          <w:sz w:val="32"/>
          <w:szCs w:val="32"/>
          <w:lang w:eastAsia="zh-CN"/>
        </w:rPr>
        <w:t>五</w:t>
      </w:r>
      <w:r>
        <w:rPr>
          <w:rFonts w:hint="eastAsia" w:cs="仿宋_GB2312"/>
          <w:sz w:val="32"/>
          <w:szCs w:val="32"/>
          <w:lang w:eastAsia="zh-CN"/>
        </w:rPr>
        <w:t>条　</w:t>
      </w:r>
      <w:r>
        <w:rPr>
          <w:rFonts w:ascii="Times New Roman" w:hAnsi="Times New Roman" w:eastAsia="仿宋_GB2312" w:cs="仿宋_GB2312"/>
          <w:sz w:val="32"/>
          <w:szCs w:val="32"/>
        </w:rPr>
        <w:t>【规则衔接】 本办法未尽事宜，或与国家、海南省及三亚市有关法律法规及政策规定不一致的，从其规定。区内此前有关企业信用评价的规定与本办法不一致的，以本办法为准。</w:t>
      </w:r>
    </w:p>
    <w:p>
      <w:pPr>
        <w:pStyle w:val="12"/>
        <w:bidi w:val="0"/>
        <w:spacing w:line="560" w:lineRule="exact"/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WZT-EN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8C0EB136-0D50-4298-8748-46E7A65335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458F8E-6B05-40A3-AA00-95FE613DA5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1A23D5-AFC2-4286-A2C2-BF7C0AAB11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60F2D8-F5D9-4DC3-A0ED-C9E71C77B6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GWZT-EN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line="471" w:lineRule="auto"/>
      <w:rPr>
        <w:rFonts w:ascii="GWZT-E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jRzrBAgAA1g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GY0c6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AHXwCO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BSFOni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line="471" w:lineRule="auto"/>
      <w:rPr>
        <w:rFonts w:ascii="GWZT-E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AegHW0wAAAAYBAAAPAAAAAAAA&#10;AAEAIAAAACIAAABkcnMvZG93bnJldi54bWxQSwECFAAUAAAACACHTuJAkR0XoMICAADWBQAADgAA&#10;AAAAAAABACAAAAAiAQAAZHJzL2Uyb0RvYy54bWxQSwUGAAAAAAYABgBZAQAAV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kgJW4x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F9dL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DxfXS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8"/>
  <w:drawingGridVerticalSpacing w:val="29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23573"/>
    <w:rsid w:val="007F6EA0"/>
    <w:rsid w:val="012A054A"/>
    <w:rsid w:val="01F01E3C"/>
    <w:rsid w:val="03B54514"/>
    <w:rsid w:val="07DD65E1"/>
    <w:rsid w:val="08E006CC"/>
    <w:rsid w:val="097D5257"/>
    <w:rsid w:val="0B7398D2"/>
    <w:rsid w:val="125B0B19"/>
    <w:rsid w:val="14DF00CB"/>
    <w:rsid w:val="1927005A"/>
    <w:rsid w:val="1A994EDE"/>
    <w:rsid w:val="1C387EC5"/>
    <w:rsid w:val="1DE1427D"/>
    <w:rsid w:val="1E0D2895"/>
    <w:rsid w:val="1EAFC725"/>
    <w:rsid w:val="20CC0C49"/>
    <w:rsid w:val="20E726E0"/>
    <w:rsid w:val="23A95AFE"/>
    <w:rsid w:val="23FB3B36"/>
    <w:rsid w:val="25A64F06"/>
    <w:rsid w:val="28644475"/>
    <w:rsid w:val="2A3272EC"/>
    <w:rsid w:val="2BBD3A09"/>
    <w:rsid w:val="2D754FFE"/>
    <w:rsid w:val="30E41D16"/>
    <w:rsid w:val="328334F0"/>
    <w:rsid w:val="36EA0238"/>
    <w:rsid w:val="37FE29D8"/>
    <w:rsid w:val="39F6065E"/>
    <w:rsid w:val="3A246487"/>
    <w:rsid w:val="3B8E60F2"/>
    <w:rsid w:val="3DB77466"/>
    <w:rsid w:val="3EA707D2"/>
    <w:rsid w:val="3F1A5214"/>
    <w:rsid w:val="3FFDD794"/>
    <w:rsid w:val="41F16BB4"/>
    <w:rsid w:val="43F364D8"/>
    <w:rsid w:val="48FF6443"/>
    <w:rsid w:val="4A895D29"/>
    <w:rsid w:val="4B6F405D"/>
    <w:rsid w:val="4CCB4308"/>
    <w:rsid w:val="4E017701"/>
    <w:rsid w:val="51393636"/>
    <w:rsid w:val="51777A1C"/>
    <w:rsid w:val="51C70332"/>
    <w:rsid w:val="52201E6B"/>
    <w:rsid w:val="52C36389"/>
    <w:rsid w:val="52C9527E"/>
    <w:rsid w:val="56D944C2"/>
    <w:rsid w:val="58231BBC"/>
    <w:rsid w:val="586176DB"/>
    <w:rsid w:val="59D05A42"/>
    <w:rsid w:val="614A6A0F"/>
    <w:rsid w:val="61FF2F15"/>
    <w:rsid w:val="671D2864"/>
    <w:rsid w:val="6787345A"/>
    <w:rsid w:val="6B9C3D5E"/>
    <w:rsid w:val="6C9D34CB"/>
    <w:rsid w:val="6CC17433"/>
    <w:rsid w:val="6D69F261"/>
    <w:rsid w:val="6DB24FEB"/>
    <w:rsid w:val="6E123573"/>
    <w:rsid w:val="6F867337"/>
    <w:rsid w:val="75AD1847"/>
    <w:rsid w:val="778352F4"/>
    <w:rsid w:val="77E65D89"/>
    <w:rsid w:val="77FF65EB"/>
    <w:rsid w:val="78474AEE"/>
    <w:rsid w:val="7AEBE726"/>
    <w:rsid w:val="7B1FDDEB"/>
    <w:rsid w:val="7E753304"/>
    <w:rsid w:val="7F7D9148"/>
    <w:rsid w:val="7FB3E2F5"/>
    <w:rsid w:val="7FBB7027"/>
    <w:rsid w:val="7FF3E6AD"/>
    <w:rsid w:val="AFD7849C"/>
    <w:rsid w:val="BFEFF37A"/>
    <w:rsid w:val="CFE5661C"/>
    <w:rsid w:val="DAFF5565"/>
    <w:rsid w:val="DF9F06FF"/>
    <w:rsid w:val="DFEC581C"/>
    <w:rsid w:val="EEBDD80E"/>
    <w:rsid w:val="EF7D15C8"/>
    <w:rsid w:val="F55F81FD"/>
    <w:rsid w:val="F662B7F9"/>
    <w:rsid w:val="F7FF63F0"/>
    <w:rsid w:val="FB574903"/>
    <w:rsid w:val="FBFFBD93"/>
    <w:rsid w:val="FF9F9DCF"/>
    <w:rsid w:val="FFFFB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GWZT-E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  <w:rPr>
      <w:rFonts w:ascii="GWZT-EN"/>
    </w:rPr>
  </w:style>
  <w:style w:type="table" w:default="1" w:styleId="20">
    <w:name w:val="Normal Table"/>
    <w:semiHidden/>
    <w:qFormat/>
    <w:uiPriority w:val="0"/>
    <w:rPr>
      <w:rFonts w:ascii="GWZT-E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Normal (Web)"/>
    <w:basedOn w:val="1"/>
    <w:qFormat/>
    <w:uiPriority w:val="0"/>
    <w:rPr>
      <w:rFonts w:ascii="GWZT-EN"/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5">
    <w:name w:val="15"/>
    <w:basedOn w:val="18"/>
    <w:qFormat/>
    <w:uiPriority w:val="0"/>
    <w:rPr>
      <w:rFonts w:hint="default"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4706</Words>
  <Characters>4736</Characters>
  <Lines>1</Lines>
  <Paragraphs>1</Paragraphs>
  <ScaleCrop>false</ScaleCrop>
  <LinksUpToDate>false</LinksUpToDate>
  <CharactersWithSpaces>4796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2026-02-13T08:32:00Z</dcterms:created>
  <dc:creator>百辟1400582326</dc:creator>
  <cp:lastModifiedBy>ASUS</cp:lastModifiedBy>
  <cp:lastPrinted>2026-04-29T01:27:03Z</cp:lastPrinted>
  <dcterms:modified xsi:type="dcterms:W3CDTF">2026-04-29T02:34:10Z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BFB7D87B6CFF4FFB8E00A7C5AAE5AFDE_13</vt:lpwstr>
  </property>
  <property fmtid="{D5CDD505-2E9C-101B-9397-08002B2CF9AE}" pid="4" name="KSOTemplateDocerSaveRecord">
    <vt:lpwstr>eyJoZGlkIjoiYzI5MDYxMGQwNmNlNDE1NTZkYjRmMzIzNTA3NmQ2YmQiLCJ1c2VySWQiOiIxNTkxNTA4MSJ9</vt:lpwstr>
  </property>
  <property fmtid="{D5CDD505-2E9C-101B-9397-08002B2CF9AE}" pid="5" name="标题_1">
    <vt:lpwstr>三亚市海棠区企业信用评价管理办法（试行）</vt:lpwstr>
  </property>
</Properties>
</file>